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B10A8">
      <w:pPr>
        <w:pStyle w:val="23"/>
        <w:keepNext/>
        <w:keepLines/>
        <w:widowControl w:val="0"/>
        <w:suppressAutoHyphens/>
        <w:spacing w:before="0" w:after="0"/>
        <w:jc w:val="center"/>
        <w:rPr>
          <w:b/>
          <w:color w:val="auto"/>
          <w:sz w:val="24"/>
          <w:szCs w:val="24"/>
        </w:rPr>
      </w:pPr>
      <w:r>
        <w:rPr>
          <w:b/>
          <w:color w:val="auto"/>
          <w:sz w:val="24"/>
          <w:szCs w:val="24"/>
          <w:lang w:eastAsia="zh-CN" w:bidi="ar"/>
        </w:rPr>
        <w:t>Early Warning Signals: Integrating Academic, Socioeconomic, and Parental Predictors in Multi-Class Student Outcome Models</w:t>
      </w:r>
    </w:p>
    <w:p w14:paraId="500B2E49">
      <w:pPr>
        <w:pStyle w:val="23"/>
        <w:spacing w:before="0" w:after="0"/>
        <w:contextualSpacing/>
        <w:rPr>
          <w:b/>
          <w:bCs/>
          <w:color w:val="auto"/>
          <w:sz w:val="18"/>
          <w:szCs w:val="18"/>
          <w:lang w:eastAsia="zh-CN" w:bidi="ar"/>
        </w:rPr>
      </w:pPr>
      <w:r>
        <w:rPr>
          <w:b/>
          <w:bCs/>
          <w:color w:val="auto"/>
          <w:sz w:val="18"/>
          <w:szCs w:val="18"/>
          <w:lang w:eastAsia="zh-CN" w:bidi="ar"/>
        </w:rPr>
        <w:t xml:space="preserve">Abstract: </w:t>
      </w:r>
    </w:p>
    <w:p w14:paraId="66F5613C">
      <w:pPr>
        <w:pStyle w:val="23"/>
        <w:contextualSpacing/>
        <w:rPr>
          <w:color w:val="auto"/>
          <w:sz w:val="18"/>
          <w:szCs w:val="18"/>
          <w:lang w:eastAsia="zh-CN" w:bidi="ar"/>
        </w:rPr>
      </w:pPr>
      <w:r>
        <w:rPr>
          <w:color w:val="auto"/>
          <w:sz w:val="18"/>
          <w:szCs w:val="18"/>
          <w:lang w:eastAsia="zh-CN" w:bidi="ar"/>
        </w:rPr>
        <w:t>Student dropout represents an important challenge for higher education, associated with loss of human capital and institutional resources. Traditional “stay or go” predictive models often fail to capture the complex nature of student trajectories. Therefore, this study develops a robust Early Warning System (EWS) to predict three student outcomes: dropout, continued enrollment, and graduation. Utilizing the comprehensive SATDAP dataset (N=4,424 students, 2010–2018), the study integrates four predictor groups: early academic performance, parental education, demographic and socioeconomic factors, and regional macro-indicators. We compare five types of models, including traditional econometrics (multinomial logistic regression) and advanced machine learning techniques. We find that non-linear machine learning methods are most suitable for accurate multi-class prediction, with XGBoost achieving the best overall performance. The strongest predictors of student outcomes are first-semester average grades and approved credit units, which largely supersede initial admission scores. Among non-academic factors, up-to-date tuition fees and age at enrollment are key determinants, while parental education shows a limited effect after academic performance is factored in. These findings can encourage higher education institutions design Early Warning Systems and implement targeted interventions to reduce dropout rates.</w:t>
      </w:r>
    </w:p>
    <w:p w14:paraId="39FF2959">
      <w:pPr>
        <w:pStyle w:val="23"/>
        <w:spacing w:before="0" w:after="0"/>
        <w:contextualSpacing/>
        <w:rPr>
          <w:color w:val="auto"/>
          <w:sz w:val="18"/>
          <w:szCs w:val="18"/>
          <w:lang w:eastAsia="zh-CN" w:bidi="ar"/>
        </w:rPr>
      </w:pPr>
      <w:r>
        <w:rPr>
          <w:b/>
          <w:bCs/>
          <w:color w:val="auto"/>
          <w:sz w:val="18"/>
          <w:szCs w:val="18"/>
          <w:lang w:eastAsia="zh-CN" w:bidi="ar"/>
        </w:rPr>
        <w:t>Keywords:</w:t>
      </w:r>
      <w:r>
        <w:rPr>
          <w:color w:val="auto"/>
          <w:sz w:val="18"/>
          <w:szCs w:val="18"/>
          <w:lang w:eastAsia="zh-CN" w:bidi="ar"/>
        </w:rPr>
        <w:t xml:space="preserve"> Student dropout prediction, learning analytics, Machine learning, Parental education. </w:t>
      </w:r>
    </w:p>
    <w:p w14:paraId="51656CC5">
      <w:pPr>
        <w:pStyle w:val="23"/>
        <w:spacing w:before="0" w:after="0"/>
        <w:contextualSpacing/>
        <w:rPr>
          <w:color w:val="auto"/>
          <w:sz w:val="18"/>
          <w:szCs w:val="18"/>
        </w:rPr>
      </w:pPr>
    </w:p>
    <w:p w14:paraId="37A26F07">
      <w:pPr>
        <w:pStyle w:val="23"/>
        <w:keepNext/>
        <w:keepLines/>
        <w:widowControl w:val="0"/>
        <w:numPr>
          <w:ilvl w:val="0"/>
          <w:numId w:val="6"/>
        </w:numPr>
        <w:suppressAutoHyphens/>
        <w:spacing w:before="0" w:after="0"/>
        <w:outlineLvl w:val="0"/>
        <w:rPr>
          <w:b/>
          <w:color w:val="auto"/>
          <w:sz w:val="24"/>
          <w:szCs w:val="24"/>
        </w:rPr>
      </w:pPr>
      <w:r>
        <w:rPr>
          <w:b/>
          <w:color w:val="auto"/>
          <w:sz w:val="24"/>
          <w:szCs w:val="24"/>
          <w:lang w:eastAsia="zh-CN" w:bidi="ar"/>
        </w:rPr>
        <w:t>Introduction</w:t>
      </w:r>
    </w:p>
    <w:p w14:paraId="628BA5C7">
      <w:pPr>
        <w:pStyle w:val="23"/>
        <w:rPr>
          <w:color w:val="auto"/>
          <w:lang w:eastAsia="zh-CN" w:bidi="ar"/>
        </w:rPr>
      </w:pPr>
      <w:r>
        <w:rPr>
          <w:color w:val="auto"/>
          <w:lang w:eastAsia="zh-CN" w:bidi="ar"/>
        </w:rPr>
        <w:t>Student dropout (understood as withdrawal from studies or failure to complete them) is a very important problem from the perspective of managing educational quality and university development in general and for institutional accreditation processes in particular. For instance, university accreditation procedures commonly analyze key performance indicators such as study completion rates, student retention, and institutional efforts to minimize student withdrawal. As a consequence, many universities implement more or less advanced Early Warning Systems (EWS) as tools of institutional support. These systems enable the early identification of students at risk and facilitate appropriate intervention in form of academic and financial support (Bañeres et al., 2020; Bañeres et al., 2023; Macfadyen &amp; Dawson, 2010; Jayaprakash et al., 2014). Research on this topic is also motivated by current demographic shifts and the increasing significance of learning analytics within the higher education sector. Therefore, investigating the efficacy of Early Warning Systems is relevant for addressing major challenges in educational quality management in many countries. From a broader perspective, successful implementation of EWS also supports long-run accumulation of human capital the economy.</w:t>
      </w:r>
    </w:p>
    <w:p w14:paraId="7498AB9C">
      <w:pPr>
        <w:pStyle w:val="23"/>
        <w:overflowPunct/>
        <w:autoSpaceDE/>
        <w:autoSpaceDN/>
        <w:adjustRightInd/>
        <w:textAlignment w:val="auto"/>
        <w:rPr>
          <w:color w:val="auto"/>
          <w:lang w:eastAsia="zh-CN" w:bidi="ar"/>
        </w:rPr>
      </w:pPr>
      <w:r>
        <w:rPr>
          <w:color w:val="auto"/>
          <w:lang w:eastAsia="zh-CN" w:bidi="ar"/>
        </w:rPr>
        <w:t xml:space="preserve">Researchers have long sought to predict student dropout. In this study dropout is defined as a student leaving the system without graduating from their program or without registering for another program. In the literature, this concept is mostly modeled in a binary manner. However, this approach does not adequately distinguish between the different ways students end their education. To address this limitation, our study proposes a multi-class framework that considers student attendance status as a three-class outcome variable: dropping out, staying enrolled, or graduating (cf. Kuh et al., 2006; York et al., 2015; Kemper et al., 2020; Forti, Grilli, and Rampichini, 2025). This three-part structure allows for a more detailed analysis of students’ enrollment status and potential trajectories. Furthermore, while previous work focused on early prediction </w:t>
      </w:r>
      <w:r>
        <w:rPr>
          <w:color w:val="auto"/>
          <w:highlight w:val="none"/>
          <w:lang w:eastAsia="zh-CN" w:bidi="ar"/>
        </w:rPr>
        <w:t>(cf. Martins et al., 2021),</w:t>
      </w:r>
      <w:r>
        <w:rPr>
          <w:color w:val="auto"/>
          <w:lang w:eastAsia="zh-CN" w:bidi="ar"/>
        </w:rPr>
        <w:t xml:space="preserve"> our study extends this work by integrating traditional student-level data (such as early academic measures like first- and second-semester grades and the number of credits successfully completed) with regional macro-indicators, reflecting the multifaceted nature of academic progress.</w:t>
      </w:r>
    </w:p>
    <w:p w14:paraId="31F3E674">
      <w:pPr>
        <w:pStyle w:val="23"/>
        <w:overflowPunct/>
        <w:autoSpaceDE/>
        <w:autoSpaceDN/>
        <w:adjustRightInd/>
        <w:textAlignment w:val="auto"/>
        <w:rPr>
          <w:color w:val="auto"/>
          <w:lang w:eastAsia="zh-CN" w:bidi="ar"/>
        </w:rPr>
      </w:pPr>
      <w:r>
        <w:rPr>
          <w:color w:val="auto"/>
          <w:lang w:eastAsia="zh-CN" w:bidi="ar"/>
        </w:rPr>
        <w:t>This paper seeks to answer the following research questions:</w:t>
      </w:r>
    </w:p>
    <w:p w14:paraId="74DCCAF3">
      <w:pPr>
        <w:pStyle w:val="23"/>
        <w:overflowPunct/>
        <w:autoSpaceDE/>
        <w:autoSpaceDN/>
        <w:adjustRightInd/>
        <w:textAlignment w:val="auto"/>
        <w:rPr>
          <w:color w:val="auto"/>
          <w:lang w:eastAsia="zh-CN" w:bidi="ar"/>
        </w:rPr>
      </w:pPr>
      <w:r>
        <w:rPr>
          <w:color w:val="auto"/>
          <w:lang w:eastAsia="zh-CN" w:bidi="ar"/>
        </w:rPr>
        <w:t>RQ1. How well do early academic results predict whether a student will drop out, enroll to another program, or graduate?</w:t>
      </w:r>
    </w:p>
    <w:p w14:paraId="5562D22C">
      <w:pPr>
        <w:pStyle w:val="23"/>
        <w:overflowPunct/>
        <w:autoSpaceDE/>
        <w:autoSpaceDN/>
        <w:adjustRightInd/>
        <w:textAlignment w:val="auto"/>
        <w:rPr>
          <w:color w:val="auto"/>
          <w:lang w:eastAsia="zh-CN" w:bidi="ar"/>
        </w:rPr>
      </w:pPr>
      <w:r>
        <w:rPr>
          <w:color w:val="auto"/>
          <w:lang w:eastAsia="zh-CN" w:bidi="ar"/>
        </w:rPr>
        <w:t>RQ2. How do a student’s mother’s and father’s education levels affect their chances of staying in school or graduating?</w:t>
      </w:r>
    </w:p>
    <w:p w14:paraId="4B25D29A">
      <w:pPr>
        <w:pStyle w:val="23"/>
        <w:overflowPunct/>
        <w:autoSpaceDE/>
        <w:autoSpaceDN/>
        <w:adjustRightInd/>
        <w:textAlignment w:val="auto"/>
        <w:rPr>
          <w:color w:val="auto"/>
          <w:lang w:eastAsia="zh-CN" w:bidi="ar"/>
        </w:rPr>
      </w:pPr>
      <w:r>
        <w:rPr>
          <w:color w:val="auto"/>
          <w:lang w:eastAsia="zh-CN" w:bidi="ar"/>
        </w:rPr>
        <w:t>RQ3. Which type of model makes the most accurate and reliable predictions of student outcomes (traditional econometric models, linear ML models, or non-linear ML models)?</w:t>
      </w:r>
    </w:p>
    <w:p w14:paraId="3BFFB3F2">
      <w:pPr>
        <w:pStyle w:val="23"/>
        <w:overflowPunct/>
        <w:autoSpaceDE/>
        <w:autoSpaceDN/>
        <w:adjustRightInd/>
        <w:textAlignment w:val="auto"/>
        <w:rPr>
          <w:color w:val="auto"/>
          <w:lang w:eastAsia="zh-CN" w:bidi="ar"/>
        </w:rPr>
      </w:pPr>
      <w:r>
        <w:rPr>
          <w:color w:val="auto"/>
          <w:lang w:eastAsia="zh-CN" w:bidi="ar"/>
        </w:rPr>
        <w:t>To answer these questions, we employ and compare performance of both econometric methods (multinomial logistic regression) and linear (linear SVM) and non-linear machine-learning approaches (Random Forest, XGBoost). Model efficacy is evaluated using macro-F1, balanced accuracy, and log-loss. Our analysis demonstrates that early academic measures, including first-semester grades and completed credit units, are strong predictors of final student outcomes. While demographic and financial characteristics (age at enrollment, gender, nationality, scholarship status, debt status) contribute additional explanatory value, we find that the effect of parental education is limited once early academic performance is considered.</w:t>
      </w:r>
    </w:p>
    <w:p w14:paraId="53998E7F">
      <w:pPr>
        <w:pStyle w:val="23"/>
        <w:overflowPunct/>
        <w:autoSpaceDE/>
        <w:autoSpaceDN/>
        <w:adjustRightInd/>
        <w:spacing w:before="0" w:beforeAutospacing="0" w:after="0" w:afterAutospacing="0"/>
        <w:textAlignment w:val="auto"/>
        <w:rPr>
          <w:color w:val="auto"/>
          <w:lang w:eastAsia="zh-CN" w:bidi="ar"/>
        </w:rPr>
      </w:pPr>
      <w:r>
        <w:rPr>
          <w:color w:val="auto"/>
          <w:lang w:eastAsia="zh-CN" w:bidi="ar"/>
        </w:rPr>
        <w:t>The remainder of the paper is structured as follows. Section 2 presents the main findings and methodological approaches discussed in the literature. Section 3 describes the data and methods employed in this study. Section 4 focuses on empirical results, while the final section concludes.</w:t>
      </w:r>
    </w:p>
    <w:p w14:paraId="0BC68A44">
      <w:pPr>
        <w:pStyle w:val="23"/>
        <w:keepNext/>
        <w:keepLines/>
        <w:widowControl w:val="0"/>
        <w:numPr>
          <w:ilvl w:val="0"/>
          <w:numId w:val="6"/>
        </w:numPr>
        <w:suppressAutoHyphens/>
        <w:spacing w:before="0" w:after="0"/>
        <w:outlineLvl w:val="0"/>
        <w:rPr>
          <w:b/>
          <w:color w:val="auto"/>
          <w:sz w:val="24"/>
          <w:szCs w:val="24"/>
        </w:rPr>
      </w:pPr>
      <w:r>
        <w:rPr>
          <w:b/>
          <w:color w:val="auto"/>
          <w:sz w:val="24"/>
          <w:szCs w:val="24"/>
          <w:lang w:eastAsia="zh-CN" w:bidi="ar"/>
        </w:rPr>
        <w:t xml:space="preserve">Literature Review </w:t>
      </w:r>
    </w:p>
    <w:p w14:paraId="25BE852C">
      <w:pPr>
        <w:pStyle w:val="23"/>
        <w:rPr>
          <w:color w:val="auto"/>
          <w:lang w:eastAsia="zh-CN" w:bidi="ar"/>
        </w:rPr>
      </w:pPr>
      <w:r>
        <w:rPr>
          <w:color w:val="auto"/>
          <w:lang w:eastAsia="zh-CN" w:bidi="ar"/>
        </w:rPr>
        <w:t>Research on predicting student achievement and dropout rates in higher education has emphasized the multidimensional nature of student trajectories, shifting from early binary dropout predictions to models that suggest the combined examination of academic, socioeconomic, and institutional factors. Research aimed at predicting student achievement and dropout rates in higher education has increased significantly over the last two decades, particularly in terms of prediction objectives and methodological approaches. In this literature review, guided by our research questions, existing works are grouped into two clusters: one focused on determinants of student academic outcomes and the second on methodological approaches in student outcome prediction.</w:t>
      </w:r>
    </w:p>
    <w:p w14:paraId="4C5E3DA8">
      <w:pPr>
        <w:pStyle w:val="23"/>
        <w:ind w:firstLine="0"/>
        <w:rPr>
          <w:color w:val="auto"/>
          <w:lang w:eastAsia="zh-CN" w:bidi="ar"/>
        </w:rPr>
      </w:pPr>
      <w:r>
        <w:rPr>
          <w:color w:val="auto"/>
          <w:lang w:eastAsia="zh-CN" w:bidi="ar"/>
        </w:rPr>
        <w:t>2.1. Determinants of student academic outcomes</w:t>
      </w:r>
    </w:p>
    <w:p w14:paraId="63507E38">
      <w:pPr>
        <w:pStyle w:val="23"/>
        <w:rPr>
          <w:color w:val="auto"/>
          <w:lang w:eastAsia="zh-CN" w:bidi="ar"/>
        </w:rPr>
      </w:pPr>
      <w:r>
        <w:rPr>
          <w:color w:val="auto"/>
          <w:lang w:eastAsia="zh-CN" w:bidi="ar"/>
        </w:rPr>
        <w:t xml:space="preserve">Academic performance is typically related to measurable academic outcomes achieved by a student during their first academic year at university, such as first- and second-semester grades and the number of credits successfully completed. While some studies limit academic performance to grade point averages, others include indicators of student progress such as credit accumulation and course pass rates. In this study, both types of indicators are used together to reflect the multifaceted nature of academic progress (cf. Tinto, 1975; 1993; OECD, 2019). </w:t>
      </w:r>
    </w:p>
    <w:p w14:paraId="7D6F5E88">
      <w:pPr>
        <w:pStyle w:val="23"/>
        <w:rPr>
          <w:color w:val="auto"/>
          <w:lang w:eastAsia="zh-CN" w:bidi="ar"/>
        </w:rPr>
      </w:pPr>
      <w:r>
        <w:rPr>
          <w:color w:val="auto"/>
          <w:lang w:eastAsia="zh-CN" w:bidi="ar"/>
        </w:rPr>
        <w:t xml:space="preserve">Findings on the determinants of student outcomes accentuate the role of early academic performance alongside socioeconomic and demographic factors, with studies generally focusing on a binary “stay or go” outcome. Among the important findings is that early academic performance strongly predicts student retention rates. First-year academic performance also predicts differences in the number of credits successfully completed, course pass rates, student graduation rates, and dropout rates (Akçapınar et al., 2019; Kustitskaya et al., 2022; </w:t>
      </w:r>
      <w:r>
        <w:rPr>
          <w:rFonts w:hint="default"/>
          <w:color w:val="auto"/>
          <w:lang w:val="tr-TR" w:eastAsia="zh-CN" w:bidi="ar"/>
        </w:rPr>
        <w:t xml:space="preserve">Realinho et al., 2021; </w:t>
      </w:r>
      <w:bookmarkStart w:id="0" w:name="_GoBack"/>
      <w:bookmarkEnd w:id="0"/>
      <w:r>
        <w:rPr>
          <w:color w:val="auto"/>
          <w:lang w:eastAsia="zh-CN" w:bidi="ar"/>
        </w:rPr>
        <w:t>Mahboob et al., 2023). Early academic experiences are decisive, with first-year students being most likely to drop out of school (Herzog, 2005</w:t>
      </w:r>
      <w:r>
        <w:rPr>
          <w:color w:val="auto"/>
          <w:lang w:val="tr-TR" w:eastAsia="zh-CN" w:bidi="ar"/>
        </w:rPr>
        <w:t>; Shiao et al., 2023</w:t>
      </w:r>
      <w:r>
        <w:rPr>
          <w:color w:val="auto"/>
          <w:lang w:eastAsia="zh-CN" w:bidi="ar"/>
        </w:rPr>
        <w:t>). In a similar vein, the difficulty of science and health courses increases students’ risk of dropping out of school (Arias Ortiz &amp; De Hong, 2013). Regarding demographic variables, gender has no significant relationship with academic performance (Golding, 2019), while age and student suitability for the program have an indirect effect on the rates of advanced education (Herzog, 2005; Zimmermann et al., 2011</w:t>
      </w:r>
      <w:r>
        <w:rPr>
          <w:color w:val="auto"/>
          <w:lang w:val="tr-TR" w:eastAsia="zh-CN" w:bidi="ar"/>
        </w:rPr>
        <w:t>; White et al., 2024</w:t>
      </w:r>
      <w:r>
        <w:rPr>
          <w:color w:val="auto"/>
          <w:lang w:eastAsia="zh-CN" w:bidi="ar"/>
        </w:rPr>
        <w:t>).</w:t>
      </w:r>
    </w:p>
    <w:p w14:paraId="354BF344">
      <w:pPr>
        <w:pStyle w:val="23"/>
        <w:rPr>
          <w:color w:val="auto"/>
          <w:lang w:eastAsia="zh-CN" w:bidi="ar"/>
        </w:rPr>
      </w:pPr>
      <w:r>
        <w:rPr>
          <w:color w:val="auto"/>
          <w:lang w:eastAsia="zh-CN" w:bidi="ar"/>
        </w:rPr>
        <w:t>When socioeconomic and financial factors are considered, a more consistent pattern emerges</w:t>
      </w:r>
      <w:r>
        <w:rPr>
          <w:rFonts w:hint="default"/>
          <w:color w:val="auto"/>
          <w:lang w:val="tr-TR" w:eastAsia="zh-CN" w:bidi="ar"/>
        </w:rPr>
        <w:t xml:space="preserve"> (Valiyev et al., 2025)</w:t>
      </w:r>
      <w:r>
        <w:rPr>
          <w:color w:val="auto"/>
          <w:lang w:eastAsia="zh-CN" w:bidi="ar"/>
        </w:rPr>
        <w:t>. Students from economically disadvantaged families have a higher dropout rate (Villegas-Ch. et al., 2023). Conversely, students receiving financial support such as scholarships are more likely to achieve academic success (Ishitani &amp; Snider, 2006;</w:t>
      </w:r>
      <w:r>
        <w:rPr>
          <w:rFonts w:hint="default"/>
          <w:color w:val="auto"/>
          <w:lang w:val="tr-TR" w:eastAsia="zh-CN" w:bidi="ar"/>
        </w:rPr>
        <w:t xml:space="preserve"> </w:t>
      </w:r>
      <w:r>
        <w:rPr>
          <w:color w:val="auto"/>
          <w:sz w:val="20"/>
          <w:szCs w:val="21"/>
        </w:rPr>
        <w:t>Rumberger, 2011</w:t>
      </w:r>
      <w:r>
        <w:rPr>
          <w:rFonts w:hint="default"/>
          <w:color w:val="auto"/>
          <w:sz w:val="20"/>
          <w:szCs w:val="21"/>
          <w:lang w:val="tr-TR"/>
        </w:rPr>
        <w:t>;</w:t>
      </w:r>
      <w:r>
        <w:rPr>
          <w:color w:val="auto"/>
          <w:lang w:eastAsia="zh-CN" w:bidi="ar"/>
        </w:rPr>
        <w:t xml:space="preserve"> Jokhan et al., 2022). With regard to parental education, some studies indicate that family education level may have an effect on academic performance (Ishitani &amp; Snider, 2006), while studies that examine this effect separately for mother’s and father’s education levels in a multivariate structure remain limited. Furthermore, economic conditions and institutional factors have a statistically significant effect on students’ decisions to continue their education (Delogu et al., 2024), and examining these variables together increases the predictive power of analysis.</w:t>
      </w:r>
    </w:p>
    <w:p w14:paraId="3DC052AB">
      <w:pPr>
        <w:pStyle w:val="23"/>
        <w:ind w:firstLine="0"/>
        <w:rPr>
          <w:color w:val="auto"/>
          <w:lang w:eastAsia="zh-CN" w:bidi="ar"/>
        </w:rPr>
      </w:pPr>
      <w:r>
        <w:rPr>
          <w:color w:val="auto"/>
          <w:lang w:eastAsia="zh-CN" w:bidi="ar"/>
        </w:rPr>
        <w:t>2.2. Methodological approaches in student outcome prediction</w:t>
      </w:r>
    </w:p>
    <w:p w14:paraId="603551BB">
      <w:pPr>
        <w:pStyle w:val="23"/>
        <w:rPr>
          <w:color w:val="auto"/>
          <w:lang w:eastAsia="zh-CN" w:bidi="ar"/>
        </w:rPr>
      </w:pPr>
      <w:r>
        <w:rPr>
          <w:color w:val="auto"/>
          <w:lang w:eastAsia="zh-CN" w:bidi="ar"/>
        </w:rPr>
        <w:t>Traditional research largely evaluated student status as a binary outcome variable (dropout vs. non-dropout), applying both econometric methods and machine learning techniques.  Hoffait &amp; Schyns (2017) compare traditional econometric methods (logistic regression) and advanced machine learning techniques (artificial neural networks, random forests) to find that the predictive abilities of these three methods were the same. Golding et al. (2019) perform stepwise regression analysis, concluding that demographic variables have a limited effect on academic performance. In addition to these findings, the number of studies using machine learning methods, which can model nonlinear relationships and complex interactions, is increasing. It is well known that advanced algorithms are effective in improving prediction accuracy. Recent studies confirm this across various institutional contexts: Martinez et al. (2024) demonstrate that machine learning models reliably identify at-risk students in the early stages of the enrollment process; Skittou et al. (2024) are developing an Early Warning System using machine learning to support educational planning; Alalawi et al. (2024) propose an expanded framework that integrates machine learning with pedagogical interventions, and Yu et al. (2021) note that recurrent neural networks offer a computationally efficient approach for early warning in online STEM learning. For example, Beaulac &amp; Rosenthal (2019) report high prediction accuracy for graduation outcomes at the University of Toronto by applying a random forest classifier to rich academic datasets.</w:t>
      </w:r>
    </w:p>
    <w:p w14:paraId="324BE4A8">
      <w:pPr>
        <w:pStyle w:val="23"/>
        <w:rPr>
          <w:color w:val="auto"/>
          <w:lang w:eastAsia="zh-CN" w:bidi="ar"/>
        </w:rPr>
      </w:pPr>
      <w:r>
        <w:rPr>
          <w:color w:val="auto"/>
          <w:lang w:eastAsia="zh-CN" w:bidi="ar"/>
        </w:rPr>
        <w:t>Binary models that evaluate current students and graduates within the same group cannot make effective distinctions between different educational outcomes. The limitations of these models support the increase in studies on multi-class clustering methods (Alalawi et al., 2023; Oliveira et al., 2021; Liz-Domínguez et al., 2019). Systematic reviews show that machine learning approaches are increasingly outperforming traditional binary models in capturing students’ complex developmental trajectories across multiple outcome categories. Studies explaining the preference for multi-class outcome structures and more integrated analytical frameworks are increasing after 2020. Kemper et al. (2020) state that even simple models show high performance when incorporating early academic indicators and emphasize the importance of time-dependent data in early warning systems. Martins et al. (2023) propose a multi-class and multi-stage structure that can predict students’ academic trajectories at different levels of the program, arguing that continuation and graduation variables should be separated. Rabelo &amp; Zarate (2025) propose a structure that combines logistic regression, decision trees, and neural network models to explain multi-category results, while Forti et al. (2025) propose a complex multivariate model that accounts for unobservable heterogeneity. According to these studies, student outcomes are heterogeneous and cannot be accurately captured using binary models.</w:t>
      </w:r>
    </w:p>
    <w:p w14:paraId="74F8673B">
      <w:pPr>
        <w:pStyle w:val="23"/>
        <w:rPr>
          <w:color w:val="auto"/>
          <w:lang w:eastAsia="zh-CN" w:bidi="ar"/>
        </w:rPr>
      </w:pPr>
      <w:r>
        <w:rPr>
          <w:color w:val="auto"/>
          <w:lang w:eastAsia="zh-CN" w:bidi="ar"/>
        </w:rPr>
        <w:t>Despite these developments, two research gaps remain. First, there are very few studies systematically comparing econometric models and non-linear machine learning algorithms using the same data sets and performance measures. Second, there are limited studies that examine a comprehensive set of factors (academic performance, parental education, financial status, and macroeconomic indicators) solely through a multi-class modeling structure.</w:t>
      </w:r>
    </w:p>
    <w:p w14:paraId="64AE2DD3">
      <w:pPr>
        <w:pStyle w:val="23"/>
        <w:ind w:firstLine="0"/>
        <w:rPr>
          <w:color w:val="auto"/>
          <w:lang w:eastAsia="zh-CN" w:bidi="ar"/>
        </w:rPr>
      </w:pPr>
      <w:r>
        <w:rPr>
          <w:color w:val="auto"/>
          <w:lang w:eastAsia="zh-CN" w:bidi="ar"/>
        </w:rPr>
        <w:t>2.3. Contribution of the study to the literature</w:t>
      </w:r>
    </w:p>
    <w:p w14:paraId="6D3C358F">
      <w:pPr>
        <w:pStyle w:val="23"/>
        <w:rPr>
          <w:color w:val="auto"/>
          <w:lang w:eastAsia="zh-CN" w:bidi="ar"/>
        </w:rPr>
      </w:pPr>
      <w:r>
        <w:rPr>
          <w:color w:val="auto"/>
          <w:lang w:eastAsia="zh-CN" w:bidi="ar"/>
        </w:rPr>
        <w:t>This study addresses the gaps identified in the literature from three perspectives. First, it models the students’ situation as a three-tiered outcome variable: dropout, continuation of education, and graduation, highlighting different educational trajectories overlooked by binary approaches. Second, it integrates early academic indicators, parental education levels, demographic characteristics, financial variables, and regional macroeconomic indicators. The final aspect that makes the research significant is its systematic comparison of traditional econometric methods with contemporary machine learning approaches, using the same training-validation-test splits and multiple performance measures. Because of these aspects, the study provides a unique contribution to the literature on the development of early warning systems in higher education.</w:t>
      </w:r>
    </w:p>
    <w:p w14:paraId="694EC285">
      <w:pPr>
        <w:pStyle w:val="61"/>
        <w:numPr>
          <w:ilvl w:val="0"/>
          <w:numId w:val="6"/>
        </w:numPr>
        <w:spacing w:line="240" w:lineRule="auto"/>
        <w:ind w:left="227" w:firstLine="227"/>
        <w:rPr>
          <w:color w:val="auto"/>
        </w:rPr>
      </w:pPr>
      <w:r>
        <w:rPr>
          <w:color w:val="auto"/>
        </w:rPr>
        <w:t>Data and Methods</w:t>
      </w:r>
    </w:p>
    <w:p w14:paraId="0D895DBC">
      <w:pPr>
        <w:pStyle w:val="23"/>
        <w:numPr>
          <w:ilvl w:val="1"/>
          <w:numId w:val="6"/>
        </w:numPr>
        <w:overflowPunct/>
        <w:autoSpaceDE/>
        <w:autoSpaceDN/>
        <w:adjustRightInd/>
        <w:spacing w:before="120" w:beforeLines="50" w:beforeAutospacing="0" w:after="120" w:afterLines="50" w:afterAutospacing="0"/>
        <w:textAlignment w:val="auto"/>
        <w:rPr>
          <w:i/>
          <w:iCs/>
          <w:color w:val="auto"/>
          <w:lang w:eastAsia="zh-CN" w:bidi="ar"/>
        </w:rPr>
      </w:pPr>
      <w:r>
        <w:rPr>
          <w:i/>
          <w:iCs/>
          <w:color w:val="auto"/>
          <w:lang w:eastAsia="zh-CN" w:bidi="ar"/>
        </w:rPr>
        <w:t>Data</w:t>
      </w:r>
    </w:p>
    <w:p w14:paraId="75813E0B">
      <w:pPr>
        <w:pStyle w:val="23"/>
        <w:spacing w:before="0" w:beforeAutospacing="0" w:after="0" w:afterAutospacing="0"/>
        <w:rPr>
          <w:color w:val="auto"/>
        </w:rPr>
      </w:pPr>
      <w:r>
        <w:rPr>
          <w:color w:val="auto"/>
        </w:rPr>
        <w:t xml:space="preserve">In this study, we use a licensed dataset obtained from a medium-sized university in Portugal and compiled within the SATDAP initiative (grant no. POCI-05-5762-FSE-000191). The main purpose of the </w:t>
      </w:r>
      <w:r>
        <w:rPr>
          <w:color w:val="auto"/>
          <w:lang w:val="tr-TR"/>
        </w:rPr>
        <w:t>study</w:t>
      </w:r>
      <w:r>
        <w:rPr>
          <w:color w:val="auto"/>
        </w:rPr>
        <w:t xml:space="preserve"> is to help higher-education institutions identify students who may be struggling as early as possible and to support them before problems become irreversible. It assists students to stay on track and complete their degrees. This dataset includes administrative and academic records for 4,424 students who enrolled between 2010 and 2018. The dataset captures both academic information and socio-economic indicators of students’ such as age, gender, family income, and parents’ educational background. We take students’ status as a multinomial classification task with three categories:</w:t>
      </w:r>
    </w:p>
    <w:p w14:paraId="7A3610FF">
      <w:pPr>
        <w:pStyle w:val="23"/>
        <w:numPr>
          <w:ilvl w:val="0"/>
          <w:numId w:val="7"/>
        </w:numPr>
        <w:overflowPunct/>
        <w:autoSpaceDE/>
        <w:autoSpaceDN/>
        <w:adjustRightInd/>
        <w:spacing w:before="0" w:after="0"/>
        <w:ind w:left="0"/>
        <w:textAlignment w:val="auto"/>
        <w:rPr>
          <w:color w:val="auto"/>
        </w:rPr>
      </w:pPr>
      <w:r>
        <w:rPr>
          <w:color w:val="auto"/>
          <w:lang w:eastAsia="zh-CN" w:bidi="ar"/>
        </w:rPr>
        <w:t>Dropout: The student leaves the system before graduation.</w:t>
      </w:r>
    </w:p>
    <w:p w14:paraId="07370126">
      <w:pPr>
        <w:pStyle w:val="23"/>
        <w:numPr>
          <w:ilvl w:val="0"/>
          <w:numId w:val="7"/>
        </w:numPr>
        <w:overflowPunct/>
        <w:autoSpaceDE/>
        <w:autoSpaceDN/>
        <w:adjustRightInd/>
        <w:spacing w:before="0" w:after="0"/>
        <w:ind w:left="0"/>
        <w:textAlignment w:val="auto"/>
        <w:rPr>
          <w:color w:val="auto"/>
        </w:rPr>
      </w:pPr>
      <w:r>
        <w:rPr>
          <w:color w:val="auto"/>
          <w:lang w:eastAsia="zh-CN" w:bidi="ar"/>
        </w:rPr>
        <w:t>Continued enrollment: The student remains enrolled and continues their education.</w:t>
      </w:r>
    </w:p>
    <w:p w14:paraId="7F6B8BA4">
      <w:pPr>
        <w:pStyle w:val="23"/>
        <w:numPr>
          <w:ilvl w:val="0"/>
          <w:numId w:val="7"/>
        </w:numPr>
        <w:overflowPunct/>
        <w:autoSpaceDE/>
        <w:autoSpaceDN/>
        <w:adjustRightInd/>
        <w:spacing w:before="0" w:beforeAutospacing="0" w:after="0" w:afterAutospacing="0"/>
        <w:ind w:left="0"/>
        <w:textAlignment w:val="auto"/>
        <w:rPr>
          <w:color w:val="auto"/>
        </w:rPr>
      </w:pPr>
      <w:r>
        <w:rPr>
          <w:color w:val="auto"/>
          <w:lang w:eastAsia="zh-CN" w:bidi="ar"/>
        </w:rPr>
        <w:t xml:space="preserve">Graduation: The student successfully completes their program. </w:t>
      </w:r>
    </w:p>
    <w:p w14:paraId="226BF048">
      <w:pPr>
        <w:pStyle w:val="74"/>
        <w:spacing w:line="240" w:lineRule="auto"/>
        <w:rPr>
          <w:color w:val="auto"/>
        </w:rPr>
      </w:pPr>
      <w:r>
        <w:rPr>
          <w:b/>
          <w:color w:val="auto"/>
        </w:rPr>
        <w:t xml:space="preserve">Table </w:t>
      </w:r>
      <w:r>
        <w:rPr>
          <w:b/>
          <w:color w:val="auto"/>
        </w:rPr>
        <w:fldChar w:fldCharType="begin"/>
      </w:r>
      <w:r>
        <w:rPr>
          <w:b/>
          <w:color w:val="auto"/>
        </w:rPr>
        <w:instrText xml:space="preserve"> SEQ "Table" \* MERGEFORMAT </w:instrText>
      </w:r>
      <w:r>
        <w:rPr>
          <w:b/>
          <w:color w:val="auto"/>
        </w:rPr>
        <w:fldChar w:fldCharType="separate"/>
      </w:r>
      <w:r>
        <w:rPr>
          <w:b/>
          <w:color w:val="auto"/>
        </w:rPr>
        <w:t>1</w:t>
      </w:r>
      <w:r>
        <w:rPr>
          <w:b/>
          <w:color w:val="auto"/>
        </w:rPr>
        <w:fldChar w:fldCharType="end"/>
      </w:r>
      <w:r>
        <w:rPr>
          <w:b/>
          <w:color w:val="auto"/>
        </w:rPr>
        <w:t>.</w:t>
      </w:r>
      <w:r>
        <w:rPr>
          <w:color w:val="auto"/>
        </w:rPr>
        <w:t xml:space="preserve"> Definition of Variable Groups.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0"/>
        <w:gridCol w:w="4932"/>
      </w:tblGrid>
      <w:tr w14:paraId="797D8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720" w:type="dxa"/>
          </w:tcPr>
          <w:p w14:paraId="39BA2887">
            <w:pPr>
              <w:pStyle w:val="23"/>
              <w:widowControl/>
              <w:spacing w:line="240" w:lineRule="auto"/>
              <w:jc w:val="center"/>
              <w:rPr>
                <w:b/>
                <w:bCs/>
                <w:color w:val="auto"/>
                <w:sz w:val="18"/>
                <w:szCs w:val="18"/>
                <w:lang w:eastAsia="pl-PL"/>
              </w:rPr>
            </w:pPr>
            <w:r>
              <w:rPr>
                <w:b/>
                <w:bCs/>
                <w:color w:val="auto"/>
                <w:sz w:val="18"/>
                <w:szCs w:val="18"/>
                <w:lang w:eastAsia="pl-PL"/>
              </w:rPr>
              <w:t>Variable Type</w:t>
            </w:r>
          </w:p>
        </w:tc>
        <w:tc>
          <w:tcPr>
            <w:tcW w:w="4932" w:type="dxa"/>
          </w:tcPr>
          <w:p w14:paraId="35B19A69">
            <w:pPr>
              <w:pStyle w:val="23"/>
              <w:widowControl/>
              <w:spacing w:line="240" w:lineRule="auto"/>
              <w:jc w:val="center"/>
              <w:rPr>
                <w:b/>
                <w:bCs/>
                <w:color w:val="auto"/>
                <w:sz w:val="18"/>
                <w:szCs w:val="18"/>
                <w:lang w:eastAsia="pl-PL"/>
              </w:rPr>
            </w:pPr>
            <w:r>
              <w:rPr>
                <w:b/>
                <w:bCs/>
                <w:color w:val="auto"/>
                <w:sz w:val="18"/>
                <w:szCs w:val="18"/>
                <w:lang w:eastAsia="pl-PL"/>
              </w:rPr>
              <w:t>Variables</w:t>
            </w:r>
          </w:p>
        </w:tc>
      </w:tr>
      <w:tr w14:paraId="306D8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tcPr>
          <w:p w14:paraId="1EA58553">
            <w:pPr>
              <w:pStyle w:val="23"/>
              <w:widowControl/>
              <w:spacing w:line="240" w:lineRule="auto"/>
              <w:ind w:firstLine="0"/>
              <w:jc w:val="center"/>
              <w:rPr>
                <w:color w:val="auto"/>
                <w:sz w:val="18"/>
                <w:szCs w:val="18"/>
                <w:lang w:eastAsia="pl-PL"/>
              </w:rPr>
            </w:pPr>
            <w:r>
              <w:rPr>
                <w:rStyle w:val="25"/>
                <w:b w:val="0"/>
                <w:bCs w:val="0"/>
                <w:color w:val="auto"/>
                <w:sz w:val="18"/>
                <w:szCs w:val="18"/>
                <w:lang w:eastAsia="pl-PL"/>
              </w:rPr>
              <w:t>Demographic &amp; financial</w:t>
            </w:r>
          </w:p>
        </w:tc>
        <w:tc>
          <w:tcPr>
            <w:tcW w:w="4932" w:type="dxa"/>
          </w:tcPr>
          <w:p w14:paraId="4EF88E07">
            <w:pPr>
              <w:pStyle w:val="23"/>
              <w:widowControl/>
              <w:spacing w:line="240" w:lineRule="auto"/>
              <w:ind w:firstLine="0"/>
              <w:jc w:val="center"/>
              <w:rPr>
                <w:color w:val="auto"/>
                <w:sz w:val="18"/>
                <w:szCs w:val="18"/>
                <w:lang w:eastAsia="pl-PL"/>
              </w:rPr>
            </w:pPr>
            <w:r>
              <w:rPr>
                <w:color w:val="auto"/>
                <w:sz w:val="18"/>
                <w:szCs w:val="18"/>
                <w:lang w:eastAsia="pl-PL"/>
              </w:rPr>
              <w:t>age at enrollment, gender, nationality, scholarship, debtor status.</w:t>
            </w:r>
          </w:p>
        </w:tc>
      </w:tr>
      <w:tr w14:paraId="74E1A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tcPr>
          <w:p w14:paraId="06E67F7C">
            <w:pPr>
              <w:pStyle w:val="23"/>
              <w:widowControl/>
              <w:spacing w:line="240" w:lineRule="auto"/>
              <w:ind w:firstLine="0"/>
              <w:jc w:val="center"/>
              <w:rPr>
                <w:color w:val="auto"/>
                <w:sz w:val="18"/>
                <w:szCs w:val="18"/>
                <w:lang w:eastAsia="pl-PL"/>
              </w:rPr>
            </w:pPr>
            <w:r>
              <w:rPr>
                <w:rStyle w:val="25"/>
                <w:b w:val="0"/>
                <w:bCs w:val="0"/>
                <w:color w:val="auto"/>
                <w:sz w:val="18"/>
                <w:szCs w:val="18"/>
                <w:lang w:eastAsia="pl-PL"/>
              </w:rPr>
              <w:t>Parental background</w:t>
            </w:r>
          </w:p>
        </w:tc>
        <w:tc>
          <w:tcPr>
            <w:tcW w:w="4932" w:type="dxa"/>
          </w:tcPr>
          <w:p w14:paraId="53B57F4E">
            <w:pPr>
              <w:pStyle w:val="23"/>
              <w:widowControl/>
              <w:spacing w:line="240" w:lineRule="auto"/>
              <w:ind w:firstLine="0"/>
              <w:jc w:val="center"/>
              <w:rPr>
                <w:color w:val="auto"/>
                <w:sz w:val="18"/>
                <w:szCs w:val="18"/>
                <w:lang w:eastAsia="pl-PL"/>
              </w:rPr>
            </w:pPr>
            <w:r>
              <w:rPr>
                <w:color w:val="auto"/>
                <w:sz w:val="18"/>
                <w:szCs w:val="18"/>
                <w:lang w:eastAsia="pl-PL"/>
              </w:rPr>
              <w:t>mother’s and father’s highest qualification.</w:t>
            </w:r>
          </w:p>
        </w:tc>
      </w:tr>
      <w:tr w14:paraId="4A165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tcPr>
          <w:p w14:paraId="02DDBAD4">
            <w:pPr>
              <w:pStyle w:val="23"/>
              <w:widowControl/>
              <w:spacing w:line="240" w:lineRule="auto"/>
              <w:ind w:firstLine="0"/>
              <w:jc w:val="center"/>
              <w:rPr>
                <w:color w:val="auto"/>
                <w:sz w:val="18"/>
                <w:szCs w:val="18"/>
                <w:lang w:eastAsia="pl-PL"/>
              </w:rPr>
            </w:pPr>
            <w:r>
              <w:rPr>
                <w:rStyle w:val="25"/>
                <w:b w:val="0"/>
                <w:bCs w:val="0"/>
                <w:color w:val="auto"/>
                <w:sz w:val="18"/>
                <w:szCs w:val="18"/>
                <w:lang w:eastAsia="pl-PL"/>
              </w:rPr>
              <w:t>Early academic performance</w:t>
            </w:r>
          </w:p>
        </w:tc>
        <w:tc>
          <w:tcPr>
            <w:tcW w:w="4932" w:type="dxa"/>
          </w:tcPr>
          <w:p w14:paraId="0F54FA63">
            <w:pPr>
              <w:pStyle w:val="23"/>
              <w:widowControl/>
              <w:spacing w:line="240" w:lineRule="auto"/>
              <w:ind w:firstLine="0"/>
              <w:jc w:val="center"/>
              <w:rPr>
                <w:color w:val="auto"/>
                <w:sz w:val="18"/>
                <w:szCs w:val="18"/>
                <w:lang w:eastAsia="pl-PL"/>
              </w:rPr>
            </w:pPr>
            <w:r>
              <w:rPr>
                <w:color w:val="auto"/>
                <w:sz w:val="18"/>
                <w:szCs w:val="18"/>
                <w:lang w:eastAsia="pl-PL"/>
              </w:rPr>
              <w:t>admission grade (on a 0–200 scale), first-semester approved credit units, and first-semester grade average.</w:t>
            </w:r>
          </w:p>
        </w:tc>
      </w:tr>
      <w:tr w14:paraId="49113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tcPr>
          <w:p w14:paraId="5F3DFCC3">
            <w:pPr>
              <w:pStyle w:val="23"/>
              <w:widowControl/>
              <w:spacing w:line="240" w:lineRule="auto"/>
              <w:ind w:firstLine="0"/>
              <w:jc w:val="center"/>
              <w:rPr>
                <w:color w:val="auto"/>
                <w:sz w:val="18"/>
                <w:szCs w:val="18"/>
                <w:lang w:eastAsia="pl-PL"/>
              </w:rPr>
            </w:pPr>
            <w:r>
              <w:rPr>
                <w:rStyle w:val="25"/>
                <w:b w:val="0"/>
                <w:bCs w:val="0"/>
                <w:color w:val="auto"/>
                <w:sz w:val="18"/>
                <w:szCs w:val="18"/>
                <w:lang w:eastAsia="pl-PL"/>
              </w:rPr>
              <w:t>Macro-level indicators</w:t>
            </w:r>
          </w:p>
        </w:tc>
        <w:tc>
          <w:tcPr>
            <w:tcW w:w="4932" w:type="dxa"/>
          </w:tcPr>
          <w:p w14:paraId="6816ADAA">
            <w:pPr>
              <w:pStyle w:val="23"/>
              <w:widowControl/>
              <w:spacing w:line="240" w:lineRule="auto"/>
              <w:ind w:firstLine="0"/>
              <w:jc w:val="center"/>
              <w:rPr>
                <w:color w:val="auto"/>
                <w:sz w:val="18"/>
                <w:szCs w:val="18"/>
                <w:lang w:eastAsia="pl-PL"/>
              </w:rPr>
            </w:pPr>
            <w:r>
              <w:rPr>
                <w:color w:val="auto"/>
                <w:sz w:val="18"/>
                <w:szCs w:val="18"/>
                <w:lang w:eastAsia="pl-PL"/>
              </w:rPr>
              <w:t>regional unemployment rate, inflation rate, and GDP per capita for the student’s home region.</w:t>
            </w:r>
          </w:p>
        </w:tc>
      </w:tr>
      <w:tr w14:paraId="6EFC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tcPr>
          <w:p w14:paraId="0F9EED8E">
            <w:pPr>
              <w:pStyle w:val="23"/>
              <w:widowControl/>
              <w:spacing w:line="240" w:lineRule="auto"/>
              <w:ind w:firstLine="0"/>
              <w:jc w:val="center"/>
              <w:rPr>
                <w:color w:val="auto"/>
                <w:sz w:val="18"/>
                <w:szCs w:val="18"/>
                <w:lang w:eastAsia="pl-PL"/>
              </w:rPr>
            </w:pPr>
            <w:r>
              <w:rPr>
                <w:rStyle w:val="25"/>
                <w:b w:val="0"/>
                <w:bCs w:val="0"/>
                <w:color w:val="auto"/>
                <w:sz w:val="18"/>
                <w:szCs w:val="18"/>
                <w:lang w:eastAsia="pl-PL"/>
              </w:rPr>
              <w:t>Outcome</w:t>
            </w:r>
          </w:p>
        </w:tc>
        <w:tc>
          <w:tcPr>
            <w:tcW w:w="4932" w:type="dxa"/>
          </w:tcPr>
          <w:p w14:paraId="5F0C1E8D">
            <w:pPr>
              <w:pStyle w:val="23"/>
              <w:widowControl/>
              <w:spacing w:line="240" w:lineRule="auto"/>
              <w:ind w:firstLine="0"/>
              <w:jc w:val="center"/>
              <w:rPr>
                <w:color w:val="auto"/>
                <w:sz w:val="18"/>
                <w:szCs w:val="18"/>
                <w:lang w:eastAsia="pl-PL"/>
              </w:rPr>
            </w:pPr>
            <w:r>
              <w:rPr>
                <w:color w:val="auto"/>
                <w:sz w:val="18"/>
                <w:szCs w:val="18"/>
                <w:lang w:eastAsia="pl-PL"/>
              </w:rPr>
              <w:t>student status at the end of study.</w:t>
            </w:r>
          </w:p>
        </w:tc>
      </w:tr>
    </w:tbl>
    <w:p w14:paraId="1D0D40B9">
      <w:pPr>
        <w:pStyle w:val="23"/>
        <w:overflowPunct/>
        <w:autoSpaceDE/>
        <w:autoSpaceDN/>
        <w:adjustRightInd/>
        <w:spacing w:before="0" w:beforeAutospacing="0" w:after="120" w:afterLines="50" w:afterAutospacing="0" w:line="240" w:lineRule="auto"/>
        <w:textAlignment w:val="auto"/>
        <w:rPr>
          <w:color w:val="auto"/>
          <w:sz w:val="18"/>
          <w:szCs w:val="18"/>
        </w:rPr>
      </w:pPr>
      <w:r>
        <w:rPr>
          <w:b/>
          <w:bCs/>
          <w:color w:val="auto"/>
          <w:sz w:val="18"/>
          <w:szCs w:val="18"/>
        </w:rPr>
        <w:t>Source:</w:t>
      </w:r>
      <w:r>
        <w:rPr>
          <w:color w:val="auto"/>
          <w:sz w:val="18"/>
          <w:szCs w:val="18"/>
        </w:rPr>
        <w:t xml:space="preserve"> Own elaboration. </w:t>
      </w:r>
    </w:p>
    <w:p w14:paraId="31F08201">
      <w:pPr>
        <w:pStyle w:val="23"/>
        <w:spacing w:before="0" w:beforeAutospacing="0" w:after="0" w:afterAutospacing="0" w:line="240" w:lineRule="auto"/>
        <w:ind w:firstLine="0"/>
        <w:rPr>
          <w:color w:val="auto"/>
        </w:rPr>
      </w:pPr>
    </w:p>
    <w:p w14:paraId="4BBDD0AF">
      <w:pPr>
        <w:pStyle w:val="23"/>
        <w:spacing w:before="0" w:beforeAutospacing="0" w:after="0" w:afterAutospacing="0" w:line="240" w:lineRule="auto"/>
        <w:rPr>
          <w:color w:val="auto"/>
          <w:highlight w:val="red"/>
          <w:lang w:val="tr-TR"/>
        </w:rPr>
      </w:pPr>
      <w:r>
        <w:rPr>
          <w:color w:val="auto"/>
        </w:rPr>
        <w:t>Table 1 provides a structured overview of the operationalized variable groups and their respective constituent metrics utilized across all model specifications. The data structure simultaneously accounts for pre-enrollment attributes (such as demographic background and parental education), institutional integration factors (early academic performance), and exogenous economic pressures (macro-level indicators). This holistic approach ensures that the estimation of the primary outcome measure</w:t>
      </w:r>
      <w:r>
        <w:rPr>
          <w:color w:val="auto"/>
          <w:lang w:val="tr-TR"/>
        </w:rPr>
        <w:t xml:space="preserve"> </w:t>
      </w:r>
      <w:r>
        <w:rPr>
          <w:color w:val="auto"/>
        </w:rPr>
        <w:t>student status at the end of the study period</w:t>
      </w:r>
      <w:r>
        <w:rPr>
          <w:color w:val="auto"/>
          <w:lang w:val="tr-TR"/>
        </w:rPr>
        <w:t xml:space="preserve"> </w:t>
      </w:r>
      <w:r>
        <w:rPr>
          <w:color w:val="auto"/>
        </w:rPr>
        <w:t>is strictly controlled for both internal and external confounding dynamics.</w:t>
      </w:r>
    </w:p>
    <w:p w14:paraId="3B2F92B5">
      <w:pPr>
        <w:pStyle w:val="74"/>
        <w:spacing w:line="240" w:lineRule="auto"/>
        <w:rPr>
          <w:color w:val="auto"/>
          <w:highlight w:val="red"/>
          <w:lang w:val="tr-TR"/>
        </w:rPr>
      </w:pPr>
      <w:r>
        <w:rPr>
          <w:b/>
          <w:color w:val="auto"/>
        </w:rPr>
        <w:t xml:space="preserve">Table </w:t>
      </w:r>
      <w:r>
        <w:rPr>
          <w:b/>
          <w:color w:val="auto"/>
          <w:lang w:val="tr-TR"/>
        </w:rPr>
        <w:t>2</w:t>
      </w:r>
      <w:r>
        <w:rPr>
          <w:b/>
          <w:color w:val="auto"/>
        </w:rPr>
        <w:t>.</w:t>
      </w:r>
      <w:r>
        <w:rPr>
          <w:color w:val="auto"/>
        </w:rPr>
        <w:t xml:space="preserve"> De</w:t>
      </w:r>
      <w:r>
        <w:rPr>
          <w:color w:val="auto"/>
          <w:lang w:val="tr-TR"/>
        </w:rPr>
        <w:t>scriptive Statistics</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3"/>
        <w:gridCol w:w="1053"/>
        <w:gridCol w:w="1506"/>
        <w:gridCol w:w="1075"/>
        <w:gridCol w:w="1075"/>
      </w:tblGrid>
      <w:tr w14:paraId="6A09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1CB64190">
            <w:pPr>
              <w:pStyle w:val="23"/>
              <w:widowControl/>
              <w:spacing w:before="0" w:beforeAutospacing="0" w:after="0" w:afterAutospacing="0" w:line="240" w:lineRule="auto"/>
              <w:ind w:firstLine="0"/>
              <w:jc w:val="center"/>
              <w:rPr>
                <w:color w:val="auto"/>
                <w:lang w:val="tr-TR"/>
              </w:rPr>
            </w:pPr>
            <w:r>
              <w:rPr>
                <w:color w:val="auto"/>
                <w:lang w:val="tr-TR"/>
              </w:rPr>
              <w:t>Variable</w:t>
            </w:r>
          </w:p>
        </w:tc>
        <w:tc>
          <w:tcPr>
            <w:tcW w:w="1053" w:type="dxa"/>
          </w:tcPr>
          <w:p w14:paraId="0B4D7512">
            <w:pPr>
              <w:pStyle w:val="23"/>
              <w:widowControl/>
              <w:spacing w:before="0" w:beforeAutospacing="0" w:after="0" w:afterAutospacing="0" w:line="240" w:lineRule="auto"/>
              <w:ind w:firstLine="0"/>
              <w:jc w:val="center"/>
              <w:rPr>
                <w:color w:val="auto"/>
                <w:lang w:val="tr-TR"/>
              </w:rPr>
            </w:pPr>
            <w:r>
              <w:rPr>
                <w:color w:val="auto"/>
                <w:lang w:val="tr-TR"/>
              </w:rPr>
              <w:t>Mean</w:t>
            </w:r>
          </w:p>
        </w:tc>
        <w:tc>
          <w:tcPr>
            <w:tcW w:w="1506" w:type="dxa"/>
          </w:tcPr>
          <w:p w14:paraId="32EC73E2">
            <w:pPr>
              <w:pStyle w:val="23"/>
              <w:widowControl/>
              <w:spacing w:before="0" w:beforeAutospacing="0" w:after="0" w:afterAutospacing="0" w:line="240" w:lineRule="auto"/>
              <w:ind w:firstLine="0"/>
              <w:jc w:val="center"/>
              <w:rPr>
                <w:color w:val="auto"/>
                <w:lang w:val="tr-TR"/>
              </w:rPr>
            </w:pPr>
            <w:r>
              <w:rPr>
                <w:color w:val="auto"/>
                <w:lang w:val="tr-TR"/>
              </w:rPr>
              <w:t>Standard Deviation (SD)</w:t>
            </w:r>
          </w:p>
        </w:tc>
        <w:tc>
          <w:tcPr>
            <w:tcW w:w="1075" w:type="dxa"/>
          </w:tcPr>
          <w:p w14:paraId="4FE5996D">
            <w:pPr>
              <w:pStyle w:val="23"/>
              <w:widowControl/>
              <w:spacing w:before="0" w:beforeAutospacing="0" w:after="0" w:afterAutospacing="0" w:line="240" w:lineRule="auto"/>
              <w:ind w:firstLine="0"/>
              <w:jc w:val="center"/>
              <w:rPr>
                <w:color w:val="auto"/>
                <w:lang w:val="tr-TR"/>
              </w:rPr>
            </w:pPr>
            <w:r>
              <w:rPr>
                <w:color w:val="auto"/>
                <w:lang w:val="tr-TR"/>
              </w:rPr>
              <w:t>Minimum (Min)</w:t>
            </w:r>
          </w:p>
        </w:tc>
        <w:tc>
          <w:tcPr>
            <w:tcW w:w="1075" w:type="dxa"/>
          </w:tcPr>
          <w:p w14:paraId="09C958B5">
            <w:pPr>
              <w:pStyle w:val="23"/>
              <w:widowControl/>
              <w:spacing w:before="0" w:beforeAutospacing="0" w:after="0" w:afterAutospacing="0" w:line="240" w:lineRule="auto"/>
              <w:ind w:firstLine="0"/>
              <w:jc w:val="center"/>
              <w:rPr>
                <w:color w:val="auto"/>
                <w:lang w:val="tr-TR"/>
              </w:rPr>
            </w:pPr>
            <w:r>
              <w:rPr>
                <w:color w:val="auto"/>
                <w:lang w:val="tr-TR"/>
              </w:rPr>
              <w:t>M</w:t>
            </w:r>
            <w:r>
              <w:rPr>
                <w:color w:val="auto"/>
              </w:rPr>
              <w:t xml:space="preserve">aximum </w:t>
            </w:r>
            <w:r>
              <w:rPr>
                <w:color w:val="auto"/>
                <w:lang w:val="tr-TR"/>
              </w:rPr>
              <w:t>(M</w:t>
            </w:r>
            <w:r>
              <w:rPr>
                <w:color w:val="auto"/>
              </w:rPr>
              <w:t>ax</w:t>
            </w:r>
            <w:r>
              <w:rPr>
                <w:color w:val="auto"/>
                <w:lang w:val="tr-TR"/>
              </w:rPr>
              <w:t>)</w:t>
            </w:r>
          </w:p>
        </w:tc>
      </w:tr>
      <w:tr w14:paraId="5E2E1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4BE85542">
            <w:pPr>
              <w:pStyle w:val="23"/>
              <w:widowControl/>
              <w:spacing w:before="0" w:beforeAutospacing="0" w:after="0" w:afterAutospacing="0" w:line="240" w:lineRule="auto"/>
              <w:ind w:firstLine="0"/>
              <w:rPr>
                <w:color w:val="auto"/>
                <w:lang w:val="tr-TR"/>
              </w:rPr>
            </w:pPr>
            <w:r>
              <w:rPr>
                <w:color w:val="auto"/>
                <w:lang w:val="tr-TR"/>
              </w:rPr>
              <w:t>Previous qualification grade</w:t>
            </w:r>
          </w:p>
        </w:tc>
        <w:tc>
          <w:tcPr>
            <w:tcW w:w="1053" w:type="dxa"/>
          </w:tcPr>
          <w:p w14:paraId="1554AE7A">
            <w:pPr>
              <w:pStyle w:val="23"/>
              <w:widowControl/>
              <w:spacing w:before="0" w:beforeAutospacing="0" w:after="0" w:afterAutospacing="0" w:line="240" w:lineRule="auto"/>
              <w:jc w:val="center"/>
              <w:rPr>
                <w:color w:val="auto"/>
                <w:lang w:val="tr-TR"/>
              </w:rPr>
            </w:pPr>
            <w:r>
              <w:rPr>
                <w:color w:val="auto"/>
                <w:lang w:val="tr-TR"/>
              </w:rPr>
              <w:t>132.61</w:t>
            </w:r>
          </w:p>
        </w:tc>
        <w:tc>
          <w:tcPr>
            <w:tcW w:w="1506" w:type="dxa"/>
          </w:tcPr>
          <w:p w14:paraId="0F338A98">
            <w:pPr>
              <w:pStyle w:val="23"/>
              <w:widowControl/>
              <w:spacing w:before="0" w:beforeAutospacing="0" w:after="0" w:afterAutospacing="0" w:line="240" w:lineRule="auto"/>
              <w:jc w:val="center"/>
              <w:rPr>
                <w:color w:val="auto"/>
                <w:lang w:val="tr-TR"/>
              </w:rPr>
            </w:pPr>
            <w:r>
              <w:rPr>
                <w:color w:val="auto"/>
                <w:lang w:val="tr-TR"/>
              </w:rPr>
              <w:t>13.19</w:t>
            </w:r>
          </w:p>
        </w:tc>
        <w:tc>
          <w:tcPr>
            <w:tcW w:w="1075" w:type="dxa"/>
          </w:tcPr>
          <w:p w14:paraId="1CCA1A3C">
            <w:pPr>
              <w:pStyle w:val="23"/>
              <w:widowControl/>
              <w:spacing w:before="0" w:beforeAutospacing="0" w:after="0" w:afterAutospacing="0" w:line="240" w:lineRule="auto"/>
              <w:jc w:val="center"/>
              <w:rPr>
                <w:color w:val="auto"/>
                <w:lang w:val="tr-TR"/>
              </w:rPr>
            </w:pPr>
            <w:r>
              <w:rPr>
                <w:color w:val="auto"/>
                <w:lang w:val="tr-TR"/>
              </w:rPr>
              <w:t>95</w:t>
            </w:r>
          </w:p>
        </w:tc>
        <w:tc>
          <w:tcPr>
            <w:tcW w:w="1075" w:type="dxa"/>
          </w:tcPr>
          <w:p w14:paraId="680C5CE6">
            <w:pPr>
              <w:pStyle w:val="23"/>
              <w:widowControl/>
              <w:spacing w:before="0" w:beforeAutospacing="0" w:after="0" w:afterAutospacing="0" w:line="240" w:lineRule="auto"/>
              <w:jc w:val="center"/>
              <w:rPr>
                <w:color w:val="auto"/>
                <w:lang w:val="tr-TR"/>
              </w:rPr>
            </w:pPr>
            <w:r>
              <w:rPr>
                <w:color w:val="auto"/>
                <w:lang w:val="tr-TR"/>
              </w:rPr>
              <w:t>190</w:t>
            </w:r>
          </w:p>
        </w:tc>
      </w:tr>
      <w:tr w14:paraId="31C2F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072BD98C">
            <w:pPr>
              <w:pStyle w:val="23"/>
              <w:widowControl/>
              <w:spacing w:before="0" w:beforeAutospacing="0" w:after="0" w:afterAutospacing="0" w:line="240" w:lineRule="auto"/>
              <w:ind w:firstLine="0"/>
              <w:rPr>
                <w:color w:val="auto"/>
                <w:lang w:val="tr-TR"/>
              </w:rPr>
            </w:pPr>
            <w:r>
              <w:rPr>
                <w:color w:val="auto"/>
                <w:lang w:val="tr-TR"/>
              </w:rPr>
              <w:t>Admission grade</w:t>
            </w:r>
          </w:p>
        </w:tc>
        <w:tc>
          <w:tcPr>
            <w:tcW w:w="1053" w:type="dxa"/>
          </w:tcPr>
          <w:p w14:paraId="644E794C">
            <w:pPr>
              <w:pStyle w:val="23"/>
              <w:widowControl/>
              <w:spacing w:before="0" w:beforeAutospacing="0" w:after="0" w:afterAutospacing="0" w:line="240" w:lineRule="auto"/>
              <w:jc w:val="center"/>
              <w:rPr>
                <w:color w:val="auto"/>
                <w:lang w:val="tr-TR"/>
              </w:rPr>
            </w:pPr>
            <w:r>
              <w:rPr>
                <w:color w:val="auto"/>
                <w:lang w:val="tr-TR"/>
              </w:rPr>
              <w:t>126.98</w:t>
            </w:r>
          </w:p>
        </w:tc>
        <w:tc>
          <w:tcPr>
            <w:tcW w:w="1506" w:type="dxa"/>
          </w:tcPr>
          <w:p w14:paraId="2FEA334D">
            <w:pPr>
              <w:pStyle w:val="23"/>
              <w:widowControl/>
              <w:spacing w:before="0" w:beforeAutospacing="0" w:after="0" w:afterAutospacing="0" w:line="240" w:lineRule="auto"/>
              <w:jc w:val="center"/>
              <w:rPr>
                <w:color w:val="auto"/>
                <w:lang w:val="tr-TR"/>
              </w:rPr>
            </w:pPr>
            <w:r>
              <w:rPr>
                <w:color w:val="auto"/>
                <w:lang w:val="tr-TR"/>
              </w:rPr>
              <w:t>14.48</w:t>
            </w:r>
          </w:p>
        </w:tc>
        <w:tc>
          <w:tcPr>
            <w:tcW w:w="1075" w:type="dxa"/>
          </w:tcPr>
          <w:p w14:paraId="00DC1538">
            <w:pPr>
              <w:pStyle w:val="23"/>
              <w:widowControl/>
              <w:spacing w:before="0" w:beforeAutospacing="0" w:after="0" w:afterAutospacing="0" w:line="240" w:lineRule="auto"/>
              <w:jc w:val="center"/>
              <w:rPr>
                <w:color w:val="auto"/>
                <w:lang w:val="tr-TR"/>
              </w:rPr>
            </w:pPr>
            <w:r>
              <w:rPr>
                <w:color w:val="auto"/>
                <w:lang w:val="tr-TR"/>
              </w:rPr>
              <w:t>95</w:t>
            </w:r>
          </w:p>
        </w:tc>
        <w:tc>
          <w:tcPr>
            <w:tcW w:w="1075" w:type="dxa"/>
          </w:tcPr>
          <w:p w14:paraId="019FB33F">
            <w:pPr>
              <w:pStyle w:val="23"/>
              <w:widowControl/>
              <w:spacing w:before="0" w:beforeAutospacing="0" w:after="0" w:afterAutospacing="0" w:line="240" w:lineRule="auto"/>
              <w:jc w:val="center"/>
              <w:rPr>
                <w:color w:val="auto"/>
                <w:lang w:val="tr-TR"/>
              </w:rPr>
            </w:pPr>
            <w:r>
              <w:rPr>
                <w:color w:val="auto"/>
                <w:lang w:val="tr-TR"/>
              </w:rPr>
              <w:t>190</w:t>
            </w:r>
          </w:p>
        </w:tc>
      </w:tr>
      <w:tr w14:paraId="48A78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3BD2FA6E">
            <w:pPr>
              <w:pStyle w:val="23"/>
              <w:widowControl/>
              <w:spacing w:before="0" w:beforeAutospacing="0" w:after="0" w:afterAutospacing="0" w:line="240" w:lineRule="auto"/>
              <w:ind w:firstLine="0"/>
              <w:rPr>
                <w:color w:val="auto"/>
                <w:lang w:val="tr-TR"/>
              </w:rPr>
            </w:pPr>
            <w:r>
              <w:rPr>
                <w:color w:val="auto"/>
                <w:lang w:val="tr-TR"/>
              </w:rPr>
              <w:t>Age at enrollment</w:t>
            </w:r>
          </w:p>
        </w:tc>
        <w:tc>
          <w:tcPr>
            <w:tcW w:w="1053" w:type="dxa"/>
          </w:tcPr>
          <w:p w14:paraId="7C6E304E">
            <w:pPr>
              <w:pStyle w:val="23"/>
              <w:widowControl/>
              <w:spacing w:before="0" w:beforeAutospacing="0" w:after="0" w:afterAutospacing="0" w:line="240" w:lineRule="auto"/>
              <w:jc w:val="center"/>
              <w:rPr>
                <w:color w:val="auto"/>
                <w:lang w:val="tr-TR"/>
              </w:rPr>
            </w:pPr>
            <w:r>
              <w:rPr>
                <w:color w:val="auto"/>
                <w:lang w:val="tr-TR"/>
              </w:rPr>
              <w:t>23.27</w:t>
            </w:r>
          </w:p>
        </w:tc>
        <w:tc>
          <w:tcPr>
            <w:tcW w:w="1506" w:type="dxa"/>
          </w:tcPr>
          <w:p w14:paraId="4CCB7E84">
            <w:pPr>
              <w:pStyle w:val="23"/>
              <w:widowControl/>
              <w:spacing w:before="0" w:beforeAutospacing="0" w:after="0" w:afterAutospacing="0" w:line="240" w:lineRule="auto"/>
              <w:jc w:val="center"/>
              <w:rPr>
                <w:color w:val="auto"/>
                <w:lang w:val="tr-TR"/>
              </w:rPr>
            </w:pPr>
            <w:r>
              <w:rPr>
                <w:color w:val="auto"/>
                <w:lang w:val="tr-TR"/>
              </w:rPr>
              <w:t>7.59</w:t>
            </w:r>
          </w:p>
        </w:tc>
        <w:tc>
          <w:tcPr>
            <w:tcW w:w="1075" w:type="dxa"/>
          </w:tcPr>
          <w:p w14:paraId="58F73B94">
            <w:pPr>
              <w:pStyle w:val="23"/>
              <w:widowControl/>
              <w:spacing w:before="0" w:beforeAutospacing="0" w:after="0" w:afterAutospacing="0" w:line="240" w:lineRule="auto"/>
              <w:jc w:val="center"/>
              <w:rPr>
                <w:color w:val="auto"/>
                <w:lang w:val="tr-TR"/>
              </w:rPr>
            </w:pPr>
            <w:r>
              <w:rPr>
                <w:color w:val="auto"/>
                <w:lang w:val="tr-TR"/>
              </w:rPr>
              <w:t>17</w:t>
            </w:r>
          </w:p>
        </w:tc>
        <w:tc>
          <w:tcPr>
            <w:tcW w:w="1075" w:type="dxa"/>
          </w:tcPr>
          <w:p w14:paraId="6144D5F4">
            <w:pPr>
              <w:pStyle w:val="23"/>
              <w:widowControl/>
              <w:spacing w:before="0" w:beforeAutospacing="0" w:after="0" w:afterAutospacing="0" w:line="240" w:lineRule="auto"/>
              <w:jc w:val="center"/>
              <w:rPr>
                <w:color w:val="auto"/>
                <w:lang w:val="tr-TR"/>
              </w:rPr>
            </w:pPr>
            <w:r>
              <w:rPr>
                <w:color w:val="auto"/>
                <w:lang w:val="tr-TR"/>
              </w:rPr>
              <w:t>70</w:t>
            </w:r>
          </w:p>
        </w:tc>
      </w:tr>
      <w:tr w14:paraId="6FB70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3C125011">
            <w:pPr>
              <w:pStyle w:val="23"/>
              <w:widowControl/>
              <w:spacing w:before="0" w:beforeAutospacing="0" w:after="0" w:afterAutospacing="0" w:line="240" w:lineRule="auto"/>
              <w:ind w:firstLine="0"/>
              <w:rPr>
                <w:color w:val="auto"/>
                <w:lang w:val="tr-TR"/>
              </w:rPr>
            </w:pPr>
            <w:r>
              <w:rPr>
                <w:color w:val="auto"/>
                <w:lang w:val="tr-TR"/>
              </w:rPr>
              <w:t>Curricular units 1</w:t>
            </w:r>
            <w:r>
              <w:rPr>
                <w:color w:val="auto"/>
                <w:vertAlign w:val="superscript"/>
                <w:lang w:val="tr-TR"/>
              </w:rPr>
              <w:t>st</w:t>
            </w:r>
            <w:r>
              <w:rPr>
                <w:color w:val="auto"/>
                <w:lang w:val="tr-TR"/>
              </w:rPr>
              <w:t xml:space="preserve"> sem (grade)</w:t>
            </w:r>
          </w:p>
        </w:tc>
        <w:tc>
          <w:tcPr>
            <w:tcW w:w="1053" w:type="dxa"/>
          </w:tcPr>
          <w:p w14:paraId="06537294">
            <w:pPr>
              <w:pStyle w:val="23"/>
              <w:widowControl/>
              <w:spacing w:before="0" w:beforeAutospacing="0" w:after="0" w:afterAutospacing="0" w:line="240" w:lineRule="auto"/>
              <w:jc w:val="center"/>
              <w:rPr>
                <w:color w:val="auto"/>
                <w:lang w:val="tr-TR"/>
              </w:rPr>
            </w:pPr>
            <w:r>
              <w:rPr>
                <w:color w:val="auto"/>
                <w:lang w:val="tr-TR"/>
              </w:rPr>
              <w:t>10.64</w:t>
            </w:r>
          </w:p>
        </w:tc>
        <w:tc>
          <w:tcPr>
            <w:tcW w:w="1506" w:type="dxa"/>
          </w:tcPr>
          <w:p w14:paraId="63A832D3">
            <w:pPr>
              <w:pStyle w:val="23"/>
              <w:widowControl/>
              <w:spacing w:before="0" w:beforeAutospacing="0" w:after="0" w:afterAutospacing="0" w:line="240" w:lineRule="auto"/>
              <w:jc w:val="center"/>
              <w:rPr>
                <w:color w:val="auto"/>
                <w:lang w:val="tr-TR"/>
              </w:rPr>
            </w:pPr>
            <w:r>
              <w:rPr>
                <w:color w:val="auto"/>
                <w:lang w:val="tr-TR"/>
              </w:rPr>
              <w:t>4.84</w:t>
            </w:r>
          </w:p>
        </w:tc>
        <w:tc>
          <w:tcPr>
            <w:tcW w:w="1075" w:type="dxa"/>
          </w:tcPr>
          <w:p w14:paraId="66B8E20A">
            <w:pPr>
              <w:pStyle w:val="23"/>
              <w:widowControl/>
              <w:spacing w:before="0" w:beforeAutospacing="0" w:after="0" w:afterAutospacing="0" w:line="240" w:lineRule="auto"/>
              <w:jc w:val="center"/>
              <w:rPr>
                <w:color w:val="auto"/>
                <w:lang w:val="tr-TR"/>
              </w:rPr>
            </w:pPr>
            <w:r>
              <w:rPr>
                <w:color w:val="auto"/>
                <w:lang w:val="tr-TR"/>
              </w:rPr>
              <w:t>0</w:t>
            </w:r>
          </w:p>
        </w:tc>
        <w:tc>
          <w:tcPr>
            <w:tcW w:w="1075" w:type="dxa"/>
          </w:tcPr>
          <w:p w14:paraId="4A786115">
            <w:pPr>
              <w:pStyle w:val="23"/>
              <w:widowControl/>
              <w:spacing w:before="0" w:beforeAutospacing="0" w:after="0" w:afterAutospacing="0" w:line="240" w:lineRule="auto"/>
              <w:jc w:val="center"/>
              <w:rPr>
                <w:color w:val="auto"/>
                <w:lang w:val="tr-TR"/>
              </w:rPr>
            </w:pPr>
            <w:r>
              <w:rPr>
                <w:color w:val="auto"/>
                <w:lang w:val="tr-TR"/>
              </w:rPr>
              <w:t>18.88</w:t>
            </w:r>
          </w:p>
        </w:tc>
      </w:tr>
      <w:tr w14:paraId="2064F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53DFA61F">
            <w:pPr>
              <w:pStyle w:val="23"/>
              <w:widowControl/>
              <w:spacing w:before="0" w:beforeAutospacing="0" w:after="0" w:afterAutospacing="0" w:line="240" w:lineRule="auto"/>
              <w:ind w:firstLine="0"/>
              <w:rPr>
                <w:color w:val="auto"/>
                <w:lang w:val="tr-TR"/>
              </w:rPr>
            </w:pPr>
            <w:r>
              <w:rPr>
                <w:color w:val="auto"/>
                <w:lang w:val="tr-TR"/>
              </w:rPr>
              <w:t>Curricular units 2</w:t>
            </w:r>
            <w:r>
              <w:rPr>
                <w:color w:val="auto"/>
                <w:vertAlign w:val="superscript"/>
                <w:lang w:val="tr-TR"/>
              </w:rPr>
              <w:t>nd</w:t>
            </w:r>
            <w:r>
              <w:rPr>
                <w:color w:val="auto"/>
                <w:lang w:val="tr-TR"/>
              </w:rPr>
              <w:t xml:space="preserve"> sem (grade)</w:t>
            </w:r>
          </w:p>
        </w:tc>
        <w:tc>
          <w:tcPr>
            <w:tcW w:w="1053" w:type="dxa"/>
          </w:tcPr>
          <w:p w14:paraId="4E8C8FD7">
            <w:pPr>
              <w:pStyle w:val="23"/>
              <w:widowControl/>
              <w:spacing w:before="0" w:beforeAutospacing="0" w:after="0" w:afterAutospacing="0" w:line="240" w:lineRule="auto"/>
              <w:jc w:val="center"/>
              <w:rPr>
                <w:color w:val="auto"/>
                <w:lang w:val="tr-TR"/>
              </w:rPr>
            </w:pPr>
            <w:r>
              <w:rPr>
                <w:color w:val="auto"/>
                <w:lang w:val="tr-TR"/>
              </w:rPr>
              <w:t>10.23</w:t>
            </w:r>
          </w:p>
        </w:tc>
        <w:tc>
          <w:tcPr>
            <w:tcW w:w="1506" w:type="dxa"/>
          </w:tcPr>
          <w:p w14:paraId="67E3EA4D">
            <w:pPr>
              <w:pStyle w:val="23"/>
              <w:widowControl/>
              <w:spacing w:before="0" w:beforeAutospacing="0" w:after="0" w:afterAutospacing="0" w:line="240" w:lineRule="auto"/>
              <w:jc w:val="center"/>
              <w:rPr>
                <w:color w:val="auto"/>
                <w:lang w:val="tr-TR"/>
              </w:rPr>
            </w:pPr>
            <w:r>
              <w:rPr>
                <w:color w:val="auto"/>
                <w:lang w:val="tr-TR"/>
              </w:rPr>
              <w:t>5.21</w:t>
            </w:r>
          </w:p>
        </w:tc>
        <w:tc>
          <w:tcPr>
            <w:tcW w:w="1075" w:type="dxa"/>
          </w:tcPr>
          <w:p w14:paraId="035021F9">
            <w:pPr>
              <w:pStyle w:val="23"/>
              <w:widowControl/>
              <w:spacing w:before="0" w:beforeAutospacing="0" w:after="0" w:afterAutospacing="0" w:line="240" w:lineRule="auto"/>
              <w:jc w:val="center"/>
              <w:rPr>
                <w:color w:val="auto"/>
                <w:lang w:val="tr-TR"/>
              </w:rPr>
            </w:pPr>
            <w:r>
              <w:rPr>
                <w:color w:val="auto"/>
                <w:lang w:val="tr-TR"/>
              </w:rPr>
              <w:t>0</w:t>
            </w:r>
          </w:p>
        </w:tc>
        <w:tc>
          <w:tcPr>
            <w:tcW w:w="1075" w:type="dxa"/>
          </w:tcPr>
          <w:p w14:paraId="56758BA5">
            <w:pPr>
              <w:pStyle w:val="23"/>
              <w:widowControl/>
              <w:spacing w:before="0" w:beforeAutospacing="0" w:after="0" w:afterAutospacing="0" w:line="240" w:lineRule="auto"/>
              <w:jc w:val="center"/>
              <w:rPr>
                <w:color w:val="auto"/>
                <w:lang w:val="tr-TR"/>
              </w:rPr>
            </w:pPr>
            <w:r>
              <w:rPr>
                <w:color w:val="auto"/>
                <w:lang w:val="tr-TR"/>
              </w:rPr>
              <w:t>18.57</w:t>
            </w:r>
          </w:p>
        </w:tc>
      </w:tr>
      <w:tr w14:paraId="3D0BA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78BC05F1">
            <w:pPr>
              <w:pStyle w:val="23"/>
              <w:widowControl/>
              <w:spacing w:before="0" w:beforeAutospacing="0" w:after="0" w:afterAutospacing="0" w:line="240" w:lineRule="auto"/>
              <w:ind w:firstLine="0"/>
              <w:rPr>
                <w:color w:val="auto"/>
                <w:lang w:val="tr-TR"/>
              </w:rPr>
            </w:pPr>
            <w:r>
              <w:rPr>
                <w:color w:val="auto"/>
                <w:lang w:val="tr-TR"/>
              </w:rPr>
              <w:t>Unemployment rate</w:t>
            </w:r>
          </w:p>
        </w:tc>
        <w:tc>
          <w:tcPr>
            <w:tcW w:w="1053" w:type="dxa"/>
          </w:tcPr>
          <w:p w14:paraId="56CB631E">
            <w:pPr>
              <w:pStyle w:val="23"/>
              <w:widowControl/>
              <w:spacing w:before="0" w:beforeAutospacing="0" w:after="0" w:afterAutospacing="0" w:line="240" w:lineRule="auto"/>
              <w:jc w:val="center"/>
              <w:rPr>
                <w:color w:val="auto"/>
                <w:lang w:val="tr-TR"/>
              </w:rPr>
            </w:pPr>
            <w:r>
              <w:rPr>
                <w:color w:val="auto"/>
                <w:lang w:val="tr-TR"/>
              </w:rPr>
              <w:t>11.57</w:t>
            </w:r>
          </w:p>
        </w:tc>
        <w:tc>
          <w:tcPr>
            <w:tcW w:w="1506" w:type="dxa"/>
          </w:tcPr>
          <w:p w14:paraId="3F873DD2">
            <w:pPr>
              <w:pStyle w:val="23"/>
              <w:widowControl/>
              <w:spacing w:before="0" w:beforeAutospacing="0" w:after="0" w:afterAutospacing="0" w:line="240" w:lineRule="auto"/>
              <w:jc w:val="center"/>
              <w:rPr>
                <w:color w:val="auto"/>
                <w:lang w:val="tr-TR"/>
              </w:rPr>
            </w:pPr>
            <w:r>
              <w:rPr>
                <w:color w:val="auto"/>
                <w:lang w:val="tr-TR"/>
              </w:rPr>
              <w:t>2.66</w:t>
            </w:r>
          </w:p>
        </w:tc>
        <w:tc>
          <w:tcPr>
            <w:tcW w:w="1075" w:type="dxa"/>
          </w:tcPr>
          <w:p w14:paraId="43328B5B">
            <w:pPr>
              <w:pStyle w:val="23"/>
              <w:widowControl/>
              <w:spacing w:before="0" w:beforeAutospacing="0" w:after="0" w:afterAutospacing="0" w:line="240" w:lineRule="auto"/>
              <w:jc w:val="center"/>
              <w:rPr>
                <w:color w:val="auto"/>
                <w:lang w:val="tr-TR"/>
              </w:rPr>
            </w:pPr>
            <w:r>
              <w:rPr>
                <w:color w:val="auto"/>
                <w:lang w:val="tr-TR"/>
              </w:rPr>
              <w:t>7.6</w:t>
            </w:r>
          </w:p>
        </w:tc>
        <w:tc>
          <w:tcPr>
            <w:tcW w:w="1075" w:type="dxa"/>
          </w:tcPr>
          <w:p w14:paraId="1809F1B4">
            <w:pPr>
              <w:pStyle w:val="23"/>
              <w:widowControl/>
              <w:spacing w:before="0" w:beforeAutospacing="0" w:after="0" w:afterAutospacing="0" w:line="240" w:lineRule="auto"/>
              <w:jc w:val="center"/>
              <w:rPr>
                <w:color w:val="auto"/>
                <w:lang w:val="tr-TR"/>
              </w:rPr>
            </w:pPr>
            <w:r>
              <w:rPr>
                <w:color w:val="auto"/>
                <w:lang w:val="tr-TR"/>
              </w:rPr>
              <w:t>16.2</w:t>
            </w:r>
          </w:p>
        </w:tc>
      </w:tr>
      <w:tr w14:paraId="508C7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2DE159BD">
            <w:pPr>
              <w:pStyle w:val="23"/>
              <w:widowControl/>
              <w:spacing w:before="0" w:beforeAutospacing="0" w:after="0" w:afterAutospacing="0" w:line="240" w:lineRule="auto"/>
              <w:ind w:firstLine="0"/>
              <w:rPr>
                <w:color w:val="auto"/>
                <w:lang w:val="tr-TR"/>
              </w:rPr>
            </w:pPr>
            <w:r>
              <w:rPr>
                <w:color w:val="auto"/>
                <w:lang w:val="tr-TR"/>
              </w:rPr>
              <w:t>Inflation rate</w:t>
            </w:r>
          </w:p>
        </w:tc>
        <w:tc>
          <w:tcPr>
            <w:tcW w:w="1053" w:type="dxa"/>
          </w:tcPr>
          <w:p w14:paraId="2EA92234">
            <w:pPr>
              <w:pStyle w:val="23"/>
              <w:widowControl/>
              <w:spacing w:before="0" w:beforeAutospacing="0" w:after="0" w:afterAutospacing="0" w:line="240" w:lineRule="auto"/>
              <w:jc w:val="center"/>
              <w:rPr>
                <w:color w:val="auto"/>
                <w:lang w:val="tr-TR"/>
              </w:rPr>
            </w:pPr>
            <w:r>
              <w:rPr>
                <w:color w:val="auto"/>
                <w:lang w:val="tr-TR"/>
              </w:rPr>
              <w:t>1.23</w:t>
            </w:r>
          </w:p>
        </w:tc>
        <w:tc>
          <w:tcPr>
            <w:tcW w:w="1506" w:type="dxa"/>
          </w:tcPr>
          <w:p w14:paraId="7663E781">
            <w:pPr>
              <w:pStyle w:val="23"/>
              <w:widowControl/>
              <w:spacing w:before="0" w:beforeAutospacing="0" w:after="0" w:afterAutospacing="0" w:line="240" w:lineRule="auto"/>
              <w:jc w:val="center"/>
              <w:rPr>
                <w:color w:val="auto"/>
                <w:lang w:val="tr-TR"/>
              </w:rPr>
            </w:pPr>
            <w:r>
              <w:rPr>
                <w:color w:val="auto"/>
                <w:lang w:val="tr-TR"/>
              </w:rPr>
              <w:t>1.38</w:t>
            </w:r>
          </w:p>
        </w:tc>
        <w:tc>
          <w:tcPr>
            <w:tcW w:w="1075" w:type="dxa"/>
          </w:tcPr>
          <w:p w14:paraId="56E95029">
            <w:pPr>
              <w:pStyle w:val="23"/>
              <w:widowControl/>
              <w:spacing w:before="0" w:beforeAutospacing="0" w:after="0" w:afterAutospacing="0" w:line="240" w:lineRule="auto"/>
              <w:jc w:val="center"/>
              <w:rPr>
                <w:color w:val="auto"/>
                <w:lang w:val="tr-TR"/>
              </w:rPr>
            </w:pPr>
            <w:r>
              <w:rPr>
                <w:color w:val="auto"/>
                <w:lang w:val="tr-TR"/>
              </w:rPr>
              <w:t>-0.8</w:t>
            </w:r>
          </w:p>
        </w:tc>
        <w:tc>
          <w:tcPr>
            <w:tcW w:w="1075" w:type="dxa"/>
          </w:tcPr>
          <w:p w14:paraId="5DC85595">
            <w:pPr>
              <w:pStyle w:val="23"/>
              <w:widowControl/>
              <w:spacing w:before="0" w:beforeAutospacing="0" w:after="0" w:afterAutospacing="0" w:line="240" w:lineRule="auto"/>
              <w:jc w:val="center"/>
              <w:rPr>
                <w:color w:val="auto"/>
                <w:lang w:val="tr-TR"/>
              </w:rPr>
            </w:pPr>
            <w:r>
              <w:rPr>
                <w:color w:val="auto"/>
                <w:lang w:val="tr-TR"/>
              </w:rPr>
              <w:t>3.70</w:t>
            </w:r>
          </w:p>
        </w:tc>
      </w:tr>
      <w:tr w14:paraId="26013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Pr>
          <w:p w14:paraId="46F58463">
            <w:pPr>
              <w:pStyle w:val="23"/>
              <w:widowControl/>
              <w:spacing w:before="0" w:beforeAutospacing="0" w:after="0" w:afterAutospacing="0" w:line="240" w:lineRule="auto"/>
              <w:ind w:firstLine="0"/>
              <w:rPr>
                <w:color w:val="auto"/>
                <w:lang w:val="tr-TR"/>
              </w:rPr>
            </w:pPr>
            <w:r>
              <w:rPr>
                <w:color w:val="auto"/>
                <w:lang w:val="tr-TR"/>
              </w:rPr>
              <w:t>GDP growth rate</w:t>
            </w:r>
          </w:p>
        </w:tc>
        <w:tc>
          <w:tcPr>
            <w:tcW w:w="1053" w:type="dxa"/>
          </w:tcPr>
          <w:p w14:paraId="3EF24185">
            <w:pPr>
              <w:pStyle w:val="23"/>
              <w:widowControl/>
              <w:spacing w:before="0" w:beforeAutospacing="0" w:after="0" w:afterAutospacing="0" w:line="240" w:lineRule="auto"/>
              <w:jc w:val="center"/>
              <w:rPr>
                <w:color w:val="auto"/>
                <w:lang w:val="tr-TR"/>
              </w:rPr>
            </w:pPr>
            <w:r>
              <w:rPr>
                <w:color w:val="auto"/>
                <w:lang w:val="tr-TR"/>
              </w:rPr>
              <w:t>0</w:t>
            </w:r>
          </w:p>
        </w:tc>
        <w:tc>
          <w:tcPr>
            <w:tcW w:w="1506" w:type="dxa"/>
          </w:tcPr>
          <w:p w14:paraId="3589700E">
            <w:pPr>
              <w:pStyle w:val="23"/>
              <w:widowControl/>
              <w:spacing w:before="0" w:beforeAutospacing="0" w:after="0" w:afterAutospacing="0" w:line="240" w:lineRule="auto"/>
              <w:jc w:val="center"/>
              <w:rPr>
                <w:color w:val="auto"/>
                <w:lang w:val="tr-TR"/>
              </w:rPr>
            </w:pPr>
            <w:r>
              <w:rPr>
                <w:color w:val="auto"/>
                <w:lang w:val="tr-TR"/>
              </w:rPr>
              <w:t>2.27</w:t>
            </w:r>
          </w:p>
        </w:tc>
        <w:tc>
          <w:tcPr>
            <w:tcW w:w="1075" w:type="dxa"/>
          </w:tcPr>
          <w:p w14:paraId="23BC8CD3">
            <w:pPr>
              <w:pStyle w:val="23"/>
              <w:widowControl/>
              <w:spacing w:before="0" w:beforeAutospacing="0" w:after="0" w:afterAutospacing="0" w:line="240" w:lineRule="auto"/>
              <w:jc w:val="center"/>
              <w:rPr>
                <w:color w:val="auto"/>
                <w:lang w:val="tr-TR"/>
              </w:rPr>
            </w:pPr>
            <w:r>
              <w:rPr>
                <w:color w:val="auto"/>
                <w:lang w:val="tr-TR"/>
              </w:rPr>
              <w:t>-4.06</w:t>
            </w:r>
          </w:p>
        </w:tc>
        <w:tc>
          <w:tcPr>
            <w:tcW w:w="1075" w:type="dxa"/>
          </w:tcPr>
          <w:p w14:paraId="3C9A8958">
            <w:pPr>
              <w:pStyle w:val="23"/>
              <w:widowControl/>
              <w:spacing w:before="0" w:beforeAutospacing="0" w:after="0" w:afterAutospacing="0" w:line="240" w:lineRule="auto"/>
              <w:jc w:val="center"/>
              <w:rPr>
                <w:color w:val="auto"/>
                <w:lang w:val="tr-TR"/>
              </w:rPr>
            </w:pPr>
            <w:r>
              <w:rPr>
                <w:color w:val="auto"/>
                <w:lang w:val="tr-TR"/>
              </w:rPr>
              <w:t>3.51</w:t>
            </w:r>
          </w:p>
        </w:tc>
      </w:tr>
    </w:tbl>
    <w:p w14:paraId="5615BC66">
      <w:pPr>
        <w:pStyle w:val="23"/>
        <w:spacing w:before="0" w:beforeAutospacing="0" w:after="0" w:afterAutospacing="0" w:line="240" w:lineRule="auto"/>
        <w:ind w:firstLine="0"/>
        <w:rPr>
          <w:rFonts w:eastAsia="SimSun"/>
          <w:b w:val="0"/>
          <w:bCs w:val="0"/>
          <w:color w:val="auto"/>
          <w:sz w:val="22"/>
          <w:szCs w:val="22"/>
          <w:lang w:val="tr-TR"/>
        </w:rPr>
      </w:pPr>
    </w:p>
    <w:p w14:paraId="5C5962BE">
      <w:pPr>
        <w:pStyle w:val="23"/>
        <w:spacing w:before="0" w:beforeAutospacing="0" w:after="0" w:afterAutospacing="0" w:line="240" w:lineRule="auto"/>
        <w:rPr>
          <w:rFonts w:eastAsia="SimSun"/>
          <w:b/>
          <w:bCs/>
          <w:color w:val="auto"/>
          <w:sz w:val="22"/>
          <w:szCs w:val="22"/>
          <w:lang w:val="tr-TR"/>
        </w:rPr>
      </w:pPr>
      <w:r>
        <w:rPr>
          <w:rFonts w:eastAsia="SimSun"/>
          <w:b w:val="0"/>
          <w:bCs w:val="0"/>
          <w:color w:val="auto"/>
          <w:sz w:val="22"/>
          <w:szCs w:val="22"/>
          <w:lang w:val="tr-TR"/>
        </w:rPr>
        <w:t xml:space="preserve">Looking at the descriptive statistics in Table 1 above, the average age at which students enrol at university is 23.27. Whilst the students’ previous average grade point average was 132.61, their average admission score is shown as 126.98. Over the course of an academic year, the average course mark in the first term was 10.64, whilst the average course mark in the second term was 10.23, which is similar to that of the first term. In both semesters, the fact that the minimum course marks are zero indicates that the relevant students were absent from the courses or failed them. Students’ absence from courses or failure in them can be considered a situation that may lead to them dropping out of school early. Looking at the macroeconomic data, whilst the average inflation rate of 1.23% can be considered positive from a macroeconomic perspective, the average unemployment rate is observed to be at a high level of 11.57%. When the table is assessed as a whole, the differences in students’ grade situations, demographic data and the country’s macroeconomic levels indicate the suitability of the model for making predictions.  </w:t>
      </w:r>
    </w:p>
    <w:p w14:paraId="3F3BC75E">
      <w:pPr>
        <w:pStyle w:val="23"/>
        <w:numPr>
          <w:ilvl w:val="1"/>
          <w:numId w:val="6"/>
        </w:numPr>
        <w:overflowPunct/>
        <w:autoSpaceDE/>
        <w:autoSpaceDN/>
        <w:adjustRightInd/>
        <w:spacing w:before="120" w:beforeLines="50" w:beforeAutospacing="0" w:after="120" w:afterLines="50" w:afterAutospacing="0"/>
        <w:textAlignment w:val="auto"/>
        <w:rPr>
          <w:i/>
          <w:iCs/>
          <w:color w:val="auto"/>
          <w:lang w:eastAsia="zh-CN" w:bidi="ar"/>
        </w:rPr>
      </w:pPr>
      <w:r>
        <w:rPr>
          <w:i/>
          <w:iCs/>
          <w:color w:val="auto"/>
          <w:lang w:eastAsia="zh-CN" w:bidi="ar"/>
        </w:rPr>
        <w:t>Predictive Models</w:t>
      </w:r>
    </w:p>
    <w:p w14:paraId="735C287A">
      <w:pPr>
        <w:pStyle w:val="48"/>
        <w:spacing w:line="240" w:lineRule="auto"/>
        <w:rPr>
          <w:color w:val="auto"/>
        </w:rPr>
      </w:pPr>
      <w:r>
        <w:rPr>
          <w:color w:val="auto"/>
        </w:rPr>
        <w:t>In this study, we apply two complementary approaches for prediction: a multinomial logistic regression model from econometrics and four machine learning models.</w:t>
      </w:r>
    </w:p>
    <w:p w14:paraId="3189CD87">
      <w:pPr>
        <w:pStyle w:val="74"/>
        <w:spacing w:line="240" w:lineRule="auto"/>
        <w:rPr>
          <w:color w:val="auto"/>
        </w:rPr>
      </w:pPr>
      <w:r>
        <w:rPr>
          <w:b/>
          <w:color w:val="auto"/>
        </w:rPr>
        <w:t>Table 2.</w:t>
      </w:r>
      <w:r>
        <w:rPr>
          <w:color w:val="auto"/>
        </w:rPr>
        <w:t xml:space="preserve"> Characteristics of predictive models</w:t>
      </w:r>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1527"/>
        <w:gridCol w:w="4389"/>
      </w:tblGrid>
      <w:tr w14:paraId="66D1A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854" w:type="pct"/>
            <w:vAlign w:val="center"/>
          </w:tcPr>
          <w:p w14:paraId="70F88854">
            <w:pPr>
              <w:pStyle w:val="23"/>
              <w:widowControl/>
              <w:spacing w:line="240" w:lineRule="auto"/>
              <w:ind w:firstLine="0"/>
              <w:jc w:val="center"/>
              <w:rPr>
                <w:b/>
                <w:bCs/>
                <w:color w:val="auto"/>
                <w:sz w:val="18"/>
                <w:szCs w:val="18"/>
                <w:lang w:eastAsia="pl-PL"/>
              </w:rPr>
            </w:pPr>
            <w:r>
              <w:rPr>
                <w:b/>
                <w:bCs/>
                <w:color w:val="auto"/>
                <w:sz w:val="18"/>
                <w:szCs w:val="18"/>
                <w:lang w:eastAsia="pl-PL"/>
              </w:rPr>
              <w:t>Model type</w:t>
            </w:r>
          </w:p>
        </w:tc>
        <w:tc>
          <w:tcPr>
            <w:tcW w:w="1070" w:type="pct"/>
            <w:vAlign w:val="center"/>
          </w:tcPr>
          <w:p w14:paraId="0992E000">
            <w:pPr>
              <w:pStyle w:val="23"/>
              <w:widowControl/>
              <w:spacing w:line="240" w:lineRule="auto"/>
              <w:ind w:firstLine="0"/>
              <w:jc w:val="center"/>
              <w:rPr>
                <w:b/>
                <w:bCs/>
                <w:color w:val="auto"/>
                <w:sz w:val="18"/>
                <w:szCs w:val="18"/>
                <w:lang w:eastAsia="pl-PL"/>
              </w:rPr>
            </w:pPr>
            <w:r>
              <w:rPr>
                <w:b/>
                <w:bCs/>
                <w:color w:val="auto"/>
                <w:sz w:val="18"/>
                <w:szCs w:val="18"/>
                <w:lang w:eastAsia="pl-PL"/>
              </w:rPr>
              <w:t>Model name</w:t>
            </w:r>
          </w:p>
        </w:tc>
        <w:tc>
          <w:tcPr>
            <w:tcW w:w="3077" w:type="pct"/>
            <w:vAlign w:val="center"/>
          </w:tcPr>
          <w:p w14:paraId="62A81F9D">
            <w:pPr>
              <w:pStyle w:val="23"/>
              <w:widowControl/>
              <w:spacing w:line="240" w:lineRule="auto"/>
              <w:jc w:val="center"/>
              <w:rPr>
                <w:b/>
                <w:bCs/>
                <w:color w:val="auto"/>
                <w:sz w:val="18"/>
                <w:szCs w:val="18"/>
                <w:lang w:eastAsia="pl-PL"/>
              </w:rPr>
            </w:pPr>
            <w:r>
              <w:rPr>
                <w:b/>
                <w:bCs/>
                <w:color w:val="auto"/>
                <w:sz w:val="18"/>
                <w:szCs w:val="18"/>
                <w:lang w:eastAsia="pl-PL"/>
              </w:rPr>
              <w:t>Characteristics of the model</w:t>
            </w:r>
          </w:p>
        </w:tc>
      </w:tr>
      <w:tr w14:paraId="43ADA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854" w:type="pct"/>
            <w:vAlign w:val="center"/>
          </w:tcPr>
          <w:p w14:paraId="28E5EBDF">
            <w:pPr>
              <w:pStyle w:val="23"/>
              <w:widowControl/>
              <w:spacing w:line="240" w:lineRule="auto"/>
              <w:ind w:firstLine="0"/>
              <w:jc w:val="left"/>
              <w:rPr>
                <w:color w:val="auto"/>
                <w:sz w:val="18"/>
                <w:szCs w:val="18"/>
                <w:lang w:eastAsia="pl-PL"/>
              </w:rPr>
            </w:pPr>
            <w:r>
              <w:rPr>
                <w:color w:val="auto"/>
                <w:sz w:val="18"/>
                <w:szCs w:val="18"/>
                <w:lang w:eastAsia="pl-PL"/>
              </w:rPr>
              <w:t>Econometric</w:t>
            </w:r>
          </w:p>
        </w:tc>
        <w:tc>
          <w:tcPr>
            <w:tcW w:w="1070" w:type="pct"/>
            <w:vAlign w:val="center"/>
          </w:tcPr>
          <w:p w14:paraId="1796880E">
            <w:pPr>
              <w:pStyle w:val="23"/>
              <w:widowControl/>
              <w:spacing w:line="240" w:lineRule="auto"/>
              <w:ind w:firstLine="0"/>
              <w:jc w:val="center"/>
              <w:rPr>
                <w:color w:val="auto"/>
                <w:sz w:val="18"/>
                <w:szCs w:val="18"/>
                <w:lang w:eastAsia="pl-PL"/>
              </w:rPr>
            </w:pPr>
            <w:r>
              <w:rPr>
                <w:color w:val="auto"/>
                <w:sz w:val="18"/>
                <w:szCs w:val="18"/>
                <w:lang w:eastAsia="pl-PL"/>
              </w:rPr>
              <w:t>Multinomial Logistic Regression</w:t>
            </w:r>
          </w:p>
        </w:tc>
        <w:tc>
          <w:tcPr>
            <w:tcW w:w="3077" w:type="pct"/>
          </w:tcPr>
          <w:p w14:paraId="04EE43DA">
            <w:pPr>
              <w:pStyle w:val="23"/>
              <w:widowControl/>
              <w:spacing w:line="240" w:lineRule="auto"/>
              <w:ind w:firstLine="0"/>
              <w:rPr>
                <w:color w:val="auto"/>
                <w:sz w:val="18"/>
                <w:szCs w:val="18"/>
                <w:lang w:eastAsia="pl-PL"/>
              </w:rPr>
            </w:pPr>
            <w:r>
              <w:rPr>
                <w:color w:val="auto"/>
                <w:sz w:val="18"/>
                <w:szCs w:val="18"/>
                <w:lang w:eastAsia="pl-PL"/>
              </w:rPr>
              <w:t>Estimates the log-odds of each outcome category via a linear combination of predictors providing interpretable coefficients (LaValley, 2008; Hosmer Jr., Lemeshow, &amp; Sturdivant, 2013)</w:t>
            </w:r>
          </w:p>
        </w:tc>
      </w:tr>
      <w:tr w14:paraId="55244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4" w:type="pct"/>
            <w:vAlign w:val="center"/>
          </w:tcPr>
          <w:p w14:paraId="3B64ABC7">
            <w:pPr>
              <w:pStyle w:val="23"/>
              <w:widowControl/>
              <w:spacing w:line="240" w:lineRule="auto"/>
              <w:ind w:firstLine="0"/>
              <w:jc w:val="left"/>
              <w:rPr>
                <w:color w:val="auto"/>
                <w:sz w:val="18"/>
                <w:szCs w:val="18"/>
                <w:lang w:eastAsia="pl-PL"/>
              </w:rPr>
            </w:pPr>
            <w:r>
              <w:rPr>
                <w:color w:val="auto"/>
                <w:sz w:val="18"/>
                <w:szCs w:val="18"/>
                <w:lang w:eastAsia="pl-PL"/>
              </w:rPr>
              <w:t>Linear Machine Learning</w:t>
            </w:r>
          </w:p>
        </w:tc>
        <w:tc>
          <w:tcPr>
            <w:tcW w:w="1070" w:type="pct"/>
            <w:vAlign w:val="center"/>
          </w:tcPr>
          <w:p w14:paraId="201EC78A">
            <w:pPr>
              <w:pStyle w:val="23"/>
              <w:widowControl/>
              <w:spacing w:line="240" w:lineRule="auto"/>
              <w:ind w:firstLine="0"/>
              <w:jc w:val="center"/>
              <w:rPr>
                <w:color w:val="auto"/>
                <w:sz w:val="18"/>
                <w:szCs w:val="18"/>
                <w:lang w:eastAsia="pl-PL"/>
              </w:rPr>
            </w:pPr>
            <w:r>
              <w:rPr>
                <w:color w:val="auto"/>
                <w:sz w:val="18"/>
                <w:szCs w:val="18"/>
                <w:lang w:eastAsia="pl-PL"/>
              </w:rPr>
              <w:t>Support Vector Machine</w:t>
            </w:r>
          </w:p>
        </w:tc>
        <w:tc>
          <w:tcPr>
            <w:tcW w:w="3077" w:type="pct"/>
          </w:tcPr>
          <w:p w14:paraId="57D9AF3B">
            <w:pPr>
              <w:pStyle w:val="23"/>
              <w:widowControl/>
              <w:spacing w:line="240" w:lineRule="auto"/>
              <w:ind w:firstLine="0"/>
              <w:rPr>
                <w:color w:val="auto"/>
                <w:sz w:val="18"/>
                <w:szCs w:val="18"/>
                <w:lang w:eastAsia="pl-PL"/>
              </w:rPr>
            </w:pPr>
            <w:r>
              <w:rPr>
                <w:color w:val="auto"/>
                <w:sz w:val="18"/>
                <w:szCs w:val="18"/>
                <w:lang w:eastAsia="pl-PL"/>
              </w:rPr>
              <w:t>Finds the optimal linear hyperplane in feature space that maximally separates outcome classes (Mammone et. al, 2009; Ghosh et. al., 2019)</w:t>
            </w:r>
          </w:p>
        </w:tc>
      </w:tr>
      <w:tr w14:paraId="5B7C5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854" w:type="pct"/>
            <w:vAlign w:val="center"/>
          </w:tcPr>
          <w:p w14:paraId="244A71BF">
            <w:pPr>
              <w:pStyle w:val="23"/>
              <w:widowControl/>
              <w:spacing w:line="240" w:lineRule="auto"/>
              <w:ind w:firstLine="0"/>
              <w:jc w:val="left"/>
              <w:rPr>
                <w:color w:val="auto"/>
                <w:sz w:val="18"/>
                <w:szCs w:val="18"/>
                <w:lang w:eastAsia="pl-PL"/>
              </w:rPr>
            </w:pPr>
            <w:r>
              <w:rPr>
                <w:color w:val="auto"/>
                <w:sz w:val="18"/>
                <w:szCs w:val="18"/>
                <w:lang w:eastAsia="pl-PL"/>
              </w:rPr>
              <w:t>Non-linear  ML</w:t>
            </w:r>
          </w:p>
        </w:tc>
        <w:tc>
          <w:tcPr>
            <w:tcW w:w="1070" w:type="pct"/>
            <w:vAlign w:val="center"/>
          </w:tcPr>
          <w:p w14:paraId="56FA700C">
            <w:pPr>
              <w:pStyle w:val="23"/>
              <w:widowControl/>
              <w:spacing w:line="240" w:lineRule="auto"/>
              <w:ind w:firstLine="0"/>
              <w:jc w:val="center"/>
              <w:rPr>
                <w:color w:val="auto"/>
                <w:sz w:val="18"/>
                <w:szCs w:val="18"/>
                <w:lang w:eastAsia="pl-PL"/>
              </w:rPr>
            </w:pPr>
            <w:r>
              <w:rPr>
                <w:color w:val="auto"/>
                <w:sz w:val="18"/>
                <w:szCs w:val="18"/>
                <w:lang w:eastAsia="pl-PL"/>
              </w:rPr>
              <w:t>Support Vector Machine (Kernel SVM)</w:t>
            </w:r>
          </w:p>
        </w:tc>
        <w:tc>
          <w:tcPr>
            <w:tcW w:w="3077" w:type="pct"/>
          </w:tcPr>
          <w:p w14:paraId="60A95705">
            <w:pPr>
              <w:pStyle w:val="23"/>
              <w:widowControl/>
              <w:spacing w:line="240" w:lineRule="auto"/>
              <w:ind w:firstLine="0"/>
              <w:rPr>
                <w:color w:val="auto"/>
                <w:sz w:val="18"/>
                <w:szCs w:val="18"/>
                <w:lang w:eastAsia="pl-PL"/>
              </w:rPr>
            </w:pPr>
            <w:r>
              <w:rPr>
                <w:color w:val="auto"/>
                <w:sz w:val="18"/>
                <w:szCs w:val="18"/>
                <w:lang w:eastAsia="pl-PL"/>
              </w:rPr>
              <w:t>Uses a non-linear kernel to project data into higher-dimensional space, enabling separation of complex class boundaries (Dagher, 2008; Zhang, 2008)</w:t>
            </w:r>
          </w:p>
        </w:tc>
      </w:tr>
      <w:tr w14:paraId="68C92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4" w:type="pct"/>
            <w:vAlign w:val="center"/>
          </w:tcPr>
          <w:p w14:paraId="192434D4">
            <w:pPr>
              <w:pStyle w:val="23"/>
              <w:widowControl/>
              <w:spacing w:line="240" w:lineRule="auto"/>
              <w:ind w:firstLine="0"/>
              <w:jc w:val="left"/>
              <w:rPr>
                <w:color w:val="auto"/>
                <w:sz w:val="18"/>
                <w:szCs w:val="18"/>
                <w:lang w:eastAsia="pl-PL"/>
              </w:rPr>
            </w:pPr>
            <w:r>
              <w:rPr>
                <w:color w:val="auto"/>
                <w:sz w:val="18"/>
                <w:szCs w:val="18"/>
                <w:lang w:eastAsia="pl-PL"/>
              </w:rPr>
              <w:t>Non-linear Machine Learning (Bagging)</w:t>
            </w:r>
          </w:p>
        </w:tc>
        <w:tc>
          <w:tcPr>
            <w:tcW w:w="1070" w:type="pct"/>
            <w:vAlign w:val="center"/>
          </w:tcPr>
          <w:p w14:paraId="1D0B7465">
            <w:pPr>
              <w:pStyle w:val="23"/>
              <w:widowControl/>
              <w:spacing w:line="240" w:lineRule="auto"/>
              <w:ind w:firstLine="0"/>
              <w:jc w:val="center"/>
              <w:rPr>
                <w:color w:val="auto"/>
                <w:sz w:val="18"/>
                <w:szCs w:val="18"/>
                <w:lang w:eastAsia="pl-PL"/>
              </w:rPr>
            </w:pPr>
            <w:r>
              <w:rPr>
                <w:color w:val="auto"/>
                <w:sz w:val="18"/>
                <w:szCs w:val="18"/>
                <w:lang w:eastAsia="pl-PL"/>
              </w:rPr>
              <w:t>Random Forest</w:t>
            </w:r>
          </w:p>
        </w:tc>
        <w:tc>
          <w:tcPr>
            <w:tcW w:w="3077" w:type="pct"/>
          </w:tcPr>
          <w:p w14:paraId="5B7D1630">
            <w:pPr>
              <w:pStyle w:val="23"/>
              <w:widowControl/>
              <w:spacing w:line="240" w:lineRule="auto"/>
              <w:ind w:firstLine="0"/>
              <w:rPr>
                <w:color w:val="auto"/>
                <w:sz w:val="18"/>
                <w:szCs w:val="18"/>
                <w:lang w:eastAsia="pl-PL"/>
              </w:rPr>
            </w:pPr>
            <w:r>
              <w:rPr>
                <w:color w:val="auto"/>
                <w:sz w:val="18"/>
                <w:szCs w:val="18"/>
                <w:lang w:eastAsia="pl-PL"/>
              </w:rPr>
              <w:t>creates</w:t>
            </w:r>
            <w:r>
              <w:rPr>
                <w:color w:val="auto"/>
                <w:lang w:eastAsia="pl-PL"/>
              </w:rPr>
              <w:t xml:space="preserve"> </w:t>
            </w:r>
            <w:r>
              <w:rPr>
                <w:color w:val="auto"/>
                <w:sz w:val="18"/>
                <w:szCs w:val="18"/>
                <w:lang w:eastAsia="pl-PL"/>
              </w:rPr>
              <w:t>multiple decision trees on randomly sampled data and combines their results to make</w:t>
            </w:r>
            <w:r>
              <w:rPr>
                <w:color w:val="auto"/>
                <w:lang w:eastAsia="pl-PL"/>
              </w:rPr>
              <w:t xml:space="preserve"> </w:t>
            </w:r>
            <w:r>
              <w:rPr>
                <w:color w:val="auto"/>
                <w:sz w:val="18"/>
                <w:szCs w:val="18"/>
                <w:lang w:eastAsia="pl-PL"/>
              </w:rPr>
              <w:t>a final decision (Pal, 2005; Belgiu &amp; Drăguţ, 2016; Rodriguez-Galiano et.al, 2012)</w:t>
            </w:r>
          </w:p>
        </w:tc>
      </w:tr>
      <w:tr w14:paraId="32F22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4" w:type="pct"/>
            <w:vAlign w:val="center"/>
          </w:tcPr>
          <w:p w14:paraId="49FDE246">
            <w:pPr>
              <w:pStyle w:val="23"/>
              <w:widowControl/>
              <w:spacing w:line="240" w:lineRule="auto"/>
              <w:ind w:firstLine="0"/>
              <w:jc w:val="left"/>
              <w:rPr>
                <w:color w:val="auto"/>
                <w:sz w:val="18"/>
                <w:szCs w:val="18"/>
                <w:lang w:eastAsia="pl-PL"/>
              </w:rPr>
            </w:pPr>
            <w:r>
              <w:rPr>
                <w:color w:val="auto"/>
                <w:sz w:val="18"/>
                <w:szCs w:val="18"/>
                <w:lang w:eastAsia="pl-PL"/>
              </w:rPr>
              <w:t>Non-linear ML (Boosting)</w:t>
            </w:r>
          </w:p>
        </w:tc>
        <w:tc>
          <w:tcPr>
            <w:tcW w:w="1070" w:type="pct"/>
            <w:vAlign w:val="center"/>
          </w:tcPr>
          <w:p w14:paraId="2BDE7CCF">
            <w:pPr>
              <w:pStyle w:val="23"/>
              <w:widowControl/>
              <w:spacing w:line="240" w:lineRule="auto"/>
              <w:ind w:firstLine="0"/>
              <w:jc w:val="center"/>
              <w:rPr>
                <w:color w:val="auto"/>
                <w:sz w:val="18"/>
                <w:szCs w:val="18"/>
                <w:lang w:eastAsia="pl-PL"/>
              </w:rPr>
            </w:pPr>
            <w:r>
              <w:rPr>
                <w:color w:val="auto"/>
                <w:sz w:val="18"/>
                <w:szCs w:val="18"/>
                <w:lang w:eastAsia="pl-PL"/>
              </w:rPr>
              <w:t>XGBoost</w:t>
            </w:r>
          </w:p>
        </w:tc>
        <w:tc>
          <w:tcPr>
            <w:tcW w:w="3077" w:type="pct"/>
          </w:tcPr>
          <w:p w14:paraId="1166E1D3">
            <w:pPr>
              <w:pStyle w:val="23"/>
              <w:widowControl/>
              <w:spacing w:line="240" w:lineRule="auto"/>
              <w:ind w:firstLine="0"/>
              <w:rPr>
                <w:color w:val="auto"/>
                <w:sz w:val="18"/>
                <w:szCs w:val="18"/>
                <w:lang w:eastAsia="pl-PL"/>
              </w:rPr>
            </w:pPr>
            <w:r>
              <w:rPr>
                <w:color w:val="auto"/>
                <w:sz w:val="18"/>
                <w:szCs w:val="18"/>
                <w:lang w:eastAsia="pl-PL"/>
              </w:rPr>
              <w:t>implements gradient boosting to iteratively minimize residual errors through the addition of decision trees (Chen, 2016; Prabha et. al., 2021)</w:t>
            </w:r>
          </w:p>
        </w:tc>
      </w:tr>
    </w:tbl>
    <w:p w14:paraId="4C8C7F96">
      <w:pPr>
        <w:pStyle w:val="23"/>
        <w:spacing w:before="0" w:beforeAutospacing="0" w:after="0" w:afterAutospacing="0"/>
        <w:rPr>
          <w:color w:val="auto"/>
        </w:rPr>
      </w:pPr>
    </w:p>
    <w:p w14:paraId="306319DB">
      <w:pPr>
        <w:pStyle w:val="23"/>
        <w:spacing w:before="0" w:beforeAutospacing="0" w:after="0" w:afterAutospacing="0"/>
        <w:rPr>
          <w:color w:val="auto"/>
        </w:rPr>
      </w:pPr>
      <w:r>
        <w:rPr>
          <w:color w:val="auto"/>
        </w:rPr>
        <w:t xml:space="preserve">Table 2 presents the five predictive models used in this study and groups them into three broad families: an econometric baseline, linear machine learning models, and non-linear machine learning methods. </w:t>
      </w:r>
    </w:p>
    <w:p w14:paraId="64E3BD79">
      <w:pPr>
        <w:pStyle w:val="23"/>
        <w:overflowPunct/>
        <w:autoSpaceDE/>
        <w:autoSpaceDN/>
        <w:adjustRightInd/>
        <w:spacing w:before="0" w:beforeAutospacing="0" w:after="0" w:afterAutospacing="0"/>
        <w:ind w:left="227" w:firstLine="0"/>
        <w:textAlignment w:val="auto"/>
        <w:rPr>
          <w:color w:val="auto"/>
          <w:lang w:eastAsia="zh-CN" w:bidi="ar"/>
        </w:rPr>
      </w:pPr>
      <w:r>
        <w:rPr>
          <w:color w:val="auto"/>
          <w:lang w:eastAsia="zh-CN" w:bidi="ar"/>
        </w:rPr>
        <w:t xml:space="preserve">We used three distinctive metrics to evaluate the performance of the predictive models. </w:t>
      </w:r>
    </w:p>
    <w:p w14:paraId="0FE8BFC6">
      <w:pPr>
        <w:pStyle w:val="23"/>
        <w:numPr>
          <w:ilvl w:val="0"/>
          <w:numId w:val="8"/>
        </w:numPr>
        <w:overflowPunct/>
        <w:autoSpaceDE/>
        <w:autoSpaceDN/>
        <w:adjustRightInd/>
        <w:spacing w:before="0" w:beforeAutospacing="0" w:after="0" w:afterAutospacing="0"/>
        <w:textAlignment w:val="auto"/>
        <w:rPr>
          <w:color w:val="auto"/>
          <w:lang w:eastAsia="zh-CN" w:bidi="ar"/>
        </w:rPr>
      </w:pPr>
      <w:r>
        <w:rPr>
          <w:color w:val="auto"/>
          <w:lang w:eastAsia="zh-CN" w:bidi="ar"/>
        </w:rPr>
        <w:t xml:space="preserve">macro-F1 </w:t>
      </w:r>
      <w:r>
        <w:rPr>
          <w:rFonts w:eastAsia="SimSun"/>
          <w:color w:val="auto"/>
          <w:lang w:eastAsia="zh-CN" w:bidi="ar"/>
        </w:rPr>
        <w:t>(the simple average of per-class F1 scores, which balances precision and recall equally across all outcome categories)</w:t>
      </w:r>
      <w:r>
        <w:rPr>
          <w:color w:val="auto"/>
          <w:lang w:eastAsia="zh-CN" w:bidi="ar"/>
        </w:rPr>
        <w:t xml:space="preserve">, </w:t>
      </w:r>
    </w:p>
    <w:p w14:paraId="6F11C939">
      <w:pPr>
        <w:pStyle w:val="23"/>
        <w:numPr>
          <w:ilvl w:val="0"/>
          <w:numId w:val="8"/>
        </w:numPr>
        <w:overflowPunct/>
        <w:autoSpaceDE/>
        <w:autoSpaceDN/>
        <w:adjustRightInd/>
        <w:spacing w:before="0" w:beforeAutospacing="0" w:after="0" w:afterAutospacing="0"/>
        <w:textAlignment w:val="auto"/>
        <w:rPr>
          <w:color w:val="auto"/>
          <w:lang w:eastAsia="zh-CN" w:bidi="ar"/>
        </w:rPr>
      </w:pPr>
      <w:r>
        <w:rPr>
          <w:color w:val="auto"/>
          <w:lang w:eastAsia="zh-CN" w:bidi="ar"/>
        </w:rPr>
        <w:t xml:space="preserve">balanced accuracy </w:t>
      </w:r>
      <w:r>
        <w:rPr>
          <w:rFonts w:eastAsia="SimSun"/>
          <w:color w:val="auto"/>
          <w:lang w:eastAsia="zh-CN" w:bidi="ar"/>
        </w:rPr>
        <w:t>(the average of sensitivity and specificity, which corrects for imbalanced class sizes)</w:t>
      </w:r>
      <w:r>
        <w:rPr>
          <w:color w:val="auto"/>
          <w:lang w:eastAsia="zh-CN" w:bidi="ar"/>
        </w:rPr>
        <w:t xml:space="preserve">, and </w:t>
      </w:r>
    </w:p>
    <w:p w14:paraId="186175B0">
      <w:pPr>
        <w:pStyle w:val="23"/>
        <w:numPr>
          <w:ilvl w:val="0"/>
          <w:numId w:val="8"/>
        </w:numPr>
        <w:overflowPunct/>
        <w:autoSpaceDE/>
        <w:autoSpaceDN/>
        <w:adjustRightInd/>
        <w:spacing w:before="0" w:beforeAutospacing="0" w:after="0" w:afterAutospacing="0"/>
        <w:textAlignment w:val="auto"/>
        <w:rPr>
          <w:color w:val="auto"/>
          <w:lang w:eastAsia="zh-CN" w:bidi="ar"/>
        </w:rPr>
      </w:pPr>
      <w:r>
        <w:rPr>
          <w:color w:val="auto"/>
          <w:lang w:eastAsia="zh-CN" w:bidi="ar"/>
        </w:rPr>
        <w:t xml:space="preserve">log-loss </w:t>
      </w:r>
      <w:r>
        <w:rPr>
          <w:rFonts w:eastAsia="SimSun"/>
          <w:color w:val="auto"/>
          <w:lang w:eastAsia="zh-CN" w:bidi="ar"/>
        </w:rPr>
        <w:t>(a measure of how confidently and correctly a model assigns probabilities to each class).</w:t>
      </w:r>
    </w:p>
    <w:p w14:paraId="6DEC9CA7">
      <w:pPr>
        <w:pStyle w:val="23"/>
        <w:spacing w:before="0" w:beforeAutospacing="0" w:after="0" w:afterAutospacing="0"/>
        <w:rPr>
          <w:color w:val="auto"/>
        </w:rPr>
      </w:pPr>
    </w:p>
    <w:p w14:paraId="2942A9F5">
      <w:pPr>
        <w:pStyle w:val="23"/>
        <w:numPr>
          <w:ilvl w:val="1"/>
          <w:numId w:val="6"/>
        </w:numPr>
        <w:overflowPunct/>
        <w:autoSpaceDE/>
        <w:autoSpaceDN/>
        <w:adjustRightInd/>
        <w:spacing w:before="120" w:beforeLines="50" w:beforeAutospacing="0" w:after="120" w:afterLines="50" w:afterAutospacing="0"/>
        <w:textAlignment w:val="auto"/>
        <w:rPr>
          <w:i/>
          <w:iCs/>
          <w:color w:val="auto"/>
          <w:lang w:eastAsia="zh-CN" w:bidi="ar"/>
        </w:rPr>
      </w:pPr>
      <w:r>
        <w:rPr>
          <w:i/>
          <w:iCs/>
          <w:color w:val="auto"/>
          <w:lang w:eastAsia="zh-CN" w:bidi="ar"/>
        </w:rPr>
        <w:t>Exploratory Data Analysis</w:t>
      </w:r>
    </w:p>
    <w:p w14:paraId="7D7ED612">
      <w:pPr>
        <w:pStyle w:val="60"/>
        <w:spacing w:after="120" w:line="240" w:lineRule="auto"/>
        <w:jc w:val="both"/>
        <w:rPr>
          <w:color w:val="auto"/>
        </w:rPr>
      </w:pPr>
      <w:r>
        <w:rPr>
          <w:b/>
          <w:color w:val="auto"/>
        </w:rPr>
        <w:t xml:space="preserve">Fig. </w:t>
      </w:r>
      <w:r>
        <w:rPr>
          <w:b/>
          <w:color w:val="auto"/>
        </w:rPr>
        <w:fldChar w:fldCharType="begin"/>
      </w:r>
      <w:r>
        <w:rPr>
          <w:b/>
          <w:color w:val="auto"/>
        </w:rPr>
        <w:instrText xml:space="preserve"> SEQ "Figure" \* MERGEFORMAT </w:instrText>
      </w:r>
      <w:r>
        <w:rPr>
          <w:b/>
          <w:color w:val="auto"/>
        </w:rPr>
        <w:fldChar w:fldCharType="separate"/>
      </w:r>
      <w:r>
        <w:rPr>
          <w:b/>
          <w:color w:val="auto"/>
        </w:rPr>
        <w:t>1</w:t>
      </w:r>
      <w:r>
        <w:rPr>
          <w:b/>
          <w:color w:val="auto"/>
        </w:rPr>
        <w:fldChar w:fldCharType="end"/>
      </w:r>
      <w:r>
        <w:rPr>
          <w:b/>
          <w:color w:val="auto"/>
        </w:rPr>
        <w:t>.</w:t>
      </w:r>
      <w:r>
        <w:rPr>
          <w:color w:val="auto"/>
        </w:rPr>
        <w:t xml:space="preserve"> Target Variable Distribution</w:t>
      </w:r>
    </w:p>
    <w:p w14:paraId="05E767FB">
      <w:pPr>
        <w:spacing w:before="100" w:after="100" w:line="240" w:lineRule="auto"/>
        <w:ind w:right="-765" w:firstLine="0"/>
        <w:rPr>
          <w:color w:val="auto"/>
        </w:rPr>
      </w:pPr>
      <w:r>
        <w:rPr>
          <w:color w:val="auto"/>
        </w:rPr>
        <w:t xml:space="preserve">        </w:t>
      </w:r>
      <w:r>
        <w:rPr>
          <w:color w:val="auto"/>
        </w:rPr>
        <w:drawing>
          <wp:inline distT="0" distB="0" distL="114300" distR="114300">
            <wp:extent cx="3199765" cy="1597660"/>
            <wp:effectExtent l="0" t="0" r="63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rcRect r="6894"/>
                    <a:stretch>
                      <a:fillRect/>
                    </a:stretch>
                  </pic:blipFill>
                  <pic:spPr>
                    <a:xfrm>
                      <a:off x="0" y="0"/>
                      <a:ext cx="3199765" cy="1597660"/>
                    </a:xfrm>
                    <a:prstGeom prst="rect">
                      <a:avLst/>
                    </a:prstGeom>
                    <a:noFill/>
                    <a:ln>
                      <a:noFill/>
                    </a:ln>
                  </pic:spPr>
                </pic:pic>
              </a:graphicData>
            </a:graphic>
          </wp:inline>
        </w:drawing>
      </w:r>
    </w:p>
    <w:p w14:paraId="198CA9FB">
      <w:pPr>
        <w:pStyle w:val="23"/>
        <w:overflowPunct/>
        <w:autoSpaceDE/>
        <w:autoSpaceDN/>
        <w:adjustRightInd/>
        <w:spacing w:before="0" w:beforeAutospacing="0" w:after="120" w:afterLines="50" w:afterAutospacing="0" w:line="240" w:lineRule="auto"/>
        <w:textAlignment w:val="auto"/>
        <w:rPr>
          <w:color w:val="auto"/>
        </w:rPr>
      </w:pPr>
      <w:r>
        <w:rPr>
          <w:b/>
          <w:bCs/>
          <w:color w:val="auto"/>
          <w:sz w:val="18"/>
          <w:szCs w:val="18"/>
        </w:rPr>
        <w:t>Source:</w:t>
      </w:r>
      <w:r>
        <w:rPr>
          <w:color w:val="auto"/>
          <w:sz w:val="18"/>
          <w:szCs w:val="18"/>
        </w:rPr>
        <w:t xml:space="preserve"> SATDAP</w:t>
      </w:r>
    </w:p>
    <w:p w14:paraId="4461B296">
      <w:pPr>
        <w:pStyle w:val="23"/>
        <w:spacing w:before="0" w:beforeAutospacing="0" w:after="0" w:afterAutospacing="0" w:line="240" w:lineRule="auto"/>
        <w:rPr>
          <w:color w:val="auto"/>
        </w:rPr>
      </w:pPr>
      <w:r>
        <w:rPr>
          <w:color w:val="auto"/>
        </w:rPr>
        <w:t>In Figure 1, we see a bar plot which shows that there is a class imbalance in the dataset, where most students graduated (2,209), fewer dropped out (1,421), and smallest number are still enrolled (794). This imbalance can lead to bias in model results. A model could achieve high accuracy just by predicting most students as graduates because they are the majority of class.</w:t>
      </w:r>
    </w:p>
    <w:p w14:paraId="730D0B5E">
      <w:pPr>
        <w:pStyle w:val="60"/>
        <w:spacing w:line="240" w:lineRule="auto"/>
        <w:ind w:left="1446" w:hanging="1441" w:hangingChars="800"/>
        <w:jc w:val="left"/>
        <w:rPr>
          <w:color w:val="auto"/>
        </w:rPr>
      </w:pPr>
      <w:r>
        <w:rPr>
          <w:b/>
          <w:color w:val="auto"/>
        </w:rPr>
        <w:t>Fig. 2.</w:t>
      </w:r>
      <w:r>
        <w:rPr>
          <w:color w:val="auto"/>
        </w:rPr>
        <w:t xml:space="preserve"> </w:t>
      </w:r>
      <w:r>
        <w:rPr>
          <w:color w:val="auto"/>
          <w:sz w:val="20"/>
        </w:rPr>
        <w:t>Admission Grades by Gender and Student Outcome</w:t>
      </w:r>
      <w:r>
        <w:rPr>
          <w:color w:val="auto"/>
        </w:rPr>
        <w:t xml:space="preserve">               </w:t>
      </w:r>
      <w:r>
        <w:rPr>
          <w:color w:val="auto"/>
        </w:rPr>
        <w:drawing>
          <wp:inline distT="0" distB="0" distL="114300" distR="114300">
            <wp:extent cx="2976880" cy="1564640"/>
            <wp:effectExtent l="0" t="0" r="1016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t="7317"/>
                    <a:stretch>
                      <a:fillRect/>
                    </a:stretch>
                  </pic:blipFill>
                  <pic:spPr>
                    <a:xfrm>
                      <a:off x="0" y="0"/>
                      <a:ext cx="2976880" cy="1564640"/>
                    </a:xfrm>
                    <a:prstGeom prst="rect">
                      <a:avLst/>
                    </a:prstGeom>
                    <a:noFill/>
                    <a:ln>
                      <a:noFill/>
                    </a:ln>
                  </pic:spPr>
                </pic:pic>
              </a:graphicData>
            </a:graphic>
          </wp:inline>
        </w:drawing>
      </w:r>
    </w:p>
    <w:p w14:paraId="5679FE0C">
      <w:pPr>
        <w:pStyle w:val="23"/>
        <w:overflowPunct/>
        <w:autoSpaceDE/>
        <w:autoSpaceDN/>
        <w:adjustRightInd/>
        <w:spacing w:before="0" w:beforeAutospacing="0" w:after="120" w:afterLines="50" w:afterAutospacing="0" w:line="240" w:lineRule="auto"/>
        <w:textAlignment w:val="auto"/>
        <w:rPr>
          <w:color w:val="auto"/>
          <w:sz w:val="18"/>
          <w:szCs w:val="18"/>
        </w:rPr>
      </w:pPr>
      <w:r>
        <w:rPr>
          <w:b/>
          <w:bCs/>
          <w:color w:val="auto"/>
          <w:sz w:val="18"/>
          <w:szCs w:val="18"/>
        </w:rPr>
        <w:t>Source:</w:t>
      </w:r>
      <w:r>
        <w:rPr>
          <w:color w:val="auto"/>
          <w:sz w:val="18"/>
          <w:szCs w:val="18"/>
        </w:rPr>
        <w:t xml:space="preserve"> SATDAP</w:t>
      </w:r>
    </w:p>
    <w:p w14:paraId="2113F797">
      <w:pPr>
        <w:pStyle w:val="23"/>
        <w:spacing w:before="0" w:beforeAutospacing="0" w:after="0" w:afterAutospacing="0"/>
        <w:rPr>
          <w:color w:val="auto"/>
        </w:rPr>
      </w:pPr>
      <w:r>
        <w:rPr>
          <w:color w:val="auto"/>
        </w:rPr>
        <w:t xml:space="preserve">Figure 2 illustrates how initial admission scores relate to the three student outcomes: </w:t>
      </w:r>
      <w:r>
        <w:rPr>
          <w:rStyle w:val="25"/>
          <w:color w:val="auto"/>
        </w:rPr>
        <w:t>Dropout</w:t>
      </w:r>
      <w:r>
        <w:rPr>
          <w:color w:val="auto"/>
        </w:rPr>
        <w:t xml:space="preserve">, </w:t>
      </w:r>
      <w:r>
        <w:rPr>
          <w:rStyle w:val="25"/>
          <w:color w:val="auto"/>
        </w:rPr>
        <w:t>Enrolled</w:t>
      </w:r>
      <w:r>
        <w:rPr>
          <w:color w:val="auto"/>
        </w:rPr>
        <w:t xml:space="preserve">, and </w:t>
      </w:r>
      <w:r>
        <w:rPr>
          <w:rStyle w:val="25"/>
          <w:color w:val="auto"/>
        </w:rPr>
        <w:t>Graduate</w:t>
      </w:r>
      <w:r>
        <w:rPr>
          <w:color w:val="auto"/>
        </w:rPr>
        <w:t>, shown separately for females (0) and males (1). In both groups, students who eventually graduate tend to enter with slightly higher admission grades than those who later drop out. Students who remain enrolled usually fall between these two outcomes.</w:t>
      </w:r>
    </w:p>
    <w:p w14:paraId="160E1E8B">
      <w:pPr>
        <w:pStyle w:val="60"/>
        <w:spacing w:line="240" w:lineRule="auto"/>
        <w:jc w:val="both"/>
        <w:rPr>
          <w:color w:val="auto"/>
          <w:lang w:val="tr-TR"/>
        </w:rPr>
      </w:pPr>
      <w:r>
        <w:rPr>
          <w:b/>
          <w:color w:val="auto"/>
        </w:rPr>
        <w:t>Fig. 3.</w:t>
      </w:r>
      <w:r>
        <w:rPr>
          <w:color w:val="auto"/>
        </w:rPr>
        <w:t xml:space="preserve"> </w:t>
      </w:r>
      <w:r>
        <w:rPr>
          <w:color w:val="auto"/>
          <w:sz w:val="20"/>
        </w:rPr>
        <w:t>Student Outcomes Across Parent’s Education Levels</w:t>
      </w:r>
    </w:p>
    <w:p w14:paraId="38FF86BD">
      <w:pPr>
        <w:pStyle w:val="23"/>
        <w:spacing w:line="240" w:lineRule="auto"/>
        <w:rPr>
          <w:b/>
          <w:bCs/>
          <w:color w:val="auto"/>
          <w:sz w:val="18"/>
          <w:szCs w:val="18"/>
          <w:lang w:val="tr-TR"/>
        </w:rPr>
      </w:pPr>
      <w:r>
        <w:rPr>
          <w:color w:val="auto"/>
        </w:rPr>
        <w:t xml:space="preserve">               </w:t>
      </w:r>
      <w:r>
        <w:rPr>
          <w:color w:val="auto"/>
        </w:rPr>
        <w:drawing>
          <wp:inline distT="0" distB="0" distL="114300" distR="114300">
            <wp:extent cx="2866390" cy="1714500"/>
            <wp:effectExtent l="0" t="0" r="13970" b="762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rcRect t="8340"/>
                    <a:stretch>
                      <a:fillRect/>
                    </a:stretch>
                  </pic:blipFill>
                  <pic:spPr>
                    <a:xfrm>
                      <a:off x="0" y="0"/>
                      <a:ext cx="2866390" cy="1714500"/>
                    </a:xfrm>
                    <a:prstGeom prst="rect">
                      <a:avLst/>
                    </a:prstGeom>
                    <a:noFill/>
                    <a:ln>
                      <a:noFill/>
                    </a:ln>
                  </pic:spPr>
                </pic:pic>
              </a:graphicData>
            </a:graphic>
          </wp:inline>
        </w:drawing>
      </w:r>
    </w:p>
    <w:p w14:paraId="13714F6B">
      <w:pPr>
        <w:pStyle w:val="23"/>
        <w:overflowPunct/>
        <w:autoSpaceDE/>
        <w:autoSpaceDN/>
        <w:adjustRightInd/>
        <w:spacing w:before="0" w:beforeAutospacing="0" w:after="120" w:afterLines="50" w:afterAutospacing="0" w:line="240" w:lineRule="auto"/>
        <w:textAlignment w:val="auto"/>
        <w:rPr>
          <w:color w:val="auto"/>
          <w:sz w:val="18"/>
          <w:szCs w:val="18"/>
        </w:rPr>
      </w:pPr>
      <w:r>
        <w:rPr>
          <w:b/>
          <w:bCs/>
          <w:color w:val="auto"/>
          <w:sz w:val="18"/>
          <w:szCs w:val="18"/>
        </w:rPr>
        <w:t>Source:</w:t>
      </w:r>
      <w:r>
        <w:rPr>
          <w:color w:val="auto"/>
          <w:sz w:val="18"/>
          <w:szCs w:val="18"/>
        </w:rPr>
        <w:t xml:space="preserve"> SATDAP</w:t>
      </w:r>
    </w:p>
    <w:p w14:paraId="731A067F">
      <w:pPr>
        <w:pStyle w:val="23"/>
        <w:spacing w:before="0" w:beforeAutospacing="0" w:after="0" w:afterAutospacing="0" w:line="240" w:lineRule="auto"/>
        <w:ind w:firstLine="400" w:firstLineChars="200"/>
        <w:rPr>
          <w:color w:val="auto"/>
          <w:szCs w:val="24"/>
          <w:lang w:eastAsia="zh-CN"/>
        </w:rPr>
      </w:pPr>
      <w:r>
        <w:rPr>
          <w:color w:val="auto"/>
          <w:szCs w:val="24"/>
          <w:lang w:eastAsia="zh-CN"/>
        </w:rPr>
        <w:t>Figure 3 shows the relationship between parents’ qualification levels and student status. The x-axis represents the mother’s qualification and the y-axis represents the father’s qualification. The scale on both axes follows the coded qualification categories used in the dataset, where each numeric value corresponds to a specific education level category. In general, higher coded values indicate higher qualification levels.</w:t>
      </w:r>
    </w:p>
    <w:p w14:paraId="6BA54AAA">
      <w:pPr>
        <w:pStyle w:val="23"/>
        <w:spacing w:before="0" w:beforeAutospacing="0" w:after="0" w:afterAutospacing="0" w:line="240" w:lineRule="auto"/>
        <w:ind w:firstLine="400" w:firstLineChars="200"/>
        <w:rPr>
          <w:color w:val="auto"/>
          <w:szCs w:val="24"/>
          <w:lang w:eastAsia="zh-CN"/>
        </w:rPr>
      </w:pPr>
      <w:r>
        <w:rPr>
          <w:color w:val="auto"/>
          <w:szCs w:val="24"/>
          <w:lang w:eastAsia="zh-CN"/>
        </w:rPr>
        <w:t>Each point represents one student, based on the qualification levels of the mother and father. The colors show the student’s final status: dropout, enrolled, or graduate. The figure shows strong overlap between the three groups, meaning that parental qualification alone does not clearly separate dropout, enrolled, and graduate students. However, the pattern suggests that students whose parents have higher qualification levels are slightly more likely to graduate.</w:t>
      </w:r>
    </w:p>
    <w:p w14:paraId="217BA679">
      <w:pPr>
        <w:pStyle w:val="23"/>
        <w:overflowPunct/>
        <w:autoSpaceDE/>
        <w:autoSpaceDN/>
        <w:adjustRightInd/>
        <w:spacing w:before="120" w:beforeLines="50" w:beforeAutospacing="0" w:after="120" w:afterLines="50" w:afterAutospacing="0"/>
        <w:ind w:firstLine="0"/>
        <w:textAlignment w:val="auto"/>
        <w:rPr>
          <w:color w:val="auto"/>
          <w:kern w:val="1"/>
          <w:sz w:val="18"/>
          <w:szCs w:val="18"/>
        </w:rPr>
      </w:pPr>
      <w:r>
        <w:rPr>
          <w:i/>
          <w:iCs/>
          <w:color w:val="auto"/>
          <w:lang w:eastAsia="zh-CN" w:bidi="ar"/>
        </w:rPr>
        <w:t>3.4.1. Data Split</w:t>
      </w:r>
    </w:p>
    <w:p w14:paraId="1FAE44B4">
      <w:pPr>
        <w:pStyle w:val="23"/>
        <w:spacing w:before="0" w:beforeAutospacing="0" w:after="0" w:afterAutospacing="0" w:line="240" w:lineRule="auto"/>
        <w:ind w:firstLine="400" w:firstLineChars="200"/>
        <w:rPr>
          <w:color w:val="auto"/>
          <w:szCs w:val="24"/>
          <w:lang w:eastAsia="zh-CN"/>
        </w:rPr>
      </w:pPr>
      <w:r>
        <w:rPr>
          <w:color w:val="auto"/>
          <w:szCs w:val="24"/>
          <w:lang w:eastAsia="zh-CN"/>
        </w:rPr>
        <w:t xml:space="preserve"> We allocate 3,098 students (70% of the sample) to the training set, where the models learn the underlying patterns. The validation set includes 885 students (20%) and is used to tune hyperparameters and choose the best-performing specifications. The remaining 441 students (10%) are in the test set.</w:t>
      </w:r>
    </w:p>
    <w:p w14:paraId="7B8E7192">
      <w:pPr>
        <w:pStyle w:val="23"/>
        <w:overflowPunct/>
        <w:autoSpaceDE/>
        <w:autoSpaceDN/>
        <w:adjustRightInd/>
        <w:spacing w:before="120" w:beforeLines="50" w:beforeAutospacing="0" w:after="120" w:afterLines="50" w:afterAutospacing="0"/>
        <w:ind w:firstLine="0"/>
        <w:textAlignment w:val="auto"/>
        <w:rPr>
          <w:i/>
          <w:iCs/>
          <w:color w:val="auto"/>
          <w:lang w:eastAsia="zh-CN" w:bidi="ar"/>
        </w:rPr>
      </w:pPr>
      <w:r>
        <w:rPr>
          <w:i/>
          <w:iCs/>
          <w:color w:val="auto"/>
          <w:lang w:eastAsia="zh-CN" w:bidi="ar"/>
        </w:rPr>
        <w:t>3.4.2. Multicollinearity Handling for Econometric Modeling</w:t>
      </w:r>
    </w:p>
    <w:p w14:paraId="22A7F97C">
      <w:pPr>
        <w:pStyle w:val="23"/>
        <w:spacing w:before="0" w:beforeAutospacing="0" w:after="0" w:afterAutospacing="0" w:line="240" w:lineRule="auto"/>
        <w:ind w:firstLine="400" w:firstLineChars="200"/>
        <w:rPr>
          <w:color w:val="auto"/>
          <w:szCs w:val="24"/>
          <w:lang w:eastAsia="zh-CN"/>
        </w:rPr>
      </w:pPr>
      <w:r>
        <w:rPr>
          <w:color w:val="auto"/>
          <w:szCs w:val="24"/>
          <w:lang w:eastAsia="zh-CN"/>
        </w:rPr>
        <w:t>Variance inflation factors (VIFs) were evaluated to ensure model robustness of the linear models. A commonly accepted threshold for variance inflation factors (VIFs) is 10. Variables which are higher than this threshold cause multicollinearity issue and required to be removed (Tay, 2017). In addition, after modifying, it is crucial to recalculate the VIF values to make sure the multicollinearity problem has been properly solved.</w:t>
      </w:r>
    </w:p>
    <w:p w14:paraId="211ABEE0">
      <w:pPr>
        <w:pStyle w:val="74"/>
        <w:spacing w:line="240" w:lineRule="auto"/>
        <w:rPr>
          <w:rFonts w:eastAsia="SimSun"/>
          <w:color w:val="auto"/>
          <w:sz w:val="20"/>
        </w:rPr>
      </w:pPr>
      <w:r>
        <w:rPr>
          <w:b/>
          <w:color w:val="auto"/>
        </w:rPr>
        <w:t>Table 4.</w:t>
      </w:r>
      <w:r>
        <w:rPr>
          <w:color w:val="auto"/>
        </w:rPr>
        <w:t xml:space="preserve"> </w:t>
      </w:r>
      <w:r>
        <w:rPr>
          <w:rFonts w:eastAsia="SimSun"/>
          <w:color w:val="auto"/>
          <w:szCs w:val="18"/>
        </w:rPr>
        <w:t>VIF Scores Feature Exclusion</w:t>
      </w:r>
      <w:r>
        <w:rPr>
          <w:color w:val="auto"/>
          <w:szCs w:val="18"/>
        </w:rPr>
        <w: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2"/>
        <w:gridCol w:w="3879"/>
        <w:gridCol w:w="1270"/>
        <w:gridCol w:w="1313"/>
      </w:tblGrid>
      <w:tr w14:paraId="14908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672" w:type="dxa"/>
          </w:tcPr>
          <w:p w14:paraId="1A194D07">
            <w:pPr>
              <w:pStyle w:val="23"/>
              <w:widowControl w:val="0"/>
              <w:spacing w:line="240" w:lineRule="auto"/>
              <w:ind w:firstLine="0"/>
              <w:jc w:val="center"/>
              <w:rPr>
                <w:b/>
                <w:bCs/>
                <w:color w:val="auto"/>
                <w:sz w:val="18"/>
                <w:szCs w:val="18"/>
                <w:lang w:eastAsia="pl-PL"/>
              </w:rPr>
            </w:pPr>
            <w:r>
              <w:rPr>
                <w:b/>
                <w:bCs/>
                <w:color w:val="auto"/>
                <w:sz w:val="18"/>
                <w:szCs w:val="18"/>
                <w:lang w:eastAsia="pl-PL"/>
              </w:rPr>
              <w:t>No</w:t>
            </w:r>
          </w:p>
        </w:tc>
        <w:tc>
          <w:tcPr>
            <w:tcW w:w="3879" w:type="dxa"/>
          </w:tcPr>
          <w:p w14:paraId="57ACBB1E">
            <w:pPr>
              <w:pStyle w:val="23"/>
              <w:widowControl w:val="0"/>
              <w:spacing w:line="240" w:lineRule="auto"/>
              <w:jc w:val="center"/>
              <w:rPr>
                <w:b/>
                <w:bCs/>
                <w:color w:val="auto"/>
                <w:sz w:val="18"/>
                <w:szCs w:val="18"/>
                <w:lang w:eastAsia="pl-PL"/>
              </w:rPr>
            </w:pPr>
            <w:r>
              <w:rPr>
                <w:b/>
                <w:bCs/>
                <w:color w:val="auto"/>
                <w:sz w:val="18"/>
                <w:szCs w:val="18"/>
                <w:lang w:eastAsia="pl-PL"/>
              </w:rPr>
              <w:t>Variable</w:t>
            </w:r>
          </w:p>
        </w:tc>
        <w:tc>
          <w:tcPr>
            <w:tcW w:w="1270" w:type="dxa"/>
          </w:tcPr>
          <w:p w14:paraId="189342DF">
            <w:pPr>
              <w:pStyle w:val="23"/>
              <w:widowControl w:val="0"/>
              <w:spacing w:line="240" w:lineRule="auto"/>
              <w:ind w:firstLine="0"/>
              <w:jc w:val="center"/>
              <w:rPr>
                <w:b/>
                <w:bCs/>
                <w:color w:val="auto"/>
                <w:sz w:val="18"/>
                <w:szCs w:val="18"/>
                <w:lang w:eastAsia="pl-PL"/>
              </w:rPr>
            </w:pPr>
            <w:r>
              <w:rPr>
                <w:b/>
                <w:bCs/>
                <w:color w:val="auto"/>
                <w:sz w:val="18"/>
                <w:szCs w:val="18"/>
                <w:lang w:eastAsia="pl-PL"/>
              </w:rPr>
              <w:t>VIF Score</w:t>
            </w:r>
          </w:p>
        </w:tc>
        <w:tc>
          <w:tcPr>
            <w:tcW w:w="1313" w:type="dxa"/>
          </w:tcPr>
          <w:p w14:paraId="647917BC">
            <w:pPr>
              <w:pStyle w:val="23"/>
              <w:widowControl w:val="0"/>
              <w:spacing w:line="240" w:lineRule="auto"/>
              <w:ind w:firstLine="0"/>
              <w:jc w:val="center"/>
              <w:rPr>
                <w:b/>
                <w:bCs/>
                <w:color w:val="auto"/>
                <w:sz w:val="18"/>
                <w:szCs w:val="18"/>
                <w:lang w:eastAsia="pl-PL"/>
              </w:rPr>
            </w:pPr>
            <w:r>
              <w:rPr>
                <w:b/>
                <w:bCs/>
                <w:color w:val="auto"/>
                <w:sz w:val="18"/>
                <w:szCs w:val="18"/>
                <w:lang w:eastAsia="pl-PL"/>
              </w:rPr>
              <w:t>VIF Score Updated</w:t>
            </w:r>
          </w:p>
        </w:tc>
      </w:tr>
      <w:tr w14:paraId="65AD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077FED1E">
            <w:pPr>
              <w:pStyle w:val="23"/>
              <w:widowControl w:val="0"/>
              <w:spacing w:line="240" w:lineRule="auto"/>
              <w:ind w:firstLine="0"/>
              <w:jc w:val="center"/>
              <w:rPr>
                <w:color w:val="auto"/>
                <w:sz w:val="18"/>
                <w:szCs w:val="18"/>
                <w:lang w:eastAsia="pl-PL"/>
              </w:rPr>
            </w:pPr>
            <w:r>
              <w:rPr>
                <w:color w:val="auto"/>
                <w:sz w:val="18"/>
                <w:szCs w:val="18"/>
                <w:lang w:eastAsia="pl-PL"/>
              </w:rPr>
              <w:t>1</w:t>
            </w:r>
          </w:p>
        </w:tc>
        <w:tc>
          <w:tcPr>
            <w:tcW w:w="3879" w:type="dxa"/>
          </w:tcPr>
          <w:p w14:paraId="51B83C03">
            <w:pPr>
              <w:pStyle w:val="23"/>
              <w:widowControl w:val="0"/>
              <w:spacing w:line="240" w:lineRule="auto"/>
              <w:jc w:val="center"/>
              <w:rPr>
                <w:color w:val="auto"/>
                <w:sz w:val="18"/>
                <w:szCs w:val="18"/>
                <w:lang w:eastAsia="pl-PL"/>
              </w:rPr>
            </w:pPr>
            <w:r>
              <w:rPr>
                <w:rFonts w:eastAsia="SimSun"/>
                <w:color w:val="auto"/>
                <w:sz w:val="18"/>
                <w:szCs w:val="18"/>
                <w:lang w:eastAsia="pl-PL"/>
              </w:rPr>
              <w:t>Previous.qualification..grade.</w:t>
            </w:r>
          </w:p>
        </w:tc>
        <w:tc>
          <w:tcPr>
            <w:tcW w:w="1270" w:type="dxa"/>
          </w:tcPr>
          <w:p w14:paraId="23E32E10">
            <w:pPr>
              <w:pStyle w:val="23"/>
              <w:widowControl w:val="0"/>
              <w:spacing w:line="240" w:lineRule="auto"/>
              <w:ind w:firstLine="0"/>
              <w:jc w:val="center"/>
              <w:rPr>
                <w:color w:val="auto"/>
                <w:sz w:val="18"/>
                <w:szCs w:val="18"/>
                <w:lang w:eastAsia="pl-PL"/>
              </w:rPr>
            </w:pPr>
            <w:r>
              <w:rPr>
                <w:rFonts w:eastAsia="SimSun"/>
                <w:color w:val="auto"/>
                <w:sz w:val="18"/>
                <w:szCs w:val="18"/>
                <w:lang w:eastAsia="pl-PL"/>
              </w:rPr>
              <w:t>1.565</w:t>
            </w:r>
          </w:p>
        </w:tc>
        <w:tc>
          <w:tcPr>
            <w:tcW w:w="1313" w:type="dxa"/>
          </w:tcPr>
          <w:p w14:paraId="5D6ACFA9">
            <w:pPr>
              <w:pStyle w:val="23"/>
              <w:widowControl w:val="0"/>
              <w:spacing w:line="240" w:lineRule="auto"/>
              <w:ind w:firstLine="0"/>
              <w:jc w:val="center"/>
              <w:rPr>
                <w:color w:val="auto"/>
                <w:sz w:val="18"/>
                <w:szCs w:val="18"/>
                <w:lang w:eastAsia="pl-PL"/>
              </w:rPr>
            </w:pPr>
            <w:r>
              <w:rPr>
                <w:rFonts w:eastAsia="SimSun"/>
                <w:color w:val="auto"/>
                <w:sz w:val="18"/>
                <w:szCs w:val="18"/>
                <w:lang w:eastAsia="pl-PL"/>
              </w:rPr>
              <w:t>1.563</w:t>
            </w:r>
          </w:p>
        </w:tc>
      </w:tr>
      <w:tr w14:paraId="2487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4B51016E">
            <w:pPr>
              <w:pStyle w:val="23"/>
              <w:widowControl w:val="0"/>
              <w:spacing w:line="240" w:lineRule="auto"/>
              <w:ind w:firstLine="0"/>
              <w:jc w:val="center"/>
              <w:rPr>
                <w:color w:val="auto"/>
                <w:sz w:val="18"/>
                <w:szCs w:val="18"/>
                <w:lang w:eastAsia="pl-PL"/>
              </w:rPr>
            </w:pPr>
            <w:r>
              <w:rPr>
                <w:color w:val="auto"/>
                <w:sz w:val="18"/>
                <w:szCs w:val="18"/>
                <w:lang w:eastAsia="pl-PL"/>
              </w:rPr>
              <w:t>2</w:t>
            </w:r>
          </w:p>
        </w:tc>
        <w:tc>
          <w:tcPr>
            <w:tcW w:w="3879" w:type="dxa"/>
          </w:tcPr>
          <w:p w14:paraId="7DB0A90E">
            <w:pPr>
              <w:pStyle w:val="23"/>
              <w:widowControl w:val="0"/>
              <w:spacing w:line="240" w:lineRule="auto"/>
              <w:jc w:val="center"/>
              <w:rPr>
                <w:color w:val="auto"/>
                <w:sz w:val="18"/>
                <w:szCs w:val="18"/>
                <w:lang w:eastAsia="pl-PL"/>
              </w:rPr>
            </w:pPr>
            <w:r>
              <w:rPr>
                <w:rFonts w:eastAsia="SimSun"/>
                <w:color w:val="auto"/>
                <w:sz w:val="18"/>
                <w:szCs w:val="18"/>
                <w:lang w:eastAsia="pl-PL"/>
              </w:rPr>
              <w:t>Admission.grade</w:t>
            </w:r>
          </w:p>
        </w:tc>
        <w:tc>
          <w:tcPr>
            <w:tcW w:w="1270" w:type="dxa"/>
          </w:tcPr>
          <w:p w14:paraId="7D5284F4">
            <w:pPr>
              <w:pStyle w:val="23"/>
              <w:widowControl w:val="0"/>
              <w:spacing w:line="240" w:lineRule="auto"/>
              <w:ind w:firstLine="0"/>
              <w:jc w:val="center"/>
              <w:rPr>
                <w:color w:val="auto"/>
                <w:sz w:val="18"/>
                <w:szCs w:val="18"/>
                <w:lang w:eastAsia="pl-PL"/>
              </w:rPr>
            </w:pPr>
            <w:r>
              <w:rPr>
                <w:rFonts w:eastAsia="SimSun"/>
                <w:color w:val="auto"/>
                <w:sz w:val="18"/>
                <w:szCs w:val="18"/>
                <w:lang w:eastAsia="pl-PL"/>
              </w:rPr>
              <w:t>1.596</w:t>
            </w:r>
          </w:p>
        </w:tc>
        <w:tc>
          <w:tcPr>
            <w:tcW w:w="1313" w:type="dxa"/>
          </w:tcPr>
          <w:p w14:paraId="61C3830B">
            <w:pPr>
              <w:pStyle w:val="23"/>
              <w:widowControl w:val="0"/>
              <w:spacing w:line="240" w:lineRule="auto"/>
              <w:ind w:firstLine="0"/>
              <w:jc w:val="center"/>
              <w:rPr>
                <w:color w:val="auto"/>
                <w:sz w:val="18"/>
                <w:szCs w:val="18"/>
                <w:lang w:eastAsia="pl-PL"/>
              </w:rPr>
            </w:pPr>
            <w:r>
              <w:rPr>
                <w:rFonts w:eastAsia="SimSun"/>
                <w:color w:val="auto"/>
                <w:sz w:val="18"/>
                <w:szCs w:val="18"/>
                <w:lang w:eastAsia="pl-PL"/>
              </w:rPr>
              <w:t>1.593</w:t>
            </w:r>
          </w:p>
        </w:tc>
      </w:tr>
      <w:tr w14:paraId="64CD2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6FFC44F6">
            <w:pPr>
              <w:pStyle w:val="23"/>
              <w:widowControl w:val="0"/>
              <w:spacing w:line="240" w:lineRule="auto"/>
              <w:ind w:firstLine="0"/>
              <w:jc w:val="center"/>
              <w:rPr>
                <w:color w:val="auto"/>
                <w:sz w:val="18"/>
                <w:szCs w:val="18"/>
                <w:lang w:eastAsia="pl-PL"/>
              </w:rPr>
            </w:pPr>
            <w:r>
              <w:rPr>
                <w:color w:val="auto"/>
                <w:sz w:val="18"/>
                <w:szCs w:val="18"/>
                <w:lang w:eastAsia="pl-PL"/>
              </w:rPr>
              <w:t>3</w:t>
            </w:r>
          </w:p>
        </w:tc>
        <w:tc>
          <w:tcPr>
            <w:tcW w:w="3879" w:type="dxa"/>
          </w:tcPr>
          <w:p w14:paraId="3BEE78D8">
            <w:pPr>
              <w:pStyle w:val="23"/>
              <w:widowControl w:val="0"/>
              <w:spacing w:line="240" w:lineRule="auto"/>
              <w:jc w:val="center"/>
              <w:rPr>
                <w:color w:val="auto"/>
                <w:sz w:val="18"/>
                <w:szCs w:val="18"/>
                <w:lang w:eastAsia="pl-PL"/>
              </w:rPr>
            </w:pPr>
            <w:r>
              <w:rPr>
                <w:rFonts w:eastAsia="SimSun"/>
                <w:color w:val="auto"/>
                <w:sz w:val="18"/>
                <w:szCs w:val="18"/>
                <w:lang w:eastAsia="pl-PL"/>
              </w:rPr>
              <w:t>Age.at.enrollment</w:t>
            </w:r>
          </w:p>
        </w:tc>
        <w:tc>
          <w:tcPr>
            <w:tcW w:w="1270" w:type="dxa"/>
          </w:tcPr>
          <w:p w14:paraId="469ECA77">
            <w:pPr>
              <w:pStyle w:val="23"/>
              <w:widowControl w:val="0"/>
              <w:spacing w:line="240" w:lineRule="auto"/>
              <w:ind w:firstLine="0"/>
              <w:jc w:val="center"/>
              <w:rPr>
                <w:color w:val="auto"/>
                <w:sz w:val="18"/>
                <w:szCs w:val="18"/>
                <w:lang w:eastAsia="pl-PL"/>
              </w:rPr>
            </w:pPr>
            <w:r>
              <w:rPr>
                <w:rFonts w:eastAsia="SimSun"/>
                <w:color w:val="auto"/>
                <w:sz w:val="18"/>
                <w:szCs w:val="18"/>
                <w:lang w:eastAsia="pl-PL"/>
              </w:rPr>
              <w:t>1.170</w:t>
            </w:r>
          </w:p>
        </w:tc>
        <w:tc>
          <w:tcPr>
            <w:tcW w:w="1313" w:type="dxa"/>
          </w:tcPr>
          <w:p w14:paraId="54CA0275">
            <w:pPr>
              <w:pStyle w:val="23"/>
              <w:widowControl w:val="0"/>
              <w:spacing w:line="240" w:lineRule="auto"/>
              <w:ind w:firstLine="0"/>
              <w:jc w:val="center"/>
              <w:rPr>
                <w:rFonts w:eastAsia="SimSun"/>
                <w:color w:val="auto"/>
                <w:sz w:val="18"/>
                <w:szCs w:val="18"/>
                <w:lang w:eastAsia="pl-PL"/>
              </w:rPr>
            </w:pPr>
            <w:r>
              <w:rPr>
                <w:rFonts w:eastAsia="SimSun"/>
                <w:color w:val="auto"/>
                <w:sz w:val="18"/>
                <w:szCs w:val="18"/>
                <w:lang w:eastAsia="pl-PL"/>
              </w:rPr>
              <w:t>1.128</w:t>
            </w:r>
          </w:p>
        </w:tc>
      </w:tr>
      <w:tr w14:paraId="16F8F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2DE19554">
            <w:pPr>
              <w:pStyle w:val="23"/>
              <w:widowControl w:val="0"/>
              <w:spacing w:line="240" w:lineRule="auto"/>
              <w:ind w:firstLine="0"/>
              <w:jc w:val="center"/>
              <w:rPr>
                <w:color w:val="auto"/>
                <w:sz w:val="18"/>
                <w:szCs w:val="18"/>
                <w:lang w:eastAsia="pl-PL"/>
              </w:rPr>
            </w:pPr>
            <w:r>
              <w:rPr>
                <w:color w:val="auto"/>
                <w:sz w:val="18"/>
                <w:szCs w:val="18"/>
                <w:lang w:eastAsia="pl-PL"/>
              </w:rPr>
              <w:t>4</w:t>
            </w:r>
          </w:p>
        </w:tc>
        <w:tc>
          <w:tcPr>
            <w:tcW w:w="3879" w:type="dxa"/>
          </w:tcPr>
          <w:p w14:paraId="422A896A">
            <w:pPr>
              <w:pStyle w:val="23"/>
              <w:widowControl w:val="0"/>
              <w:spacing w:line="240" w:lineRule="auto"/>
              <w:jc w:val="center"/>
              <w:rPr>
                <w:color w:val="auto"/>
                <w:sz w:val="18"/>
                <w:szCs w:val="18"/>
                <w:lang w:eastAsia="pl-PL"/>
              </w:rPr>
            </w:pPr>
            <w:r>
              <w:rPr>
                <w:rFonts w:eastAsia="SimSun"/>
                <w:color w:val="auto"/>
                <w:sz w:val="18"/>
                <w:szCs w:val="18"/>
                <w:lang w:eastAsia="pl-PL"/>
              </w:rPr>
              <w:t>Curricular.units.1st.sem..credited.</w:t>
            </w:r>
          </w:p>
        </w:tc>
        <w:tc>
          <w:tcPr>
            <w:tcW w:w="1270" w:type="dxa"/>
          </w:tcPr>
          <w:p w14:paraId="74E66F70">
            <w:pPr>
              <w:pStyle w:val="23"/>
              <w:widowControl w:val="0"/>
              <w:spacing w:line="240" w:lineRule="auto"/>
              <w:ind w:firstLine="0"/>
              <w:jc w:val="center"/>
              <w:rPr>
                <w:color w:val="auto"/>
                <w:sz w:val="18"/>
                <w:szCs w:val="18"/>
                <w:lang w:eastAsia="pl-PL"/>
              </w:rPr>
            </w:pPr>
            <w:r>
              <w:rPr>
                <w:rFonts w:eastAsia="SimSun"/>
                <w:color w:val="auto"/>
                <w:sz w:val="18"/>
                <w:szCs w:val="18"/>
                <w:lang w:eastAsia="pl-PL"/>
              </w:rPr>
              <w:t>15.898</w:t>
            </w:r>
          </w:p>
        </w:tc>
        <w:tc>
          <w:tcPr>
            <w:tcW w:w="1313" w:type="dxa"/>
          </w:tcPr>
          <w:p w14:paraId="474E03EA">
            <w:pPr>
              <w:pStyle w:val="23"/>
              <w:widowControl w:val="0"/>
              <w:spacing w:line="240" w:lineRule="auto"/>
              <w:ind w:firstLine="0"/>
              <w:jc w:val="center"/>
              <w:rPr>
                <w:rFonts w:eastAsia="SimSun"/>
                <w:color w:val="auto"/>
                <w:sz w:val="18"/>
                <w:szCs w:val="18"/>
                <w:lang w:eastAsia="pl-PL"/>
              </w:rPr>
            </w:pPr>
            <w:r>
              <w:rPr>
                <w:rFonts w:eastAsia="SimSun"/>
                <w:color w:val="auto"/>
                <w:sz w:val="18"/>
                <w:szCs w:val="18"/>
                <w:lang w:eastAsia="pl-PL"/>
              </w:rPr>
              <w:t>excluded</w:t>
            </w:r>
          </w:p>
        </w:tc>
      </w:tr>
      <w:tr w14:paraId="35071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67DA49BF">
            <w:pPr>
              <w:pStyle w:val="23"/>
              <w:widowControl w:val="0"/>
              <w:spacing w:line="240" w:lineRule="auto"/>
              <w:ind w:firstLine="0"/>
              <w:jc w:val="center"/>
              <w:rPr>
                <w:color w:val="auto"/>
                <w:sz w:val="18"/>
                <w:szCs w:val="18"/>
                <w:lang w:eastAsia="pl-PL"/>
              </w:rPr>
            </w:pPr>
            <w:r>
              <w:rPr>
                <w:color w:val="auto"/>
                <w:sz w:val="18"/>
                <w:szCs w:val="18"/>
                <w:lang w:eastAsia="pl-PL"/>
              </w:rPr>
              <w:t>5</w:t>
            </w:r>
          </w:p>
        </w:tc>
        <w:tc>
          <w:tcPr>
            <w:tcW w:w="3879" w:type="dxa"/>
          </w:tcPr>
          <w:p w14:paraId="3C4C100F">
            <w:pPr>
              <w:pStyle w:val="23"/>
              <w:widowControl w:val="0"/>
              <w:spacing w:line="240" w:lineRule="auto"/>
              <w:jc w:val="center"/>
              <w:rPr>
                <w:color w:val="auto"/>
                <w:sz w:val="18"/>
                <w:szCs w:val="18"/>
                <w:lang w:eastAsia="pl-PL"/>
              </w:rPr>
            </w:pPr>
            <w:r>
              <w:rPr>
                <w:rFonts w:eastAsia="SimSun"/>
                <w:color w:val="auto"/>
                <w:sz w:val="18"/>
                <w:szCs w:val="18"/>
                <w:lang w:eastAsia="pl-PL"/>
              </w:rPr>
              <w:t>Curricular.units.1st.sem..enrolled.</w:t>
            </w:r>
          </w:p>
        </w:tc>
        <w:tc>
          <w:tcPr>
            <w:tcW w:w="1270" w:type="dxa"/>
          </w:tcPr>
          <w:p w14:paraId="4D10E9F6">
            <w:pPr>
              <w:pStyle w:val="23"/>
              <w:widowControl w:val="0"/>
              <w:spacing w:line="240" w:lineRule="auto"/>
              <w:ind w:firstLine="0"/>
              <w:jc w:val="center"/>
              <w:rPr>
                <w:color w:val="auto"/>
                <w:sz w:val="18"/>
                <w:szCs w:val="18"/>
                <w:lang w:eastAsia="pl-PL"/>
              </w:rPr>
            </w:pPr>
            <w:r>
              <w:rPr>
                <w:rFonts w:eastAsia="SimSun"/>
                <w:color w:val="auto"/>
                <w:sz w:val="18"/>
                <w:szCs w:val="18"/>
                <w:lang w:eastAsia="pl-PL"/>
              </w:rPr>
              <w:t>23.038</w:t>
            </w:r>
          </w:p>
        </w:tc>
        <w:tc>
          <w:tcPr>
            <w:tcW w:w="1313" w:type="dxa"/>
          </w:tcPr>
          <w:p w14:paraId="1CEC6C65">
            <w:pPr>
              <w:pStyle w:val="23"/>
              <w:widowControl w:val="0"/>
              <w:spacing w:line="240" w:lineRule="auto"/>
              <w:ind w:firstLine="0"/>
              <w:jc w:val="center"/>
              <w:rPr>
                <w:rFonts w:eastAsia="SimSun"/>
                <w:color w:val="auto"/>
                <w:sz w:val="18"/>
                <w:szCs w:val="18"/>
                <w:lang w:eastAsia="pl-PL"/>
              </w:rPr>
            </w:pPr>
            <w:r>
              <w:rPr>
                <w:rFonts w:eastAsia="SimSun"/>
                <w:color w:val="auto"/>
                <w:sz w:val="18"/>
                <w:szCs w:val="18"/>
                <w:lang w:eastAsia="pl-PL"/>
              </w:rPr>
              <w:t>excluded</w:t>
            </w:r>
          </w:p>
        </w:tc>
      </w:tr>
      <w:tr w14:paraId="06DE3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6B706BDE">
            <w:pPr>
              <w:pStyle w:val="23"/>
              <w:widowControl w:val="0"/>
              <w:spacing w:line="240" w:lineRule="auto"/>
              <w:ind w:firstLine="0"/>
              <w:jc w:val="center"/>
              <w:rPr>
                <w:color w:val="auto"/>
                <w:sz w:val="18"/>
                <w:szCs w:val="18"/>
                <w:lang w:eastAsia="pl-PL"/>
              </w:rPr>
            </w:pPr>
            <w:r>
              <w:rPr>
                <w:color w:val="auto"/>
                <w:sz w:val="18"/>
                <w:szCs w:val="18"/>
                <w:lang w:eastAsia="pl-PL"/>
              </w:rPr>
              <w:t>6</w:t>
            </w:r>
          </w:p>
        </w:tc>
        <w:tc>
          <w:tcPr>
            <w:tcW w:w="3879" w:type="dxa"/>
          </w:tcPr>
          <w:p w14:paraId="52E71C6F">
            <w:pPr>
              <w:pStyle w:val="23"/>
              <w:widowControl w:val="0"/>
              <w:spacing w:line="240" w:lineRule="auto"/>
              <w:jc w:val="center"/>
              <w:rPr>
                <w:color w:val="auto"/>
                <w:sz w:val="18"/>
                <w:szCs w:val="18"/>
                <w:lang w:eastAsia="pl-PL"/>
              </w:rPr>
            </w:pPr>
            <w:r>
              <w:rPr>
                <w:rFonts w:eastAsia="SimSun"/>
                <w:color w:val="auto"/>
                <w:sz w:val="18"/>
                <w:szCs w:val="18"/>
                <w:lang w:eastAsia="pl-PL"/>
              </w:rPr>
              <w:t>Curricular.units.1st.sem..evaluations.</w:t>
            </w:r>
          </w:p>
        </w:tc>
        <w:tc>
          <w:tcPr>
            <w:tcW w:w="1270" w:type="dxa"/>
          </w:tcPr>
          <w:p w14:paraId="073AA0AD">
            <w:pPr>
              <w:pStyle w:val="23"/>
              <w:widowControl w:val="0"/>
              <w:spacing w:line="240" w:lineRule="auto"/>
              <w:ind w:firstLine="0"/>
              <w:jc w:val="center"/>
              <w:rPr>
                <w:color w:val="auto"/>
                <w:sz w:val="18"/>
                <w:szCs w:val="18"/>
                <w:lang w:eastAsia="pl-PL"/>
              </w:rPr>
            </w:pPr>
            <w:r>
              <w:rPr>
                <w:rFonts w:eastAsia="SimSun"/>
                <w:color w:val="auto"/>
                <w:sz w:val="18"/>
                <w:szCs w:val="18"/>
                <w:lang w:eastAsia="pl-PL"/>
              </w:rPr>
              <w:t>3.787</w:t>
            </w:r>
          </w:p>
        </w:tc>
        <w:tc>
          <w:tcPr>
            <w:tcW w:w="1313" w:type="dxa"/>
          </w:tcPr>
          <w:p w14:paraId="6F32B1DC">
            <w:pPr>
              <w:pStyle w:val="23"/>
              <w:widowControl w:val="0"/>
              <w:spacing w:line="240" w:lineRule="auto"/>
              <w:ind w:firstLine="0"/>
              <w:jc w:val="center"/>
              <w:rPr>
                <w:rFonts w:eastAsia="SimSun"/>
                <w:color w:val="auto"/>
                <w:sz w:val="18"/>
                <w:szCs w:val="18"/>
                <w:lang w:eastAsia="pl-PL"/>
              </w:rPr>
            </w:pPr>
            <w:r>
              <w:rPr>
                <w:rFonts w:eastAsia="SimSun"/>
                <w:color w:val="auto"/>
                <w:sz w:val="18"/>
                <w:szCs w:val="18"/>
                <w:lang w:eastAsia="pl-PL"/>
              </w:rPr>
              <w:t>3.082</w:t>
            </w:r>
          </w:p>
        </w:tc>
      </w:tr>
      <w:tr w14:paraId="0F263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16820039">
            <w:pPr>
              <w:pStyle w:val="23"/>
              <w:widowControl w:val="0"/>
              <w:spacing w:line="240" w:lineRule="auto"/>
              <w:ind w:firstLine="0"/>
              <w:jc w:val="center"/>
              <w:rPr>
                <w:color w:val="auto"/>
                <w:sz w:val="18"/>
                <w:szCs w:val="18"/>
                <w:lang w:eastAsia="pl-PL"/>
              </w:rPr>
            </w:pPr>
            <w:r>
              <w:rPr>
                <w:color w:val="auto"/>
                <w:sz w:val="18"/>
                <w:szCs w:val="18"/>
                <w:lang w:eastAsia="pl-PL"/>
              </w:rPr>
              <w:t>7</w:t>
            </w:r>
          </w:p>
        </w:tc>
        <w:tc>
          <w:tcPr>
            <w:tcW w:w="3879" w:type="dxa"/>
          </w:tcPr>
          <w:p w14:paraId="144F3DF6">
            <w:pPr>
              <w:pStyle w:val="23"/>
              <w:widowControl w:val="0"/>
              <w:spacing w:line="240" w:lineRule="auto"/>
              <w:jc w:val="center"/>
              <w:rPr>
                <w:color w:val="auto"/>
                <w:sz w:val="18"/>
                <w:szCs w:val="18"/>
                <w:lang w:eastAsia="pl-PL"/>
              </w:rPr>
            </w:pPr>
            <w:r>
              <w:rPr>
                <w:rFonts w:eastAsia="SimSun"/>
                <w:color w:val="auto"/>
                <w:sz w:val="18"/>
                <w:szCs w:val="18"/>
                <w:lang w:eastAsia="pl-PL"/>
              </w:rPr>
              <w:t>Curricular.units.1st.sem..approved.</w:t>
            </w:r>
          </w:p>
        </w:tc>
        <w:tc>
          <w:tcPr>
            <w:tcW w:w="1270" w:type="dxa"/>
          </w:tcPr>
          <w:p w14:paraId="3F08C322">
            <w:pPr>
              <w:pStyle w:val="23"/>
              <w:widowControl w:val="0"/>
              <w:spacing w:line="240" w:lineRule="auto"/>
              <w:ind w:firstLine="0"/>
              <w:jc w:val="center"/>
              <w:rPr>
                <w:color w:val="auto"/>
                <w:sz w:val="18"/>
                <w:szCs w:val="18"/>
                <w:lang w:eastAsia="pl-PL"/>
              </w:rPr>
            </w:pPr>
            <w:r>
              <w:rPr>
                <w:rFonts w:eastAsia="SimSun"/>
                <w:color w:val="auto"/>
                <w:sz w:val="18"/>
                <w:szCs w:val="18"/>
                <w:lang w:eastAsia="pl-PL"/>
              </w:rPr>
              <w:t>12.244</w:t>
            </w:r>
          </w:p>
        </w:tc>
        <w:tc>
          <w:tcPr>
            <w:tcW w:w="1313" w:type="dxa"/>
          </w:tcPr>
          <w:p w14:paraId="4E32D51B">
            <w:pPr>
              <w:pStyle w:val="23"/>
              <w:widowControl w:val="0"/>
              <w:spacing w:line="240" w:lineRule="auto"/>
              <w:ind w:firstLine="0"/>
              <w:jc w:val="center"/>
              <w:rPr>
                <w:rFonts w:eastAsia="SimSun"/>
                <w:color w:val="auto"/>
                <w:sz w:val="18"/>
                <w:szCs w:val="18"/>
                <w:lang w:eastAsia="pl-PL"/>
              </w:rPr>
            </w:pPr>
            <w:r>
              <w:rPr>
                <w:rFonts w:eastAsia="SimSun"/>
                <w:color w:val="auto"/>
                <w:sz w:val="18"/>
                <w:szCs w:val="18"/>
                <w:lang w:eastAsia="pl-PL"/>
              </w:rPr>
              <w:t>excluded</w:t>
            </w:r>
          </w:p>
        </w:tc>
      </w:tr>
      <w:tr w14:paraId="1698D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488875F6">
            <w:pPr>
              <w:pStyle w:val="23"/>
              <w:widowControl w:val="0"/>
              <w:spacing w:line="240" w:lineRule="auto"/>
              <w:ind w:firstLine="0"/>
              <w:jc w:val="center"/>
              <w:rPr>
                <w:color w:val="auto"/>
                <w:sz w:val="18"/>
                <w:szCs w:val="18"/>
                <w:lang w:eastAsia="pl-PL"/>
              </w:rPr>
            </w:pPr>
            <w:r>
              <w:rPr>
                <w:color w:val="auto"/>
                <w:sz w:val="18"/>
                <w:szCs w:val="18"/>
                <w:lang w:eastAsia="pl-PL"/>
              </w:rPr>
              <w:t>8</w:t>
            </w:r>
          </w:p>
        </w:tc>
        <w:tc>
          <w:tcPr>
            <w:tcW w:w="3879" w:type="dxa"/>
          </w:tcPr>
          <w:p w14:paraId="362241CC">
            <w:pPr>
              <w:pStyle w:val="23"/>
              <w:widowControl w:val="0"/>
              <w:spacing w:line="240" w:lineRule="auto"/>
              <w:jc w:val="center"/>
              <w:rPr>
                <w:color w:val="auto"/>
                <w:sz w:val="18"/>
                <w:szCs w:val="18"/>
                <w:lang w:eastAsia="pl-PL"/>
              </w:rPr>
            </w:pPr>
            <w:r>
              <w:rPr>
                <w:rFonts w:eastAsia="SimSun"/>
                <w:color w:val="auto"/>
                <w:sz w:val="18"/>
                <w:szCs w:val="18"/>
                <w:lang w:eastAsia="pl-PL"/>
              </w:rPr>
              <w:t>Curricular.units.1st.sem..grade.</w:t>
            </w:r>
          </w:p>
        </w:tc>
        <w:tc>
          <w:tcPr>
            <w:tcW w:w="1270" w:type="dxa"/>
          </w:tcPr>
          <w:p w14:paraId="5B430A5F">
            <w:pPr>
              <w:pStyle w:val="23"/>
              <w:widowControl w:val="0"/>
              <w:spacing w:line="240" w:lineRule="auto"/>
              <w:ind w:firstLine="0"/>
              <w:jc w:val="center"/>
              <w:rPr>
                <w:color w:val="auto"/>
                <w:sz w:val="18"/>
                <w:szCs w:val="18"/>
                <w:lang w:eastAsia="pl-PL"/>
              </w:rPr>
            </w:pPr>
            <w:r>
              <w:rPr>
                <w:rFonts w:eastAsia="SimSun"/>
                <w:color w:val="auto"/>
                <w:sz w:val="18"/>
                <w:szCs w:val="18"/>
                <w:lang w:eastAsia="pl-PL"/>
              </w:rPr>
              <w:t>4.900</w:t>
            </w:r>
          </w:p>
        </w:tc>
        <w:tc>
          <w:tcPr>
            <w:tcW w:w="1313" w:type="dxa"/>
          </w:tcPr>
          <w:p w14:paraId="35F1C17E">
            <w:pPr>
              <w:pStyle w:val="23"/>
              <w:widowControl w:val="0"/>
              <w:spacing w:line="240" w:lineRule="auto"/>
              <w:ind w:firstLine="0"/>
              <w:jc w:val="center"/>
              <w:rPr>
                <w:rFonts w:eastAsia="SimSun"/>
                <w:color w:val="auto"/>
                <w:sz w:val="18"/>
                <w:szCs w:val="18"/>
                <w:lang w:eastAsia="pl-PL"/>
              </w:rPr>
            </w:pPr>
            <w:r>
              <w:rPr>
                <w:rFonts w:eastAsia="SimSun"/>
                <w:color w:val="auto"/>
                <w:sz w:val="18"/>
                <w:szCs w:val="18"/>
                <w:lang w:eastAsia="pl-PL"/>
              </w:rPr>
              <w:t>3.690</w:t>
            </w:r>
          </w:p>
        </w:tc>
      </w:tr>
      <w:tr w14:paraId="7E9A4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006D3434">
            <w:pPr>
              <w:pStyle w:val="23"/>
              <w:widowControl w:val="0"/>
              <w:spacing w:line="240" w:lineRule="auto"/>
              <w:ind w:firstLine="0"/>
              <w:jc w:val="center"/>
              <w:rPr>
                <w:color w:val="auto"/>
                <w:sz w:val="18"/>
                <w:szCs w:val="18"/>
                <w:lang w:eastAsia="pl-PL"/>
              </w:rPr>
            </w:pPr>
            <w:r>
              <w:rPr>
                <w:color w:val="auto"/>
                <w:sz w:val="18"/>
                <w:szCs w:val="18"/>
                <w:lang w:eastAsia="pl-PL"/>
              </w:rPr>
              <w:t>9</w:t>
            </w:r>
          </w:p>
        </w:tc>
        <w:tc>
          <w:tcPr>
            <w:tcW w:w="3879" w:type="dxa"/>
          </w:tcPr>
          <w:p w14:paraId="78785E18">
            <w:pPr>
              <w:pStyle w:val="23"/>
              <w:widowControl w:val="0"/>
              <w:spacing w:line="240" w:lineRule="auto"/>
              <w:jc w:val="center"/>
              <w:rPr>
                <w:color w:val="auto"/>
                <w:sz w:val="18"/>
                <w:szCs w:val="18"/>
                <w:lang w:eastAsia="pl-PL"/>
              </w:rPr>
            </w:pPr>
            <w:r>
              <w:rPr>
                <w:rFonts w:eastAsia="SimSun"/>
                <w:color w:val="auto"/>
                <w:sz w:val="18"/>
                <w:szCs w:val="18"/>
                <w:lang w:eastAsia="pl-PL"/>
              </w:rPr>
              <w:t>Curricular.units.1st.sem..without.evaluations.</w:t>
            </w:r>
          </w:p>
        </w:tc>
        <w:tc>
          <w:tcPr>
            <w:tcW w:w="1270" w:type="dxa"/>
          </w:tcPr>
          <w:p w14:paraId="3CBEA932">
            <w:pPr>
              <w:pStyle w:val="23"/>
              <w:widowControl w:val="0"/>
              <w:spacing w:line="240" w:lineRule="auto"/>
              <w:ind w:firstLine="0"/>
              <w:jc w:val="center"/>
              <w:rPr>
                <w:color w:val="auto"/>
                <w:sz w:val="18"/>
                <w:szCs w:val="18"/>
                <w:lang w:eastAsia="pl-PL"/>
              </w:rPr>
            </w:pPr>
            <w:r>
              <w:rPr>
                <w:rFonts w:eastAsia="SimSun"/>
                <w:color w:val="auto"/>
                <w:sz w:val="18"/>
                <w:szCs w:val="18"/>
                <w:lang w:eastAsia="pl-PL"/>
              </w:rPr>
              <w:t>1.764</w:t>
            </w:r>
          </w:p>
        </w:tc>
        <w:tc>
          <w:tcPr>
            <w:tcW w:w="1313" w:type="dxa"/>
          </w:tcPr>
          <w:p w14:paraId="796DA685">
            <w:pPr>
              <w:pStyle w:val="23"/>
              <w:widowControl w:val="0"/>
              <w:spacing w:line="240" w:lineRule="auto"/>
              <w:ind w:firstLine="0"/>
              <w:jc w:val="center"/>
              <w:rPr>
                <w:rFonts w:eastAsia="SimSun"/>
                <w:color w:val="auto"/>
                <w:sz w:val="18"/>
                <w:szCs w:val="18"/>
                <w:lang w:eastAsia="pl-PL"/>
              </w:rPr>
            </w:pPr>
            <w:r>
              <w:rPr>
                <w:rFonts w:eastAsia="SimSun"/>
                <w:color w:val="auto"/>
                <w:sz w:val="18"/>
                <w:szCs w:val="18"/>
                <w:lang w:eastAsia="pl-PL"/>
              </w:rPr>
              <w:t>1.761</w:t>
            </w:r>
          </w:p>
        </w:tc>
      </w:tr>
      <w:tr w14:paraId="71238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7FC2989B">
            <w:pPr>
              <w:pStyle w:val="23"/>
              <w:widowControl w:val="0"/>
              <w:spacing w:line="240" w:lineRule="auto"/>
              <w:ind w:firstLine="0"/>
              <w:jc w:val="center"/>
              <w:rPr>
                <w:color w:val="auto"/>
                <w:sz w:val="18"/>
                <w:szCs w:val="18"/>
                <w:lang w:eastAsia="pl-PL"/>
              </w:rPr>
            </w:pPr>
            <w:r>
              <w:rPr>
                <w:color w:val="auto"/>
                <w:sz w:val="18"/>
                <w:szCs w:val="18"/>
                <w:lang w:eastAsia="pl-PL"/>
              </w:rPr>
              <w:t>10</w:t>
            </w:r>
          </w:p>
        </w:tc>
        <w:tc>
          <w:tcPr>
            <w:tcW w:w="3879" w:type="dxa"/>
          </w:tcPr>
          <w:p w14:paraId="6765779B">
            <w:pPr>
              <w:pStyle w:val="23"/>
              <w:widowControl w:val="0"/>
              <w:spacing w:line="240" w:lineRule="auto"/>
              <w:jc w:val="center"/>
              <w:rPr>
                <w:rFonts w:eastAsia="SimSun"/>
                <w:color w:val="auto"/>
                <w:sz w:val="18"/>
                <w:szCs w:val="18"/>
                <w:lang w:eastAsia="pl-PL"/>
              </w:rPr>
            </w:pPr>
            <w:r>
              <w:rPr>
                <w:rFonts w:eastAsia="SimSun"/>
                <w:color w:val="auto"/>
                <w:sz w:val="18"/>
                <w:szCs w:val="18"/>
                <w:lang w:eastAsia="pl-PL"/>
              </w:rPr>
              <w:t>Curricular.units.2nd.sem..credited.</w:t>
            </w:r>
          </w:p>
        </w:tc>
        <w:tc>
          <w:tcPr>
            <w:tcW w:w="1270" w:type="dxa"/>
          </w:tcPr>
          <w:p w14:paraId="3AAA548B">
            <w:pPr>
              <w:pStyle w:val="23"/>
              <w:widowControl w:val="0"/>
              <w:spacing w:line="240" w:lineRule="auto"/>
              <w:ind w:firstLine="0"/>
              <w:jc w:val="center"/>
              <w:rPr>
                <w:color w:val="auto"/>
                <w:sz w:val="18"/>
                <w:szCs w:val="18"/>
                <w:lang w:eastAsia="pl-PL"/>
              </w:rPr>
            </w:pPr>
            <w:r>
              <w:rPr>
                <w:rFonts w:eastAsia="SimSun"/>
                <w:color w:val="auto"/>
                <w:sz w:val="18"/>
                <w:szCs w:val="18"/>
                <w:lang w:eastAsia="pl-PL"/>
              </w:rPr>
              <w:t>12.337</w:t>
            </w:r>
          </w:p>
        </w:tc>
        <w:tc>
          <w:tcPr>
            <w:tcW w:w="1313" w:type="dxa"/>
          </w:tcPr>
          <w:p w14:paraId="337A2D2B">
            <w:pPr>
              <w:pStyle w:val="23"/>
              <w:widowControl w:val="0"/>
              <w:spacing w:line="240" w:lineRule="auto"/>
              <w:ind w:firstLine="0"/>
              <w:jc w:val="center"/>
              <w:rPr>
                <w:rFonts w:eastAsia="SimSun"/>
                <w:color w:val="auto"/>
                <w:sz w:val="18"/>
                <w:szCs w:val="18"/>
                <w:lang w:eastAsia="pl-PL"/>
              </w:rPr>
            </w:pPr>
            <w:r>
              <w:rPr>
                <w:rFonts w:eastAsia="SimSun"/>
                <w:color w:val="auto"/>
                <w:sz w:val="18"/>
                <w:szCs w:val="18"/>
                <w:lang w:eastAsia="pl-PL"/>
              </w:rPr>
              <w:t>2.100</w:t>
            </w:r>
          </w:p>
        </w:tc>
      </w:tr>
      <w:tr w14:paraId="6C075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7B1F05F0">
            <w:pPr>
              <w:pStyle w:val="23"/>
              <w:widowControl w:val="0"/>
              <w:spacing w:line="240" w:lineRule="auto"/>
              <w:ind w:firstLine="0"/>
              <w:jc w:val="center"/>
              <w:rPr>
                <w:color w:val="auto"/>
                <w:sz w:val="18"/>
                <w:szCs w:val="18"/>
                <w:lang w:eastAsia="pl-PL"/>
              </w:rPr>
            </w:pPr>
            <w:r>
              <w:rPr>
                <w:color w:val="auto"/>
                <w:sz w:val="18"/>
                <w:szCs w:val="18"/>
                <w:lang w:eastAsia="pl-PL"/>
              </w:rPr>
              <w:t>11</w:t>
            </w:r>
          </w:p>
        </w:tc>
        <w:tc>
          <w:tcPr>
            <w:tcW w:w="3879" w:type="dxa"/>
          </w:tcPr>
          <w:p w14:paraId="7033C949">
            <w:pPr>
              <w:pStyle w:val="23"/>
              <w:widowControl w:val="0"/>
              <w:spacing w:line="240" w:lineRule="auto"/>
              <w:jc w:val="center"/>
              <w:rPr>
                <w:rFonts w:eastAsia="SimSun"/>
                <w:color w:val="auto"/>
                <w:sz w:val="18"/>
                <w:szCs w:val="18"/>
                <w:lang w:eastAsia="pl-PL"/>
              </w:rPr>
            </w:pPr>
            <w:r>
              <w:rPr>
                <w:rFonts w:eastAsia="SimSun"/>
                <w:color w:val="auto"/>
                <w:sz w:val="18"/>
                <w:szCs w:val="18"/>
                <w:lang w:eastAsia="pl-PL"/>
              </w:rPr>
              <w:t>Curricular.units.2nd.sem..enrolled.</w:t>
            </w:r>
          </w:p>
        </w:tc>
        <w:tc>
          <w:tcPr>
            <w:tcW w:w="1270" w:type="dxa"/>
          </w:tcPr>
          <w:p w14:paraId="0DBDF487">
            <w:pPr>
              <w:pStyle w:val="23"/>
              <w:widowControl w:val="0"/>
              <w:spacing w:line="240" w:lineRule="auto"/>
              <w:ind w:firstLine="0"/>
              <w:jc w:val="center"/>
              <w:rPr>
                <w:color w:val="auto"/>
                <w:sz w:val="18"/>
                <w:szCs w:val="18"/>
                <w:lang w:eastAsia="pl-PL"/>
              </w:rPr>
            </w:pPr>
            <w:r>
              <w:rPr>
                <w:rFonts w:eastAsia="SimSun"/>
                <w:color w:val="auto"/>
                <w:sz w:val="18"/>
                <w:szCs w:val="18"/>
                <w:lang w:eastAsia="pl-PL"/>
              </w:rPr>
              <w:t>16.140</w:t>
            </w:r>
          </w:p>
        </w:tc>
        <w:tc>
          <w:tcPr>
            <w:tcW w:w="1313" w:type="dxa"/>
          </w:tcPr>
          <w:p w14:paraId="4B5A8E06">
            <w:pPr>
              <w:pStyle w:val="23"/>
              <w:widowControl w:val="0"/>
              <w:spacing w:line="240" w:lineRule="auto"/>
              <w:ind w:firstLine="0"/>
              <w:jc w:val="center"/>
              <w:rPr>
                <w:rFonts w:eastAsia="SimSun"/>
                <w:color w:val="auto"/>
                <w:sz w:val="18"/>
                <w:szCs w:val="18"/>
                <w:lang w:eastAsia="pl-PL"/>
              </w:rPr>
            </w:pPr>
            <w:r>
              <w:rPr>
                <w:rFonts w:eastAsia="SimSun"/>
                <w:color w:val="auto"/>
                <w:sz w:val="18"/>
                <w:szCs w:val="18"/>
                <w:lang w:eastAsia="pl-PL"/>
              </w:rPr>
              <w:t>2.594</w:t>
            </w:r>
          </w:p>
        </w:tc>
      </w:tr>
      <w:tr w14:paraId="52861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6FD7F6DB">
            <w:pPr>
              <w:pStyle w:val="23"/>
              <w:widowControl w:val="0"/>
              <w:spacing w:line="240" w:lineRule="auto"/>
              <w:ind w:firstLine="0"/>
              <w:jc w:val="center"/>
              <w:rPr>
                <w:color w:val="auto"/>
                <w:sz w:val="18"/>
                <w:szCs w:val="18"/>
                <w:lang w:eastAsia="pl-PL"/>
              </w:rPr>
            </w:pPr>
            <w:r>
              <w:rPr>
                <w:color w:val="auto"/>
                <w:sz w:val="18"/>
                <w:szCs w:val="18"/>
                <w:lang w:eastAsia="pl-PL"/>
              </w:rPr>
              <w:t>12</w:t>
            </w:r>
          </w:p>
        </w:tc>
        <w:tc>
          <w:tcPr>
            <w:tcW w:w="3879" w:type="dxa"/>
          </w:tcPr>
          <w:p w14:paraId="4B26341B">
            <w:pPr>
              <w:pStyle w:val="23"/>
              <w:widowControl w:val="0"/>
              <w:spacing w:line="240" w:lineRule="auto"/>
              <w:jc w:val="center"/>
              <w:rPr>
                <w:rFonts w:eastAsia="SimSun"/>
                <w:color w:val="auto"/>
                <w:sz w:val="18"/>
                <w:szCs w:val="18"/>
                <w:lang w:eastAsia="pl-PL"/>
              </w:rPr>
            </w:pPr>
            <w:r>
              <w:rPr>
                <w:rFonts w:eastAsia="SimSun"/>
                <w:color w:val="auto"/>
                <w:sz w:val="18"/>
                <w:szCs w:val="18"/>
                <w:lang w:eastAsia="pl-PL"/>
              </w:rPr>
              <w:t>Curricular.units.2nd.sem..evaluations.</w:t>
            </w:r>
          </w:p>
        </w:tc>
        <w:tc>
          <w:tcPr>
            <w:tcW w:w="1270" w:type="dxa"/>
          </w:tcPr>
          <w:p w14:paraId="13A9D617">
            <w:pPr>
              <w:pStyle w:val="23"/>
              <w:widowControl w:val="0"/>
              <w:spacing w:line="240" w:lineRule="auto"/>
              <w:ind w:firstLine="0"/>
              <w:jc w:val="center"/>
              <w:rPr>
                <w:color w:val="auto"/>
                <w:sz w:val="18"/>
                <w:szCs w:val="18"/>
                <w:lang w:eastAsia="pl-PL"/>
              </w:rPr>
            </w:pPr>
            <w:r>
              <w:rPr>
                <w:rFonts w:eastAsia="SimSun"/>
                <w:color w:val="auto"/>
                <w:sz w:val="18"/>
                <w:szCs w:val="18"/>
                <w:lang w:eastAsia="pl-PL"/>
              </w:rPr>
              <w:t>3.101</w:t>
            </w:r>
          </w:p>
        </w:tc>
        <w:tc>
          <w:tcPr>
            <w:tcW w:w="1313" w:type="dxa"/>
          </w:tcPr>
          <w:p w14:paraId="7586E181">
            <w:pPr>
              <w:pStyle w:val="23"/>
              <w:widowControl w:val="0"/>
              <w:spacing w:line="240" w:lineRule="auto"/>
              <w:ind w:firstLine="0"/>
              <w:jc w:val="center"/>
              <w:rPr>
                <w:rFonts w:eastAsia="SimSun"/>
                <w:color w:val="auto"/>
                <w:sz w:val="18"/>
                <w:szCs w:val="18"/>
                <w:lang w:eastAsia="pl-PL"/>
              </w:rPr>
            </w:pPr>
            <w:r>
              <w:rPr>
                <w:rFonts w:eastAsia="SimSun"/>
                <w:color w:val="auto"/>
                <w:sz w:val="18"/>
                <w:szCs w:val="18"/>
                <w:lang w:eastAsia="pl-PL"/>
              </w:rPr>
              <w:t>2.840</w:t>
            </w:r>
          </w:p>
        </w:tc>
      </w:tr>
      <w:tr w14:paraId="546FB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7D55DD93">
            <w:pPr>
              <w:pStyle w:val="23"/>
              <w:widowControl w:val="0"/>
              <w:spacing w:line="240" w:lineRule="auto"/>
              <w:ind w:firstLine="0"/>
              <w:jc w:val="center"/>
              <w:rPr>
                <w:color w:val="auto"/>
                <w:sz w:val="18"/>
                <w:szCs w:val="18"/>
                <w:lang w:eastAsia="pl-PL"/>
              </w:rPr>
            </w:pPr>
            <w:r>
              <w:rPr>
                <w:color w:val="auto"/>
                <w:sz w:val="18"/>
                <w:szCs w:val="18"/>
                <w:lang w:eastAsia="pl-PL"/>
              </w:rPr>
              <w:t>13</w:t>
            </w:r>
          </w:p>
        </w:tc>
        <w:tc>
          <w:tcPr>
            <w:tcW w:w="3879" w:type="dxa"/>
          </w:tcPr>
          <w:p w14:paraId="62224058">
            <w:pPr>
              <w:pStyle w:val="23"/>
              <w:widowControl w:val="0"/>
              <w:spacing w:line="240" w:lineRule="auto"/>
              <w:jc w:val="center"/>
              <w:rPr>
                <w:rFonts w:eastAsia="SimSun"/>
                <w:color w:val="auto"/>
                <w:sz w:val="18"/>
                <w:szCs w:val="18"/>
                <w:lang w:eastAsia="pl-PL"/>
              </w:rPr>
            </w:pPr>
            <w:r>
              <w:rPr>
                <w:rFonts w:eastAsia="SimSun"/>
                <w:color w:val="auto"/>
                <w:sz w:val="18"/>
                <w:szCs w:val="18"/>
                <w:lang w:eastAsia="pl-PL"/>
              </w:rPr>
              <w:t>Curricular.units.2nd.sem..approved.</w:t>
            </w:r>
          </w:p>
        </w:tc>
        <w:tc>
          <w:tcPr>
            <w:tcW w:w="1270" w:type="dxa"/>
          </w:tcPr>
          <w:p w14:paraId="570B5831">
            <w:pPr>
              <w:pStyle w:val="23"/>
              <w:widowControl w:val="0"/>
              <w:spacing w:line="240" w:lineRule="auto"/>
              <w:ind w:firstLine="0"/>
              <w:jc w:val="center"/>
              <w:rPr>
                <w:color w:val="auto"/>
                <w:sz w:val="18"/>
                <w:szCs w:val="18"/>
                <w:lang w:eastAsia="pl-PL"/>
              </w:rPr>
            </w:pPr>
            <w:r>
              <w:rPr>
                <w:rFonts w:eastAsia="SimSun"/>
                <w:color w:val="auto"/>
                <w:sz w:val="18"/>
                <w:szCs w:val="18"/>
                <w:lang w:eastAsia="pl-PL"/>
              </w:rPr>
              <w:t>9.703</w:t>
            </w:r>
          </w:p>
        </w:tc>
        <w:tc>
          <w:tcPr>
            <w:tcW w:w="1313" w:type="dxa"/>
          </w:tcPr>
          <w:p w14:paraId="6943430A">
            <w:pPr>
              <w:pStyle w:val="23"/>
              <w:widowControl w:val="0"/>
              <w:spacing w:line="240" w:lineRule="auto"/>
              <w:ind w:firstLine="0"/>
              <w:jc w:val="center"/>
              <w:rPr>
                <w:rFonts w:eastAsia="SimSun"/>
                <w:color w:val="auto"/>
                <w:sz w:val="18"/>
                <w:szCs w:val="18"/>
                <w:lang w:eastAsia="pl-PL"/>
              </w:rPr>
            </w:pPr>
            <w:r>
              <w:rPr>
                <w:rFonts w:eastAsia="SimSun"/>
                <w:color w:val="auto"/>
                <w:sz w:val="18"/>
                <w:szCs w:val="18"/>
                <w:lang w:eastAsia="pl-PL"/>
              </w:rPr>
              <w:t>excluded</w:t>
            </w:r>
          </w:p>
        </w:tc>
      </w:tr>
      <w:tr w14:paraId="53E5C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5DE88B93">
            <w:pPr>
              <w:pStyle w:val="23"/>
              <w:widowControl w:val="0"/>
              <w:spacing w:line="240" w:lineRule="auto"/>
              <w:ind w:firstLine="0"/>
              <w:jc w:val="center"/>
              <w:rPr>
                <w:color w:val="auto"/>
                <w:sz w:val="18"/>
                <w:szCs w:val="18"/>
                <w:lang w:eastAsia="pl-PL"/>
              </w:rPr>
            </w:pPr>
            <w:r>
              <w:rPr>
                <w:color w:val="auto"/>
                <w:sz w:val="18"/>
                <w:szCs w:val="18"/>
                <w:lang w:eastAsia="pl-PL"/>
              </w:rPr>
              <w:t>14</w:t>
            </w:r>
          </w:p>
        </w:tc>
        <w:tc>
          <w:tcPr>
            <w:tcW w:w="3879" w:type="dxa"/>
          </w:tcPr>
          <w:p w14:paraId="3D3F608B">
            <w:pPr>
              <w:pStyle w:val="23"/>
              <w:widowControl w:val="0"/>
              <w:spacing w:line="240" w:lineRule="auto"/>
              <w:jc w:val="center"/>
              <w:rPr>
                <w:rFonts w:eastAsia="SimSun"/>
                <w:color w:val="auto"/>
                <w:sz w:val="18"/>
                <w:szCs w:val="18"/>
                <w:lang w:eastAsia="pl-PL"/>
              </w:rPr>
            </w:pPr>
            <w:r>
              <w:rPr>
                <w:rFonts w:eastAsia="SimSun"/>
                <w:color w:val="auto"/>
                <w:sz w:val="18"/>
                <w:szCs w:val="18"/>
                <w:lang w:eastAsia="pl-PL"/>
              </w:rPr>
              <w:t>Curricular.units.2nd.sem..grade.</w:t>
            </w:r>
          </w:p>
        </w:tc>
        <w:tc>
          <w:tcPr>
            <w:tcW w:w="1270" w:type="dxa"/>
          </w:tcPr>
          <w:p w14:paraId="43677BAE">
            <w:pPr>
              <w:pStyle w:val="23"/>
              <w:widowControl w:val="0"/>
              <w:spacing w:line="240" w:lineRule="auto"/>
              <w:ind w:firstLine="0"/>
              <w:jc w:val="center"/>
              <w:rPr>
                <w:color w:val="auto"/>
                <w:sz w:val="18"/>
                <w:szCs w:val="18"/>
                <w:lang w:eastAsia="pl-PL"/>
              </w:rPr>
            </w:pPr>
            <w:r>
              <w:rPr>
                <w:rFonts w:eastAsia="SimSun"/>
                <w:color w:val="auto"/>
                <w:sz w:val="18"/>
                <w:szCs w:val="18"/>
                <w:lang w:eastAsia="pl-PL"/>
              </w:rPr>
              <w:t>5.349</w:t>
            </w:r>
          </w:p>
        </w:tc>
        <w:tc>
          <w:tcPr>
            <w:tcW w:w="1313" w:type="dxa"/>
          </w:tcPr>
          <w:p w14:paraId="74008B1D">
            <w:pPr>
              <w:pStyle w:val="23"/>
              <w:widowControl w:val="0"/>
              <w:spacing w:line="240" w:lineRule="auto"/>
              <w:ind w:firstLine="0"/>
              <w:jc w:val="center"/>
              <w:rPr>
                <w:rFonts w:eastAsia="SimSun"/>
                <w:color w:val="auto"/>
                <w:sz w:val="18"/>
                <w:szCs w:val="18"/>
                <w:lang w:eastAsia="pl-PL"/>
              </w:rPr>
            </w:pPr>
            <w:r>
              <w:rPr>
                <w:rFonts w:eastAsia="SimSun"/>
                <w:color w:val="auto"/>
                <w:sz w:val="18"/>
                <w:szCs w:val="18"/>
                <w:lang w:eastAsia="pl-PL"/>
              </w:rPr>
              <w:t>3.411</w:t>
            </w:r>
          </w:p>
        </w:tc>
      </w:tr>
      <w:tr w14:paraId="451C3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 w:hRule="atLeast"/>
        </w:trPr>
        <w:tc>
          <w:tcPr>
            <w:tcW w:w="672" w:type="dxa"/>
          </w:tcPr>
          <w:p w14:paraId="320E30CB">
            <w:pPr>
              <w:pStyle w:val="23"/>
              <w:widowControl w:val="0"/>
              <w:spacing w:line="240" w:lineRule="auto"/>
              <w:ind w:firstLine="0"/>
              <w:jc w:val="center"/>
              <w:rPr>
                <w:color w:val="auto"/>
                <w:sz w:val="18"/>
                <w:szCs w:val="18"/>
                <w:lang w:eastAsia="pl-PL"/>
              </w:rPr>
            </w:pPr>
            <w:r>
              <w:rPr>
                <w:color w:val="auto"/>
                <w:sz w:val="18"/>
                <w:szCs w:val="18"/>
                <w:lang w:eastAsia="pl-PL"/>
              </w:rPr>
              <w:t>15</w:t>
            </w:r>
          </w:p>
        </w:tc>
        <w:tc>
          <w:tcPr>
            <w:tcW w:w="3879" w:type="dxa"/>
          </w:tcPr>
          <w:p w14:paraId="6572A207">
            <w:pPr>
              <w:pStyle w:val="23"/>
              <w:widowControl w:val="0"/>
              <w:spacing w:line="240" w:lineRule="auto"/>
              <w:jc w:val="center"/>
              <w:rPr>
                <w:rFonts w:eastAsia="SimSun"/>
                <w:color w:val="auto"/>
                <w:sz w:val="18"/>
                <w:szCs w:val="18"/>
                <w:lang w:eastAsia="pl-PL"/>
              </w:rPr>
            </w:pPr>
            <w:r>
              <w:rPr>
                <w:rFonts w:eastAsia="SimSun"/>
                <w:color w:val="auto"/>
                <w:sz w:val="18"/>
                <w:szCs w:val="18"/>
                <w:lang w:eastAsia="pl-PL"/>
              </w:rPr>
              <w:t>Curricular.units.2nd.sem..without.evaluations.</w:t>
            </w:r>
          </w:p>
        </w:tc>
        <w:tc>
          <w:tcPr>
            <w:tcW w:w="1270" w:type="dxa"/>
          </w:tcPr>
          <w:p w14:paraId="79BECEEA">
            <w:pPr>
              <w:pStyle w:val="23"/>
              <w:widowControl w:val="0"/>
              <w:spacing w:line="240" w:lineRule="auto"/>
              <w:ind w:firstLine="0"/>
              <w:jc w:val="center"/>
              <w:rPr>
                <w:color w:val="auto"/>
                <w:sz w:val="18"/>
                <w:szCs w:val="18"/>
                <w:lang w:eastAsia="pl-PL"/>
              </w:rPr>
            </w:pPr>
            <w:r>
              <w:rPr>
                <w:rFonts w:eastAsia="SimSun"/>
                <w:color w:val="auto"/>
                <w:sz w:val="18"/>
                <w:szCs w:val="18"/>
                <w:lang w:eastAsia="pl-PL"/>
              </w:rPr>
              <w:t>1.649</w:t>
            </w:r>
          </w:p>
        </w:tc>
        <w:tc>
          <w:tcPr>
            <w:tcW w:w="1313" w:type="dxa"/>
          </w:tcPr>
          <w:p w14:paraId="2814E830">
            <w:pPr>
              <w:pStyle w:val="23"/>
              <w:widowControl w:val="0"/>
              <w:spacing w:line="240" w:lineRule="auto"/>
              <w:ind w:firstLine="0"/>
              <w:jc w:val="center"/>
              <w:rPr>
                <w:rFonts w:eastAsia="SimSun"/>
                <w:color w:val="auto"/>
                <w:sz w:val="18"/>
                <w:szCs w:val="18"/>
                <w:lang w:eastAsia="pl-PL"/>
              </w:rPr>
            </w:pPr>
            <w:r>
              <w:rPr>
                <w:rFonts w:eastAsia="SimSun"/>
                <w:color w:val="auto"/>
                <w:sz w:val="18"/>
                <w:szCs w:val="18"/>
                <w:lang w:eastAsia="pl-PL"/>
              </w:rPr>
              <w:t>1.637</w:t>
            </w:r>
          </w:p>
        </w:tc>
      </w:tr>
      <w:tr w14:paraId="78D53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65CE54D9">
            <w:pPr>
              <w:pStyle w:val="23"/>
              <w:widowControl w:val="0"/>
              <w:spacing w:line="240" w:lineRule="auto"/>
              <w:ind w:firstLine="0"/>
              <w:jc w:val="center"/>
              <w:rPr>
                <w:color w:val="auto"/>
                <w:sz w:val="18"/>
                <w:szCs w:val="18"/>
                <w:lang w:eastAsia="pl-PL"/>
              </w:rPr>
            </w:pPr>
            <w:r>
              <w:rPr>
                <w:color w:val="auto"/>
                <w:sz w:val="18"/>
                <w:szCs w:val="18"/>
                <w:lang w:eastAsia="pl-PL"/>
              </w:rPr>
              <w:t>16</w:t>
            </w:r>
          </w:p>
        </w:tc>
        <w:tc>
          <w:tcPr>
            <w:tcW w:w="3879" w:type="dxa"/>
          </w:tcPr>
          <w:p w14:paraId="379A024B">
            <w:pPr>
              <w:pStyle w:val="23"/>
              <w:widowControl w:val="0"/>
              <w:spacing w:line="240" w:lineRule="auto"/>
              <w:jc w:val="center"/>
              <w:rPr>
                <w:rFonts w:eastAsia="SimSun"/>
                <w:color w:val="auto"/>
                <w:sz w:val="18"/>
                <w:szCs w:val="18"/>
                <w:lang w:eastAsia="pl-PL"/>
              </w:rPr>
            </w:pPr>
            <w:r>
              <w:rPr>
                <w:rFonts w:eastAsia="SimSun"/>
                <w:color w:val="auto"/>
                <w:sz w:val="18"/>
                <w:szCs w:val="18"/>
                <w:lang w:eastAsia="pl-PL"/>
              </w:rPr>
              <w:t>Unemployment.rate</w:t>
            </w:r>
          </w:p>
        </w:tc>
        <w:tc>
          <w:tcPr>
            <w:tcW w:w="1270" w:type="dxa"/>
          </w:tcPr>
          <w:p w14:paraId="2A56BB95">
            <w:pPr>
              <w:pStyle w:val="23"/>
              <w:widowControl w:val="0"/>
              <w:spacing w:line="240" w:lineRule="auto"/>
              <w:ind w:firstLine="0"/>
              <w:jc w:val="center"/>
              <w:rPr>
                <w:color w:val="auto"/>
                <w:sz w:val="18"/>
                <w:szCs w:val="18"/>
                <w:lang w:eastAsia="pl-PL"/>
              </w:rPr>
            </w:pPr>
            <w:r>
              <w:rPr>
                <w:rFonts w:eastAsia="SimSun"/>
                <w:color w:val="auto"/>
                <w:sz w:val="18"/>
                <w:szCs w:val="18"/>
                <w:lang w:eastAsia="pl-PL"/>
              </w:rPr>
              <w:t>1.190</w:t>
            </w:r>
          </w:p>
        </w:tc>
        <w:tc>
          <w:tcPr>
            <w:tcW w:w="1313" w:type="dxa"/>
          </w:tcPr>
          <w:p w14:paraId="5C670FC7">
            <w:pPr>
              <w:pStyle w:val="23"/>
              <w:widowControl w:val="0"/>
              <w:spacing w:line="240" w:lineRule="auto"/>
              <w:ind w:firstLine="0"/>
              <w:jc w:val="center"/>
              <w:rPr>
                <w:rFonts w:eastAsia="SimSun"/>
                <w:color w:val="auto"/>
                <w:sz w:val="18"/>
                <w:szCs w:val="18"/>
                <w:lang w:eastAsia="pl-PL"/>
              </w:rPr>
            </w:pPr>
            <w:r>
              <w:rPr>
                <w:rFonts w:eastAsia="SimSun"/>
                <w:color w:val="auto"/>
                <w:sz w:val="18"/>
                <w:szCs w:val="18"/>
                <w:lang w:eastAsia="pl-PL"/>
              </w:rPr>
              <w:t>1.167</w:t>
            </w:r>
          </w:p>
        </w:tc>
      </w:tr>
      <w:tr w14:paraId="0B4E9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27CC96D6">
            <w:pPr>
              <w:pStyle w:val="23"/>
              <w:widowControl w:val="0"/>
              <w:spacing w:line="240" w:lineRule="auto"/>
              <w:ind w:firstLine="0"/>
              <w:jc w:val="center"/>
              <w:rPr>
                <w:color w:val="auto"/>
                <w:sz w:val="18"/>
                <w:szCs w:val="18"/>
                <w:lang w:eastAsia="pl-PL"/>
              </w:rPr>
            </w:pPr>
            <w:r>
              <w:rPr>
                <w:color w:val="auto"/>
                <w:sz w:val="18"/>
                <w:szCs w:val="18"/>
                <w:lang w:eastAsia="pl-PL"/>
              </w:rPr>
              <w:t>17</w:t>
            </w:r>
          </w:p>
        </w:tc>
        <w:tc>
          <w:tcPr>
            <w:tcW w:w="3879" w:type="dxa"/>
          </w:tcPr>
          <w:p w14:paraId="6EC368D4">
            <w:pPr>
              <w:pStyle w:val="23"/>
              <w:widowControl w:val="0"/>
              <w:spacing w:line="240" w:lineRule="auto"/>
              <w:jc w:val="center"/>
              <w:rPr>
                <w:rFonts w:eastAsia="SimSun"/>
                <w:color w:val="auto"/>
                <w:sz w:val="18"/>
                <w:szCs w:val="18"/>
                <w:lang w:eastAsia="pl-PL"/>
              </w:rPr>
            </w:pPr>
            <w:r>
              <w:rPr>
                <w:rFonts w:eastAsia="SimSun"/>
                <w:color w:val="auto"/>
                <w:sz w:val="18"/>
                <w:szCs w:val="18"/>
                <w:lang w:eastAsia="pl-PL"/>
              </w:rPr>
              <w:t>Inflation.rate</w:t>
            </w:r>
          </w:p>
        </w:tc>
        <w:tc>
          <w:tcPr>
            <w:tcW w:w="1270" w:type="dxa"/>
          </w:tcPr>
          <w:p w14:paraId="59998C18">
            <w:pPr>
              <w:pStyle w:val="23"/>
              <w:widowControl w:val="0"/>
              <w:spacing w:line="240" w:lineRule="auto"/>
              <w:ind w:firstLine="0"/>
              <w:jc w:val="center"/>
              <w:rPr>
                <w:color w:val="auto"/>
                <w:sz w:val="18"/>
                <w:szCs w:val="18"/>
                <w:lang w:eastAsia="pl-PL"/>
              </w:rPr>
            </w:pPr>
            <w:r>
              <w:rPr>
                <w:rFonts w:eastAsia="SimSun"/>
                <w:color w:val="auto"/>
                <w:sz w:val="18"/>
                <w:szCs w:val="18"/>
                <w:lang w:eastAsia="pl-PL"/>
              </w:rPr>
              <w:t>1.037</w:t>
            </w:r>
          </w:p>
        </w:tc>
        <w:tc>
          <w:tcPr>
            <w:tcW w:w="1313" w:type="dxa"/>
          </w:tcPr>
          <w:p w14:paraId="72A050F4">
            <w:pPr>
              <w:pStyle w:val="23"/>
              <w:widowControl w:val="0"/>
              <w:spacing w:line="240" w:lineRule="auto"/>
              <w:ind w:firstLine="0"/>
              <w:jc w:val="center"/>
              <w:rPr>
                <w:rFonts w:eastAsia="SimSun"/>
                <w:color w:val="auto"/>
                <w:sz w:val="18"/>
                <w:szCs w:val="18"/>
                <w:lang w:eastAsia="pl-PL"/>
              </w:rPr>
            </w:pPr>
            <w:r>
              <w:rPr>
                <w:rFonts w:eastAsia="SimSun"/>
                <w:color w:val="auto"/>
                <w:sz w:val="18"/>
                <w:szCs w:val="18"/>
                <w:lang w:eastAsia="pl-PL"/>
              </w:rPr>
              <w:t>1.031</w:t>
            </w:r>
          </w:p>
        </w:tc>
      </w:tr>
      <w:tr w14:paraId="51739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72" w:type="dxa"/>
          </w:tcPr>
          <w:p w14:paraId="60300ACD">
            <w:pPr>
              <w:pStyle w:val="23"/>
              <w:widowControl w:val="0"/>
              <w:spacing w:line="240" w:lineRule="auto"/>
              <w:ind w:firstLine="0"/>
              <w:jc w:val="center"/>
              <w:rPr>
                <w:color w:val="auto"/>
                <w:sz w:val="18"/>
                <w:szCs w:val="18"/>
                <w:lang w:eastAsia="pl-PL"/>
              </w:rPr>
            </w:pPr>
            <w:r>
              <w:rPr>
                <w:color w:val="auto"/>
                <w:sz w:val="18"/>
                <w:szCs w:val="18"/>
                <w:lang w:eastAsia="pl-PL"/>
              </w:rPr>
              <w:t>18</w:t>
            </w:r>
          </w:p>
        </w:tc>
        <w:tc>
          <w:tcPr>
            <w:tcW w:w="3879" w:type="dxa"/>
          </w:tcPr>
          <w:p w14:paraId="2E1B42A0">
            <w:pPr>
              <w:pStyle w:val="23"/>
              <w:widowControl w:val="0"/>
              <w:spacing w:line="240" w:lineRule="auto"/>
              <w:jc w:val="center"/>
              <w:rPr>
                <w:rFonts w:eastAsia="SimSun"/>
                <w:color w:val="auto"/>
                <w:sz w:val="18"/>
                <w:szCs w:val="18"/>
                <w:lang w:eastAsia="pl-PL"/>
              </w:rPr>
            </w:pPr>
            <w:r>
              <w:rPr>
                <w:rFonts w:eastAsia="SimSun"/>
                <w:color w:val="auto"/>
                <w:sz w:val="18"/>
                <w:szCs w:val="18"/>
                <w:lang w:eastAsia="pl-PL"/>
              </w:rPr>
              <w:t>GDP</w:t>
            </w:r>
          </w:p>
        </w:tc>
        <w:tc>
          <w:tcPr>
            <w:tcW w:w="1270" w:type="dxa"/>
          </w:tcPr>
          <w:p w14:paraId="66D7BA08">
            <w:pPr>
              <w:pStyle w:val="23"/>
              <w:widowControl w:val="0"/>
              <w:spacing w:line="240" w:lineRule="auto"/>
              <w:ind w:firstLine="0"/>
              <w:jc w:val="center"/>
              <w:rPr>
                <w:color w:val="auto"/>
                <w:sz w:val="18"/>
                <w:szCs w:val="18"/>
                <w:lang w:eastAsia="pl-PL"/>
              </w:rPr>
            </w:pPr>
            <w:r>
              <w:rPr>
                <w:rFonts w:eastAsia="SimSun"/>
                <w:color w:val="auto"/>
                <w:sz w:val="18"/>
                <w:szCs w:val="18"/>
                <w:lang w:eastAsia="pl-PL"/>
              </w:rPr>
              <w:t>1.221</w:t>
            </w:r>
          </w:p>
        </w:tc>
        <w:tc>
          <w:tcPr>
            <w:tcW w:w="1313" w:type="dxa"/>
          </w:tcPr>
          <w:p w14:paraId="7D08B0CD">
            <w:pPr>
              <w:pStyle w:val="23"/>
              <w:widowControl w:val="0"/>
              <w:spacing w:line="240" w:lineRule="auto"/>
              <w:ind w:firstLine="0"/>
              <w:jc w:val="center"/>
              <w:rPr>
                <w:rFonts w:eastAsia="SimSun"/>
                <w:color w:val="auto"/>
                <w:sz w:val="18"/>
                <w:szCs w:val="18"/>
                <w:lang w:eastAsia="pl-PL"/>
              </w:rPr>
            </w:pPr>
            <w:r>
              <w:rPr>
                <w:rFonts w:eastAsia="SimSun"/>
                <w:color w:val="auto"/>
                <w:sz w:val="18"/>
                <w:szCs w:val="18"/>
                <w:lang w:eastAsia="pl-PL"/>
              </w:rPr>
              <w:t>1.218</w:t>
            </w:r>
          </w:p>
        </w:tc>
      </w:tr>
    </w:tbl>
    <w:p w14:paraId="5A4FE526">
      <w:pPr>
        <w:pStyle w:val="23"/>
        <w:spacing w:before="0" w:beforeAutospacing="0" w:after="0" w:afterAutospacing="0" w:line="240" w:lineRule="auto"/>
        <w:ind w:firstLine="400" w:firstLineChars="200"/>
        <w:rPr>
          <w:color w:val="auto"/>
          <w:szCs w:val="24"/>
          <w:lang w:eastAsia="zh-CN"/>
        </w:rPr>
      </w:pPr>
    </w:p>
    <w:p w14:paraId="336B0C84">
      <w:pPr>
        <w:pStyle w:val="23"/>
        <w:spacing w:before="0" w:beforeAutospacing="0" w:after="0" w:afterAutospacing="0" w:line="240" w:lineRule="auto"/>
        <w:ind w:firstLine="400" w:firstLineChars="200"/>
        <w:rPr>
          <w:color w:val="auto"/>
          <w:szCs w:val="24"/>
          <w:lang w:eastAsia="zh-CN"/>
        </w:rPr>
      </w:pPr>
      <w:r>
        <w:rPr>
          <w:color w:val="auto"/>
          <w:szCs w:val="24"/>
          <w:lang w:eastAsia="zh-CN"/>
        </w:rPr>
        <w:t>Table 5 checks for multicollinearity before estimating the multinomial logit model by using VIF values and VIF scores after excluding collinear variables. The majority of the variables, such as previous qualification grade, admission grade, age, and macro indicators, have low VIF values (around 1 to 1.6). This means they are not strongly related to each other and provide mostly independent information. In comparison, some semester-related variables have high VIF values, especially first semester enrolled (23.04) and first semester credited (15.90). Many of them are above 5-10 along with other semester variables. This suggests stronger multicollinearity among these variables. This means these academic variables are closely related because they measure similar aspects of student performance. As a result, this can make the regression results unstable. So, we understand this as a sign that we should either remove some of the highly related semester variables or combine them, to make sure the econometric results are stable and easy to interpret. It shows the new VIF values after removing four highly related semester variables. The results indicate that the multicollinearity problem has been greatly reduced The remaining variables now have low or moderate VIF values.</w:t>
      </w:r>
    </w:p>
    <w:p w14:paraId="034E7C7D">
      <w:pPr>
        <w:pStyle w:val="74"/>
        <w:spacing w:line="240" w:lineRule="auto"/>
        <w:rPr>
          <w:color w:val="auto"/>
          <w:kern w:val="1"/>
          <w:szCs w:val="18"/>
        </w:rPr>
      </w:pPr>
      <w:r>
        <w:rPr>
          <w:b/>
          <w:color w:val="auto"/>
          <w:szCs w:val="18"/>
        </w:rPr>
        <w:t>Table 6.</w:t>
      </w:r>
      <w:r>
        <w:rPr>
          <w:color w:val="auto"/>
          <w:szCs w:val="18"/>
        </w:rPr>
        <w:t xml:space="preserve"> Variable Information </w:t>
      </w:r>
    </w:p>
    <w:tbl>
      <w:tblPr>
        <w:tblStyle w:val="27"/>
        <w:tblW w:w="71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70"/>
        <w:gridCol w:w="977"/>
        <w:gridCol w:w="1093"/>
        <w:gridCol w:w="2444"/>
      </w:tblGrid>
      <w:tr w14:paraId="4AAE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750A757D">
            <w:pPr>
              <w:pStyle w:val="23"/>
              <w:widowControl w:val="0"/>
              <w:spacing w:line="240" w:lineRule="auto"/>
              <w:jc w:val="center"/>
              <w:rPr>
                <w:b/>
                <w:bCs/>
                <w:color w:val="auto"/>
                <w:sz w:val="18"/>
                <w:szCs w:val="18"/>
                <w:lang w:eastAsia="pl-PL"/>
              </w:rPr>
            </w:pPr>
            <w:r>
              <w:rPr>
                <w:b/>
                <w:bCs/>
                <w:color w:val="auto"/>
                <w:sz w:val="18"/>
                <w:szCs w:val="18"/>
                <w:lang w:eastAsia="pl-PL"/>
              </w:rPr>
              <w:t>Variable</w:t>
            </w:r>
          </w:p>
        </w:tc>
        <w:tc>
          <w:tcPr>
            <w:tcW w:w="977" w:type="dxa"/>
          </w:tcPr>
          <w:p w14:paraId="2D4A3174">
            <w:pPr>
              <w:pStyle w:val="23"/>
              <w:widowControl w:val="0"/>
              <w:spacing w:line="240" w:lineRule="auto"/>
              <w:ind w:firstLine="0"/>
              <w:jc w:val="center"/>
              <w:rPr>
                <w:b/>
                <w:bCs/>
                <w:color w:val="auto"/>
                <w:sz w:val="18"/>
                <w:szCs w:val="18"/>
                <w:lang w:eastAsia="pl-PL"/>
              </w:rPr>
            </w:pPr>
            <w:r>
              <w:rPr>
                <w:b/>
                <w:bCs/>
                <w:color w:val="auto"/>
                <w:sz w:val="18"/>
                <w:szCs w:val="18"/>
                <w:lang w:eastAsia="pl-PL"/>
              </w:rPr>
              <w:t>Type</w:t>
            </w:r>
          </w:p>
        </w:tc>
        <w:tc>
          <w:tcPr>
            <w:tcW w:w="1093" w:type="dxa"/>
          </w:tcPr>
          <w:p w14:paraId="1257EF0F">
            <w:pPr>
              <w:pStyle w:val="23"/>
              <w:widowControl w:val="0"/>
              <w:spacing w:line="240" w:lineRule="auto"/>
              <w:ind w:firstLine="0"/>
              <w:jc w:val="center"/>
              <w:rPr>
                <w:b/>
                <w:bCs/>
                <w:color w:val="auto"/>
                <w:sz w:val="18"/>
                <w:szCs w:val="18"/>
                <w:lang w:eastAsia="pl-PL"/>
              </w:rPr>
            </w:pPr>
            <w:r>
              <w:rPr>
                <w:b/>
                <w:bCs/>
                <w:color w:val="auto"/>
                <w:sz w:val="18"/>
                <w:szCs w:val="18"/>
                <w:lang w:eastAsia="pl-PL"/>
              </w:rPr>
              <w:t>Used In</w:t>
            </w:r>
          </w:p>
        </w:tc>
        <w:tc>
          <w:tcPr>
            <w:tcW w:w="2444" w:type="dxa"/>
          </w:tcPr>
          <w:p w14:paraId="527AC39A">
            <w:pPr>
              <w:pStyle w:val="23"/>
              <w:widowControl w:val="0"/>
              <w:spacing w:line="240" w:lineRule="auto"/>
              <w:jc w:val="center"/>
              <w:rPr>
                <w:b/>
                <w:bCs/>
                <w:color w:val="auto"/>
                <w:sz w:val="18"/>
                <w:szCs w:val="18"/>
                <w:lang w:eastAsia="pl-PL"/>
              </w:rPr>
            </w:pPr>
            <w:r>
              <w:rPr>
                <w:b/>
                <w:bCs/>
                <w:color w:val="auto"/>
                <w:sz w:val="18"/>
                <w:szCs w:val="18"/>
                <w:lang w:eastAsia="pl-PL"/>
              </w:rPr>
              <w:t>Notes</w:t>
            </w:r>
          </w:p>
        </w:tc>
      </w:tr>
      <w:tr w14:paraId="433E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2EA61A59">
            <w:pPr>
              <w:pStyle w:val="23"/>
              <w:widowControl w:val="0"/>
              <w:spacing w:line="240" w:lineRule="auto"/>
              <w:jc w:val="center"/>
              <w:rPr>
                <w:color w:val="auto"/>
                <w:sz w:val="18"/>
                <w:szCs w:val="18"/>
                <w:lang w:eastAsia="pl-PL"/>
              </w:rPr>
            </w:pPr>
            <w:r>
              <w:rPr>
                <w:color w:val="auto"/>
                <w:sz w:val="18"/>
                <w:szCs w:val="18"/>
                <w:lang w:eastAsia="zh-CN"/>
              </w:rPr>
              <w:t>Student status (dropout/continued/graduation)</w:t>
            </w:r>
          </w:p>
        </w:tc>
        <w:tc>
          <w:tcPr>
            <w:tcW w:w="977" w:type="dxa"/>
            <w:shd w:val="clear" w:color="auto" w:fill="FFFFFF"/>
            <w:vAlign w:val="center"/>
          </w:tcPr>
          <w:p w14:paraId="354D8AF2">
            <w:pPr>
              <w:pStyle w:val="23"/>
              <w:widowControl w:val="0"/>
              <w:spacing w:line="240" w:lineRule="auto"/>
              <w:ind w:firstLine="0"/>
              <w:jc w:val="center"/>
              <w:rPr>
                <w:color w:val="auto"/>
                <w:sz w:val="18"/>
                <w:szCs w:val="18"/>
                <w:lang w:eastAsia="pl-PL"/>
              </w:rPr>
            </w:pPr>
            <w:r>
              <w:rPr>
                <w:color w:val="auto"/>
                <w:sz w:val="18"/>
                <w:szCs w:val="18"/>
                <w:lang w:eastAsia="zh-CN"/>
              </w:rPr>
              <w:t>Target</w:t>
            </w:r>
          </w:p>
        </w:tc>
        <w:tc>
          <w:tcPr>
            <w:tcW w:w="1093" w:type="dxa"/>
            <w:shd w:val="clear" w:color="auto" w:fill="FFFFFF"/>
            <w:vAlign w:val="center"/>
          </w:tcPr>
          <w:p w14:paraId="7AD82BBE">
            <w:pPr>
              <w:pStyle w:val="23"/>
              <w:widowControl w:val="0"/>
              <w:spacing w:line="240" w:lineRule="auto"/>
              <w:ind w:firstLine="0"/>
              <w:jc w:val="center"/>
              <w:rPr>
                <w:color w:val="auto"/>
                <w:sz w:val="18"/>
                <w:szCs w:val="18"/>
                <w:lang w:eastAsia="pl-PL"/>
              </w:rPr>
            </w:pPr>
            <w:r>
              <w:rPr>
                <w:color w:val="auto"/>
                <w:sz w:val="18"/>
                <w:szCs w:val="18"/>
                <w:lang w:eastAsia="zh-CN"/>
              </w:rPr>
              <w:t>Both</w:t>
            </w:r>
          </w:p>
        </w:tc>
        <w:tc>
          <w:tcPr>
            <w:tcW w:w="2444" w:type="dxa"/>
            <w:shd w:val="clear" w:color="auto" w:fill="FFFFFF"/>
            <w:vAlign w:val="center"/>
          </w:tcPr>
          <w:p w14:paraId="52132350">
            <w:pPr>
              <w:pStyle w:val="23"/>
              <w:widowControl w:val="0"/>
              <w:spacing w:line="240" w:lineRule="auto"/>
              <w:jc w:val="center"/>
              <w:rPr>
                <w:color w:val="auto"/>
                <w:sz w:val="18"/>
                <w:szCs w:val="18"/>
                <w:lang w:eastAsia="pl-PL"/>
              </w:rPr>
            </w:pPr>
            <w:r>
              <w:rPr>
                <w:color w:val="auto"/>
                <w:sz w:val="18"/>
                <w:szCs w:val="18"/>
                <w:lang w:eastAsia="zh-CN"/>
              </w:rPr>
              <w:t>Outcome variable</w:t>
            </w:r>
          </w:p>
        </w:tc>
      </w:tr>
      <w:tr w14:paraId="71E6D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55B37C1A">
            <w:pPr>
              <w:pStyle w:val="23"/>
              <w:widowControl w:val="0"/>
              <w:spacing w:line="240" w:lineRule="auto"/>
              <w:jc w:val="center"/>
              <w:rPr>
                <w:color w:val="auto"/>
                <w:sz w:val="18"/>
                <w:szCs w:val="18"/>
                <w:lang w:eastAsia="zh-CN"/>
              </w:rPr>
            </w:pPr>
            <w:r>
              <w:rPr>
                <w:color w:val="auto"/>
                <w:sz w:val="18"/>
                <w:szCs w:val="18"/>
                <w:lang w:eastAsia="zh-CN"/>
              </w:rPr>
              <w:t>Admission grade</w:t>
            </w:r>
          </w:p>
        </w:tc>
        <w:tc>
          <w:tcPr>
            <w:tcW w:w="977" w:type="dxa"/>
            <w:shd w:val="clear" w:color="auto" w:fill="FFFFFF"/>
            <w:vAlign w:val="center"/>
          </w:tcPr>
          <w:p w14:paraId="61ACCCA2">
            <w:pPr>
              <w:pStyle w:val="23"/>
              <w:widowControl w:val="0"/>
              <w:spacing w:line="240" w:lineRule="auto"/>
              <w:ind w:firstLine="0"/>
              <w:jc w:val="center"/>
              <w:rPr>
                <w:color w:val="auto"/>
                <w:sz w:val="18"/>
                <w:szCs w:val="18"/>
                <w:lang w:eastAsia="pl-PL"/>
              </w:rPr>
            </w:pPr>
            <w:r>
              <w:rPr>
                <w:color w:val="auto"/>
                <w:sz w:val="18"/>
                <w:szCs w:val="18"/>
                <w:lang w:eastAsia="zh-CN"/>
              </w:rPr>
              <w:t>Predictor</w:t>
            </w:r>
          </w:p>
        </w:tc>
        <w:tc>
          <w:tcPr>
            <w:tcW w:w="1093" w:type="dxa"/>
            <w:shd w:val="clear" w:color="auto" w:fill="FFFFFF"/>
            <w:vAlign w:val="center"/>
          </w:tcPr>
          <w:p w14:paraId="3D333EDD">
            <w:pPr>
              <w:pStyle w:val="23"/>
              <w:widowControl w:val="0"/>
              <w:spacing w:line="240" w:lineRule="auto"/>
              <w:ind w:firstLine="0"/>
              <w:jc w:val="center"/>
              <w:rPr>
                <w:color w:val="auto"/>
                <w:sz w:val="18"/>
                <w:szCs w:val="18"/>
                <w:lang w:eastAsia="pl-PL"/>
              </w:rPr>
            </w:pPr>
            <w:r>
              <w:rPr>
                <w:color w:val="auto"/>
                <w:sz w:val="18"/>
                <w:szCs w:val="18"/>
                <w:lang w:eastAsia="zh-CN"/>
              </w:rPr>
              <w:t>Both</w:t>
            </w:r>
          </w:p>
        </w:tc>
        <w:tc>
          <w:tcPr>
            <w:tcW w:w="2444" w:type="dxa"/>
            <w:shd w:val="clear" w:color="auto" w:fill="FFFFFF"/>
            <w:vAlign w:val="center"/>
          </w:tcPr>
          <w:p w14:paraId="71FF8038">
            <w:pPr>
              <w:pStyle w:val="23"/>
              <w:widowControl w:val="0"/>
              <w:spacing w:line="240" w:lineRule="auto"/>
              <w:jc w:val="center"/>
              <w:rPr>
                <w:color w:val="auto"/>
                <w:sz w:val="18"/>
                <w:szCs w:val="18"/>
                <w:lang w:eastAsia="pl-PL"/>
              </w:rPr>
            </w:pPr>
            <w:r>
              <w:rPr>
                <w:color w:val="auto"/>
                <w:sz w:val="18"/>
                <w:szCs w:val="18"/>
                <w:lang w:eastAsia="zh-CN"/>
              </w:rPr>
              <w:t>0–200 scale</w:t>
            </w:r>
          </w:p>
        </w:tc>
      </w:tr>
      <w:tr w14:paraId="71B9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411FC916">
            <w:pPr>
              <w:pStyle w:val="23"/>
              <w:widowControl w:val="0"/>
              <w:spacing w:line="240" w:lineRule="auto"/>
              <w:jc w:val="center"/>
              <w:rPr>
                <w:color w:val="auto"/>
                <w:sz w:val="18"/>
                <w:szCs w:val="18"/>
                <w:lang w:eastAsia="zh-CN"/>
              </w:rPr>
            </w:pPr>
            <w:r>
              <w:rPr>
                <w:color w:val="auto"/>
                <w:sz w:val="18"/>
                <w:szCs w:val="18"/>
                <w:lang w:eastAsia="zh-CN"/>
              </w:rPr>
              <w:t>First-semester approved units</w:t>
            </w:r>
          </w:p>
        </w:tc>
        <w:tc>
          <w:tcPr>
            <w:tcW w:w="977" w:type="dxa"/>
            <w:shd w:val="clear" w:color="auto" w:fill="FFFFFF"/>
            <w:vAlign w:val="center"/>
          </w:tcPr>
          <w:p w14:paraId="7B7237B7">
            <w:pPr>
              <w:pStyle w:val="23"/>
              <w:widowControl w:val="0"/>
              <w:spacing w:line="240" w:lineRule="auto"/>
              <w:ind w:firstLine="0"/>
              <w:jc w:val="center"/>
              <w:rPr>
                <w:color w:val="auto"/>
                <w:sz w:val="18"/>
                <w:szCs w:val="18"/>
                <w:lang w:eastAsia="pl-PL"/>
              </w:rPr>
            </w:pPr>
            <w:r>
              <w:rPr>
                <w:color w:val="auto"/>
                <w:sz w:val="18"/>
                <w:szCs w:val="18"/>
                <w:lang w:eastAsia="zh-CN"/>
              </w:rPr>
              <w:t>Predictor</w:t>
            </w:r>
          </w:p>
        </w:tc>
        <w:tc>
          <w:tcPr>
            <w:tcW w:w="1093" w:type="dxa"/>
            <w:shd w:val="clear" w:color="auto" w:fill="FFFFFF"/>
            <w:vAlign w:val="center"/>
          </w:tcPr>
          <w:p w14:paraId="67D068CE">
            <w:pPr>
              <w:pStyle w:val="23"/>
              <w:widowControl w:val="0"/>
              <w:spacing w:line="240" w:lineRule="auto"/>
              <w:ind w:firstLine="0"/>
              <w:jc w:val="center"/>
              <w:rPr>
                <w:color w:val="auto"/>
                <w:sz w:val="18"/>
                <w:szCs w:val="18"/>
                <w:lang w:eastAsia="pl-PL"/>
              </w:rPr>
            </w:pPr>
            <w:r>
              <w:rPr>
                <w:color w:val="auto"/>
                <w:sz w:val="18"/>
                <w:szCs w:val="18"/>
                <w:lang w:eastAsia="zh-CN"/>
              </w:rPr>
              <w:t>Both</w:t>
            </w:r>
          </w:p>
        </w:tc>
        <w:tc>
          <w:tcPr>
            <w:tcW w:w="2444" w:type="dxa"/>
            <w:shd w:val="clear" w:color="auto" w:fill="FFFFFF"/>
            <w:vAlign w:val="center"/>
          </w:tcPr>
          <w:p w14:paraId="41519475">
            <w:pPr>
              <w:pStyle w:val="23"/>
              <w:widowControl w:val="0"/>
              <w:spacing w:line="240" w:lineRule="auto"/>
              <w:jc w:val="center"/>
              <w:rPr>
                <w:color w:val="auto"/>
                <w:sz w:val="18"/>
                <w:szCs w:val="18"/>
                <w:lang w:eastAsia="pl-PL"/>
              </w:rPr>
            </w:pPr>
            <w:r>
              <w:rPr>
                <w:color w:val="auto"/>
                <w:sz w:val="18"/>
                <w:szCs w:val="18"/>
                <w:lang w:eastAsia="zh-CN"/>
              </w:rPr>
              <w:t>Core early-performance metric</w:t>
            </w:r>
          </w:p>
        </w:tc>
      </w:tr>
      <w:tr w14:paraId="6BE8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FFFFFF"/>
            <w:vAlign w:val="center"/>
          </w:tcPr>
          <w:p w14:paraId="658280D7">
            <w:pPr>
              <w:pStyle w:val="23"/>
              <w:widowControl w:val="0"/>
              <w:spacing w:line="240" w:lineRule="auto"/>
              <w:jc w:val="center"/>
              <w:rPr>
                <w:color w:val="auto"/>
                <w:sz w:val="18"/>
                <w:szCs w:val="18"/>
                <w:lang w:eastAsia="zh-CN"/>
              </w:rPr>
            </w:pPr>
            <w:r>
              <w:rPr>
                <w:color w:val="auto"/>
                <w:sz w:val="18"/>
                <w:szCs w:val="18"/>
                <w:lang w:eastAsia="zh-CN"/>
              </w:rPr>
              <w:t>First-semester grade average</w:t>
            </w:r>
          </w:p>
        </w:tc>
        <w:tc>
          <w:tcPr>
            <w:tcW w:w="977" w:type="dxa"/>
            <w:shd w:val="clear" w:color="auto" w:fill="FFFFFF"/>
            <w:vAlign w:val="center"/>
          </w:tcPr>
          <w:p w14:paraId="5A959C95">
            <w:pPr>
              <w:pStyle w:val="23"/>
              <w:widowControl w:val="0"/>
              <w:spacing w:line="240" w:lineRule="auto"/>
              <w:ind w:firstLine="0"/>
              <w:jc w:val="center"/>
              <w:rPr>
                <w:color w:val="auto"/>
                <w:sz w:val="18"/>
                <w:szCs w:val="18"/>
                <w:lang w:eastAsia="pl-PL"/>
              </w:rPr>
            </w:pPr>
            <w:r>
              <w:rPr>
                <w:color w:val="auto"/>
                <w:sz w:val="18"/>
                <w:szCs w:val="18"/>
                <w:lang w:eastAsia="zh-CN"/>
              </w:rPr>
              <w:t>Predictor</w:t>
            </w:r>
          </w:p>
        </w:tc>
        <w:tc>
          <w:tcPr>
            <w:tcW w:w="1093" w:type="dxa"/>
            <w:shd w:val="clear" w:color="auto" w:fill="FFFFFF"/>
            <w:vAlign w:val="center"/>
          </w:tcPr>
          <w:p w14:paraId="38A4F039">
            <w:pPr>
              <w:pStyle w:val="23"/>
              <w:widowControl w:val="0"/>
              <w:spacing w:line="240" w:lineRule="auto"/>
              <w:ind w:firstLine="0"/>
              <w:jc w:val="center"/>
              <w:rPr>
                <w:color w:val="auto"/>
                <w:sz w:val="18"/>
                <w:szCs w:val="18"/>
                <w:lang w:eastAsia="pl-PL"/>
              </w:rPr>
            </w:pPr>
            <w:r>
              <w:rPr>
                <w:color w:val="auto"/>
                <w:sz w:val="18"/>
                <w:szCs w:val="18"/>
                <w:lang w:eastAsia="zh-CN"/>
              </w:rPr>
              <w:t>Both</w:t>
            </w:r>
          </w:p>
        </w:tc>
        <w:tc>
          <w:tcPr>
            <w:tcW w:w="2444" w:type="dxa"/>
            <w:shd w:val="clear" w:color="auto" w:fill="FFFFFF"/>
            <w:vAlign w:val="center"/>
          </w:tcPr>
          <w:p w14:paraId="2AA08A5C">
            <w:pPr>
              <w:pStyle w:val="23"/>
              <w:widowControl w:val="0"/>
              <w:spacing w:line="240" w:lineRule="auto"/>
              <w:jc w:val="center"/>
              <w:rPr>
                <w:color w:val="auto"/>
                <w:sz w:val="18"/>
                <w:szCs w:val="18"/>
                <w:lang w:eastAsia="pl-PL"/>
              </w:rPr>
            </w:pPr>
            <w:r>
              <w:rPr>
                <w:color w:val="auto"/>
                <w:sz w:val="18"/>
                <w:szCs w:val="18"/>
                <w:lang w:eastAsia="zh-CN"/>
              </w:rPr>
              <w:t>Early performance indicator</w:t>
            </w:r>
          </w:p>
        </w:tc>
      </w:tr>
      <w:tr w14:paraId="2B358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FFFFFF"/>
            <w:vAlign w:val="center"/>
          </w:tcPr>
          <w:p w14:paraId="56A049AA">
            <w:pPr>
              <w:pStyle w:val="23"/>
              <w:widowControl w:val="0"/>
              <w:spacing w:line="240" w:lineRule="auto"/>
              <w:jc w:val="center"/>
              <w:rPr>
                <w:color w:val="auto"/>
                <w:sz w:val="18"/>
                <w:szCs w:val="18"/>
                <w:lang w:eastAsia="zh-CN"/>
              </w:rPr>
            </w:pPr>
            <w:r>
              <w:rPr>
                <w:color w:val="auto"/>
                <w:sz w:val="18"/>
                <w:szCs w:val="18"/>
                <w:lang w:eastAsia="zh-CN"/>
              </w:rPr>
              <w:t>Mother’s highest qualification</w:t>
            </w:r>
          </w:p>
        </w:tc>
        <w:tc>
          <w:tcPr>
            <w:tcW w:w="977" w:type="dxa"/>
            <w:shd w:val="clear" w:color="auto" w:fill="FFFFFF"/>
            <w:vAlign w:val="center"/>
          </w:tcPr>
          <w:p w14:paraId="5E36E6D5">
            <w:pPr>
              <w:pStyle w:val="23"/>
              <w:widowControl w:val="0"/>
              <w:spacing w:line="240" w:lineRule="auto"/>
              <w:ind w:firstLine="0"/>
              <w:jc w:val="center"/>
              <w:rPr>
                <w:color w:val="auto"/>
                <w:sz w:val="18"/>
                <w:szCs w:val="18"/>
                <w:lang w:eastAsia="pl-PL"/>
              </w:rPr>
            </w:pPr>
            <w:r>
              <w:rPr>
                <w:color w:val="auto"/>
                <w:sz w:val="18"/>
                <w:szCs w:val="18"/>
                <w:lang w:eastAsia="zh-CN"/>
              </w:rPr>
              <w:t>Predictor</w:t>
            </w:r>
          </w:p>
        </w:tc>
        <w:tc>
          <w:tcPr>
            <w:tcW w:w="1093" w:type="dxa"/>
            <w:shd w:val="clear" w:color="auto" w:fill="FFFFFF"/>
            <w:vAlign w:val="center"/>
          </w:tcPr>
          <w:p w14:paraId="7B425EAE">
            <w:pPr>
              <w:pStyle w:val="23"/>
              <w:widowControl w:val="0"/>
              <w:spacing w:line="240" w:lineRule="auto"/>
              <w:ind w:firstLine="0"/>
              <w:jc w:val="center"/>
              <w:rPr>
                <w:color w:val="auto"/>
                <w:sz w:val="18"/>
                <w:szCs w:val="18"/>
                <w:lang w:eastAsia="pl-PL"/>
              </w:rPr>
            </w:pPr>
            <w:r>
              <w:rPr>
                <w:color w:val="auto"/>
                <w:sz w:val="18"/>
                <w:szCs w:val="18"/>
                <w:lang w:eastAsia="zh-CN"/>
              </w:rPr>
              <w:t>Both</w:t>
            </w:r>
          </w:p>
        </w:tc>
        <w:tc>
          <w:tcPr>
            <w:tcW w:w="2444" w:type="dxa"/>
            <w:shd w:val="clear" w:color="auto" w:fill="FFFFFF"/>
            <w:vAlign w:val="center"/>
          </w:tcPr>
          <w:p w14:paraId="3C37293B">
            <w:pPr>
              <w:pStyle w:val="23"/>
              <w:widowControl w:val="0"/>
              <w:spacing w:line="240" w:lineRule="auto"/>
              <w:jc w:val="center"/>
              <w:rPr>
                <w:color w:val="auto"/>
                <w:sz w:val="18"/>
                <w:szCs w:val="18"/>
                <w:lang w:eastAsia="pl-PL"/>
              </w:rPr>
            </w:pPr>
            <w:r>
              <w:rPr>
                <w:color w:val="auto"/>
                <w:sz w:val="18"/>
                <w:szCs w:val="18"/>
                <w:lang w:eastAsia="zh-CN"/>
              </w:rPr>
              <w:t>Parental education</w:t>
            </w:r>
          </w:p>
        </w:tc>
      </w:tr>
      <w:tr w14:paraId="26D3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FFFFFF"/>
            <w:vAlign w:val="center"/>
          </w:tcPr>
          <w:p w14:paraId="3F436A97">
            <w:pPr>
              <w:pStyle w:val="23"/>
              <w:widowControl w:val="0"/>
              <w:spacing w:line="240" w:lineRule="auto"/>
              <w:jc w:val="center"/>
              <w:rPr>
                <w:color w:val="auto"/>
                <w:sz w:val="18"/>
                <w:szCs w:val="18"/>
                <w:lang w:eastAsia="zh-CN"/>
              </w:rPr>
            </w:pPr>
            <w:r>
              <w:rPr>
                <w:color w:val="auto"/>
                <w:sz w:val="18"/>
                <w:szCs w:val="18"/>
                <w:lang w:eastAsia="zh-CN"/>
              </w:rPr>
              <w:t>Father’s highest qualification</w:t>
            </w:r>
          </w:p>
        </w:tc>
        <w:tc>
          <w:tcPr>
            <w:tcW w:w="977" w:type="dxa"/>
            <w:shd w:val="clear" w:color="auto" w:fill="FFFFFF"/>
            <w:vAlign w:val="center"/>
          </w:tcPr>
          <w:p w14:paraId="185CE8C4">
            <w:pPr>
              <w:pStyle w:val="23"/>
              <w:widowControl w:val="0"/>
              <w:spacing w:line="240" w:lineRule="auto"/>
              <w:ind w:firstLine="0"/>
              <w:jc w:val="center"/>
              <w:rPr>
                <w:color w:val="auto"/>
                <w:sz w:val="18"/>
                <w:szCs w:val="18"/>
                <w:lang w:eastAsia="pl-PL"/>
              </w:rPr>
            </w:pPr>
            <w:r>
              <w:rPr>
                <w:color w:val="auto"/>
                <w:sz w:val="18"/>
                <w:szCs w:val="18"/>
                <w:lang w:eastAsia="zh-CN"/>
              </w:rPr>
              <w:t>Predictor</w:t>
            </w:r>
          </w:p>
        </w:tc>
        <w:tc>
          <w:tcPr>
            <w:tcW w:w="1093" w:type="dxa"/>
            <w:shd w:val="clear" w:color="auto" w:fill="FFFFFF"/>
            <w:vAlign w:val="center"/>
          </w:tcPr>
          <w:p w14:paraId="3F5A6CBD">
            <w:pPr>
              <w:pStyle w:val="23"/>
              <w:widowControl w:val="0"/>
              <w:spacing w:line="240" w:lineRule="auto"/>
              <w:ind w:firstLine="0"/>
              <w:jc w:val="center"/>
              <w:rPr>
                <w:color w:val="auto"/>
                <w:sz w:val="18"/>
                <w:szCs w:val="18"/>
                <w:lang w:eastAsia="pl-PL"/>
              </w:rPr>
            </w:pPr>
            <w:r>
              <w:rPr>
                <w:color w:val="auto"/>
                <w:sz w:val="18"/>
                <w:szCs w:val="18"/>
                <w:lang w:eastAsia="zh-CN"/>
              </w:rPr>
              <w:t>Both</w:t>
            </w:r>
          </w:p>
        </w:tc>
        <w:tc>
          <w:tcPr>
            <w:tcW w:w="2444" w:type="dxa"/>
            <w:shd w:val="clear" w:color="auto" w:fill="FFFFFF"/>
            <w:vAlign w:val="center"/>
          </w:tcPr>
          <w:p w14:paraId="0B0A57B8">
            <w:pPr>
              <w:pStyle w:val="23"/>
              <w:widowControl w:val="0"/>
              <w:spacing w:line="240" w:lineRule="auto"/>
              <w:jc w:val="center"/>
              <w:rPr>
                <w:color w:val="auto"/>
                <w:sz w:val="18"/>
                <w:szCs w:val="18"/>
                <w:lang w:eastAsia="pl-PL"/>
              </w:rPr>
            </w:pPr>
            <w:r>
              <w:rPr>
                <w:color w:val="auto"/>
                <w:sz w:val="18"/>
                <w:szCs w:val="18"/>
                <w:lang w:eastAsia="zh-CN"/>
              </w:rPr>
              <w:t>Parental education</w:t>
            </w:r>
          </w:p>
        </w:tc>
      </w:tr>
      <w:tr w14:paraId="4D19F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FFFFFF"/>
            <w:vAlign w:val="center"/>
          </w:tcPr>
          <w:p w14:paraId="2A0A71DE">
            <w:pPr>
              <w:pStyle w:val="23"/>
              <w:widowControl w:val="0"/>
              <w:spacing w:line="240" w:lineRule="auto"/>
              <w:jc w:val="center"/>
              <w:rPr>
                <w:color w:val="auto"/>
                <w:sz w:val="18"/>
                <w:szCs w:val="18"/>
                <w:lang w:eastAsia="zh-CN"/>
              </w:rPr>
            </w:pPr>
            <w:r>
              <w:rPr>
                <w:color w:val="auto"/>
                <w:sz w:val="18"/>
                <w:szCs w:val="18"/>
                <w:lang w:eastAsia="zh-CN"/>
              </w:rPr>
              <w:t>Age at enrollment</w:t>
            </w:r>
          </w:p>
        </w:tc>
        <w:tc>
          <w:tcPr>
            <w:tcW w:w="977" w:type="dxa"/>
            <w:shd w:val="clear" w:color="auto" w:fill="FFFFFF"/>
            <w:vAlign w:val="center"/>
          </w:tcPr>
          <w:p w14:paraId="6DBF18AE">
            <w:pPr>
              <w:pStyle w:val="23"/>
              <w:widowControl w:val="0"/>
              <w:spacing w:line="240" w:lineRule="auto"/>
              <w:ind w:firstLine="0"/>
              <w:jc w:val="center"/>
              <w:rPr>
                <w:color w:val="auto"/>
                <w:sz w:val="18"/>
                <w:szCs w:val="18"/>
                <w:lang w:eastAsia="pl-PL"/>
              </w:rPr>
            </w:pPr>
            <w:r>
              <w:rPr>
                <w:color w:val="auto"/>
                <w:sz w:val="18"/>
                <w:szCs w:val="18"/>
                <w:lang w:eastAsia="zh-CN"/>
              </w:rPr>
              <w:t>Predictor</w:t>
            </w:r>
          </w:p>
        </w:tc>
        <w:tc>
          <w:tcPr>
            <w:tcW w:w="1093" w:type="dxa"/>
            <w:shd w:val="clear" w:color="auto" w:fill="FFFFFF"/>
            <w:vAlign w:val="center"/>
          </w:tcPr>
          <w:p w14:paraId="5722AC8B">
            <w:pPr>
              <w:pStyle w:val="23"/>
              <w:widowControl w:val="0"/>
              <w:spacing w:line="240" w:lineRule="auto"/>
              <w:ind w:firstLine="0"/>
              <w:jc w:val="center"/>
              <w:rPr>
                <w:color w:val="auto"/>
                <w:sz w:val="18"/>
                <w:szCs w:val="18"/>
                <w:lang w:eastAsia="pl-PL"/>
              </w:rPr>
            </w:pPr>
            <w:r>
              <w:rPr>
                <w:color w:val="auto"/>
                <w:sz w:val="18"/>
                <w:szCs w:val="18"/>
                <w:lang w:eastAsia="zh-CN"/>
              </w:rPr>
              <w:t>Both</w:t>
            </w:r>
          </w:p>
        </w:tc>
        <w:tc>
          <w:tcPr>
            <w:tcW w:w="2444" w:type="dxa"/>
            <w:shd w:val="clear" w:color="auto" w:fill="FFFFFF"/>
            <w:vAlign w:val="center"/>
          </w:tcPr>
          <w:p w14:paraId="68422889">
            <w:pPr>
              <w:pStyle w:val="23"/>
              <w:widowControl w:val="0"/>
              <w:spacing w:line="240" w:lineRule="auto"/>
              <w:jc w:val="center"/>
              <w:rPr>
                <w:color w:val="auto"/>
                <w:sz w:val="18"/>
                <w:szCs w:val="18"/>
                <w:lang w:eastAsia="pl-PL"/>
              </w:rPr>
            </w:pPr>
            <w:r>
              <w:rPr>
                <w:color w:val="auto"/>
                <w:sz w:val="18"/>
                <w:szCs w:val="18"/>
                <w:lang w:eastAsia="zh-CN"/>
              </w:rPr>
              <w:t>In years</w:t>
            </w:r>
          </w:p>
        </w:tc>
      </w:tr>
      <w:tr w14:paraId="196B0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FFFFFF"/>
            <w:vAlign w:val="center"/>
          </w:tcPr>
          <w:p w14:paraId="78995B05">
            <w:pPr>
              <w:pStyle w:val="23"/>
              <w:widowControl w:val="0"/>
              <w:spacing w:line="240" w:lineRule="auto"/>
              <w:jc w:val="center"/>
              <w:rPr>
                <w:color w:val="auto"/>
                <w:sz w:val="18"/>
                <w:szCs w:val="18"/>
                <w:lang w:eastAsia="zh-CN"/>
              </w:rPr>
            </w:pPr>
            <w:r>
              <w:rPr>
                <w:color w:val="auto"/>
                <w:sz w:val="18"/>
                <w:szCs w:val="18"/>
                <w:lang w:eastAsia="zh-CN"/>
              </w:rPr>
              <w:t>Gender</w:t>
            </w:r>
          </w:p>
        </w:tc>
        <w:tc>
          <w:tcPr>
            <w:tcW w:w="977" w:type="dxa"/>
            <w:shd w:val="clear" w:color="auto" w:fill="FFFFFF"/>
            <w:vAlign w:val="center"/>
          </w:tcPr>
          <w:p w14:paraId="2E45BA6A">
            <w:pPr>
              <w:pStyle w:val="23"/>
              <w:widowControl w:val="0"/>
              <w:spacing w:line="240" w:lineRule="auto"/>
              <w:ind w:firstLine="0"/>
              <w:jc w:val="center"/>
              <w:rPr>
                <w:color w:val="auto"/>
                <w:sz w:val="18"/>
                <w:szCs w:val="18"/>
                <w:lang w:eastAsia="pl-PL"/>
              </w:rPr>
            </w:pPr>
            <w:r>
              <w:rPr>
                <w:color w:val="auto"/>
                <w:sz w:val="18"/>
                <w:szCs w:val="18"/>
                <w:lang w:eastAsia="zh-CN"/>
              </w:rPr>
              <w:t>Predictor</w:t>
            </w:r>
          </w:p>
        </w:tc>
        <w:tc>
          <w:tcPr>
            <w:tcW w:w="1093" w:type="dxa"/>
            <w:shd w:val="clear" w:color="auto" w:fill="FFFFFF"/>
            <w:vAlign w:val="center"/>
          </w:tcPr>
          <w:p w14:paraId="440D480E">
            <w:pPr>
              <w:pStyle w:val="23"/>
              <w:widowControl w:val="0"/>
              <w:spacing w:line="240" w:lineRule="auto"/>
              <w:ind w:firstLine="0"/>
              <w:jc w:val="center"/>
              <w:rPr>
                <w:color w:val="auto"/>
                <w:sz w:val="18"/>
                <w:szCs w:val="18"/>
                <w:lang w:eastAsia="pl-PL"/>
              </w:rPr>
            </w:pPr>
            <w:r>
              <w:rPr>
                <w:color w:val="auto"/>
                <w:sz w:val="18"/>
                <w:szCs w:val="18"/>
                <w:lang w:eastAsia="zh-CN"/>
              </w:rPr>
              <w:t>Both</w:t>
            </w:r>
          </w:p>
        </w:tc>
        <w:tc>
          <w:tcPr>
            <w:tcW w:w="2444" w:type="dxa"/>
            <w:shd w:val="clear" w:color="auto" w:fill="FFFFFF"/>
            <w:vAlign w:val="center"/>
          </w:tcPr>
          <w:p w14:paraId="4C9208DE">
            <w:pPr>
              <w:pStyle w:val="23"/>
              <w:widowControl w:val="0"/>
              <w:spacing w:line="240" w:lineRule="auto"/>
              <w:jc w:val="center"/>
              <w:rPr>
                <w:color w:val="auto"/>
                <w:sz w:val="18"/>
                <w:szCs w:val="18"/>
                <w:lang w:eastAsia="pl-PL"/>
              </w:rPr>
            </w:pPr>
            <w:r>
              <w:rPr>
                <w:color w:val="auto"/>
                <w:sz w:val="18"/>
                <w:szCs w:val="18"/>
                <w:lang w:eastAsia="zh-CN"/>
              </w:rPr>
              <w:t>One-hot encoded</w:t>
            </w:r>
          </w:p>
        </w:tc>
      </w:tr>
      <w:tr w14:paraId="56905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FFFFFF"/>
            <w:vAlign w:val="center"/>
          </w:tcPr>
          <w:p w14:paraId="39F5FA4F">
            <w:pPr>
              <w:pStyle w:val="23"/>
              <w:widowControl w:val="0"/>
              <w:spacing w:line="240" w:lineRule="auto"/>
              <w:jc w:val="center"/>
              <w:rPr>
                <w:color w:val="auto"/>
                <w:sz w:val="18"/>
                <w:szCs w:val="18"/>
                <w:lang w:eastAsia="zh-CN"/>
              </w:rPr>
            </w:pPr>
            <w:r>
              <w:rPr>
                <w:color w:val="auto"/>
                <w:sz w:val="18"/>
                <w:szCs w:val="18"/>
                <w:lang w:eastAsia="zh-CN"/>
              </w:rPr>
              <w:t>Nationality</w:t>
            </w:r>
          </w:p>
        </w:tc>
        <w:tc>
          <w:tcPr>
            <w:tcW w:w="977" w:type="dxa"/>
            <w:shd w:val="clear" w:color="auto" w:fill="FFFFFF"/>
            <w:vAlign w:val="center"/>
          </w:tcPr>
          <w:p w14:paraId="2C90695D">
            <w:pPr>
              <w:pStyle w:val="23"/>
              <w:widowControl w:val="0"/>
              <w:spacing w:line="240" w:lineRule="auto"/>
              <w:ind w:firstLine="0"/>
              <w:jc w:val="center"/>
              <w:rPr>
                <w:color w:val="auto"/>
                <w:sz w:val="18"/>
                <w:szCs w:val="18"/>
                <w:lang w:eastAsia="pl-PL"/>
              </w:rPr>
            </w:pPr>
            <w:r>
              <w:rPr>
                <w:color w:val="auto"/>
                <w:sz w:val="18"/>
                <w:szCs w:val="18"/>
                <w:lang w:eastAsia="zh-CN"/>
              </w:rPr>
              <w:t>Predictor</w:t>
            </w:r>
          </w:p>
        </w:tc>
        <w:tc>
          <w:tcPr>
            <w:tcW w:w="1093" w:type="dxa"/>
            <w:shd w:val="clear" w:color="auto" w:fill="FFFFFF"/>
            <w:vAlign w:val="center"/>
          </w:tcPr>
          <w:p w14:paraId="3B26E542">
            <w:pPr>
              <w:pStyle w:val="23"/>
              <w:widowControl w:val="0"/>
              <w:spacing w:line="240" w:lineRule="auto"/>
              <w:ind w:firstLine="0"/>
              <w:jc w:val="center"/>
              <w:rPr>
                <w:color w:val="auto"/>
                <w:sz w:val="18"/>
                <w:szCs w:val="18"/>
                <w:lang w:eastAsia="pl-PL"/>
              </w:rPr>
            </w:pPr>
            <w:r>
              <w:rPr>
                <w:color w:val="auto"/>
                <w:sz w:val="18"/>
                <w:szCs w:val="18"/>
                <w:lang w:eastAsia="zh-CN"/>
              </w:rPr>
              <w:t>Both</w:t>
            </w:r>
          </w:p>
        </w:tc>
        <w:tc>
          <w:tcPr>
            <w:tcW w:w="2444" w:type="dxa"/>
            <w:shd w:val="clear" w:color="auto" w:fill="FFFFFF"/>
            <w:vAlign w:val="center"/>
          </w:tcPr>
          <w:p w14:paraId="5E35F1F6">
            <w:pPr>
              <w:pStyle w:val="23"/>
              <w:widowControl w:val="0"/>
              <w:spacing w:line="240" w:lineRule="auto"/>
              <w:jc w:val="center"/>
              <w:rPr>
                <w:color w:val="auto"/>
                <w:sz w:val="18"/>
                <w:szCs w:val="18"/>
                <w:lang w:eastAsia="pl-PL"/>
              </w:rPr>
            </w:pPr>
            <w:r>
              <w:rPr>
                <w:color w:val="auto"/>
                <w:sz w:val="18"/>
                <w:szCs w:val="18"/>
                <w:lang w:eastAsia="zh-CN"/>
              </w:rPr>
              <w:t>One-hot encoded</w:t>
            </w:r>
          </w:p>
        </w:tc>
      </w:tr>
      <w:tr w14:paraId="5DAD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FFFFFF"/>
            <w:vAlign w:val="center"/>
          </w:tcPr>
          <w:p w14:paraId="79F9BB60">
            <w:pPr>
              <w:pStyle w:val="23"/>
              <w:widowControl w:val="0"/>
              <w:spacing w:line="240" w:lineRule="auto"/>
              <w:jc w:val="center"/>
              <w:rPr>
                <w:color w:val="auto"/>
                <w:sz w:val="18"/>
                <w:szCs w:val="18"/>
                <w:lang w:eastAsia="zh-CN"/>
              </w:rPr>
            </w:pPr>
            <w:r>
              <w:rPr>
                <w:color w:val="auto"/>
                <w:sz w:val="18"/>
                <w:szCs w:val="18"/>
                <w:lang w:eastAsia="zh-CN"/>
              </w:rPr>
              <w:t>Scholarship status</w:t>
            </w:r>
          </w:p>
        </w:tc>
        <w:tc>
          <w:tcPr>
            <w:tcW w:w="977" w:type="dxa"/>
            <w:shd w:val="clear" w:color="auto" w:fill="FFFFFF"/>
            <w:vAlign w:val="center"/>
          </w:tcPr>
          <w:p w14:paraId="7C965632">
            <w:pPr>
              <w:pStyle w:val="23"/>
              <w:widowControl w:val="0"/>
              <w:spacing w:line="240" w:lineRule="auto"/>
              <w:ind w:firstLine="0"/>
              <w:jc w:val="center"/>
              <w:rPr>
                <w:color w:val="auto"/>
                <w:sz w:val="18"/>
                <w:szCs w:val="18"/>
                <w:lang w:eastAsia="pl-PL"/>
              </w:rPr>
            </w:pPr>
            <w:r>
              <w:rPr>
                <w:color w:val="auto"/>
                <w:sz w:val="18"/>
                <w:szCs w:val="18"/>
                <w:lang w:eastAsia="zh-CN"/>
              </w:rPr>
              <w:t>Predictor</w:t>
            </w:r>
          </w:p>
        </w:tc>
        <w:tc>
          <w:tcPr>
            <w:tcW w:w="1093" w:type="dxa"/>
            <w:shd w:val="clear" w:color="auto" w:fill="FFFFFF"/>
            <w:vAlign w:val="center"/>
          </w:tcPr>
          <w:p w14:paraId="2E75B3FA">
            <w:pPr>
              <w:pStyle w:val="23"/>
              <w:widowControl w:val="0"/>
              <w:spacing w:line="240" w:lineRule="auto"/>
              <w:ind w:firstLine="0"/>
              <w:jc w:val="center"/>
              <w:rPr>
                <w:color w:val="auto"/>
                <w:sz w:val="18"/>
                <w:szCs w:val="18"/>
                <w:lang w:eastAsia="pl-PL"/>
              </w:rPr>
            </w:pPr>
            <w:r>
              <w:rPr>
                <w:color w:val="auto"/>
                <w:sz w:val="18"/>
                <w:szCs w:val="18"/>
                <w:lang w:eastAsia="zh-CN"/>
              </w:rPr>
              <w:t>Both</w:t>
            </w:r>
          </w:p>
        </w:tc>
        <w:tc>
          <w:tcPr>
            <w:tcW w:w="2444" w:type="dxa"/>
            <w:shd w:val="clear" w:color="auto" w:fill="FFFFFF"/>
            <w:vAlign w:val="center"/>
          </w:tcPr>
          <w:p w14:paraId="74864260">
            <w:pPr>
              <w:pStyle w:val="23"/>
              <w:widowControl w:val="0"/>
              <w:spacing w:line="240" w:lineRule="auto"/>
              <w:jc w:val="center"/>
              <w:rPr>
                <w:color w:val="auto"/>
                <w:sz w:val="18"/>
                <w:szCs w:val="18"/>
                <w:lang w:eastAsia="pl-PL"/>
              </w:rPr>
            </w:pPr>
            <w:r>
              <w:rPr>
                <w:color w:val="auto"/>
                <w:sz w:val="18"/>
                <w:szCs w:val="18"/>
                <w:lang w:eastAsia="zh-CN"/>
              </w:rPr>
              <w:t>Binary indicator</w:t>
            </w:r>
          </w:p>
        </w:tc>
      </w:tr>
      <w:tr w14:paraId="6D346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FFFFFF"/>
            <w:vAlign w:val="center"/>
          </w:tcPr>
          <w:p w14:paraId="6000ACC4">
            <w:pPr>
              <w:pStyle w:val="23"/>
              <w:widowControl w:val="0"/>
              <w:spacing w:line="240" w:lineRule="auto"/>
              <w:jc w:val="center"/>
              <w:rPr>
                <w:color w:val="auto"/>
                <w:sz w:val="18"/>
                <w:szCs w:val="18"/>
                <w:lang w:eastAsia="zh-CN"/>
              </w:rPr>
            </w:pPr>
            <w:r>
              <w:rPr>
                <w:color w:val="auto"/>
                <w:sz w:val="18"/>
                <w:szCs w:val="18"/>
                <w:lang w:eastAsia="zh-CN"/>
              </w:rPr>
              <w:t>Debtor status</w:t>
            </w:r>
          </w:p>
        </w:tc>
        <w:tc>
          <w:tcPr>
            <w:tcW w:w="977" w:type="dxa"/>
            <w:shd w:val="clear" w:color="auto" w:fill="FFFFFF"/>
            <w:vAlign w:val="center"/>
          </w:tcPr>
          <w:p w14:paraId="14F0C00F">
            <w:pPr>
              <w:pStyle w:val="23"/>
              <w:widowControl w:val="0"/>
              <w:spacing w:line="240" w:lineRule="auto"/>
              <w:ind w:firstLine="0"/>
              <w:jc w:val="center"/>
              <w:rPr>
                <w:color w:val="auto"/>
                <w:sz w:val="18"/>
                <w:szCs w:val="18"/>
                <w:lang w:eastAsia="pl-PL"/>
              </w:rPr>
            </w:pPr>
            <w:r>
              <w:rPr>
                <w:color w:val="auto"/>
                <w:sz w:val="18"/>
                <w:szCs w:val="18"/>
                <w:lang w:eastAsia="zh-CN"/>
              </w:rPr>
              <w:t>Predictor</w:t>
            </w:r>
          </w:p>
        </w:tc>
        <w:tc>
          <w:tcPr>
            <w:tcW w:w="1093" w:type="dxa"/>
            <w:shd w:val="clear" w:color="auto" w:fill="FFFFFF"/>
            <w:vAlign w:val="center"/>
          </w:tcPr>
          <w:p w14:paraId="7304C5A7">
            <w:pPr>
              <w:pStyle w:val="23"/>
              <w:widowControl w:val="0"/>
              <w:spacing w:line="240" w:lineRule="auto"/>
              <w:ind w:firstLine="0"/>
              <w:jc w:val="center"/>
              <w:rPr>
                <w:color w:val="auto"/>
                <w:sz w:val="18"/>
                <w:szCs w:val="18"/>
                <w:lang w:eastAsia="pl-PL"/>
              </w:rPr>
            </w:pPr>
            <w:r>
              <w:rPr>
                <w:color w:val="auto"/>
                <w:sz w:val="18"/>
                <w:szCs w:val="18"/>
                <w:lang w:eastAsia="zh-CN"/>
              </w:rPr>
              <w:t>Both</w:t>
            </w:r>
          </w:p>
        </w:tc>
        <w:tc>
          <w:tcPr>
            <w:tcW w:w="2444" w:type="dxa"/>
            <w:shd w:val="clear" w:color="auto" w:fill="FFFFFF"/>
            <w:vAlign w:val="center"/>
          </w:tcPr>
          <w:p w14:paraId="191F9F71">
            <w:pPr>
              <w:pStyle w:val="23"/>
              <w:widowControl w:val="0"/>
              <w:spacing w:line="240" w:lineRule="auto"/>
              <w:jc w:val="center"/>
              <w:rPr>
                <w:color w:val="auto"/>
                <w:sz w:val="18"/>
                <w:szCs w:val="18"/>
                <w:lang w:eastAsia="pl-PL"/>
              </w:rPr>
            </w:pPr>
            <w:r>
              <w:rPr>
                <w:color w:val="auto"/>
                <w:sz w:val="18"/>
                <w:szCs w:val="18"/>
                <w:lang w:eastAsia="zh-CN"/>
              </w:rPr>
              <w:t>Binary indicator</w:t>
            </w:r>
          </w:p>
        </w:tc>
      </w:tr>
      <w:tr w14:paraId="7BF73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FFFFFF"/>
            <w:vAlign w:val="center"/>
          </w:tcPr>
          <w:p w14:paraId="0EEB34ED">
            <w:pPr>
              <w:pStyle w:val="23"/>
              <w:widowControl w:val="0"/>
              <w:spacing w:line="240" w:lineRule="auto"/>
              <w:jc w:val="center"/>
              <w:rPr>
                <w:color w:val="auto"/>
                <w:sz w:val="18"/>
                <w:szCs w:val="18"/>
                <w:lang w:eastAsia="zh-CN"/>
              </w:rPr>
            </w:pPr>
            <w:r>
              <w:rPr>
                <w:color w:val="auto"/>
                <w:sz w:val="18"/>
                <w:szCs w:val="18"/>
                <w:lang w:eastAsia="zh-CN"/>
              </w:rPr>
              <w:t>Unemployment rate</w:t>
            </w:r>
          </w:p>
        </w:tc>
        <w:tc>
          <w:tcPr>
            <w:tcW w:w="977" w:type="dxa"/>
            <w:shd w:val="clear" w:color="auto" w:fill="FFFFFF"/>
            <w:vAlign w:val="center"/>
          </w:tcPr>
          <w:p w14:paraId="705A0F95">
            <w:pPr>
              <w:pStyle w:val="23"/>
              <w:widowControl w:val="0"/>
              <w:spacing w:line="240" w:lineRule="auto"/>
              <w:ind w:firstLine="0"/>
              <w:jc w:val="center"/>
              <w:rPr>
                <w:color w:val="auto"/>
                <w:sz w:val="18"/>
                <w:szCs w:val="18"/>
                <w:lang w:eastAsia="pl-PL"/>
              </w:rPr>
            </w:pPr>
            <w:r>
              <w:rPr>
                <w:color w:val="auto"/>
                <w:sz w:val="18"/>
                <w:szCs w:val="18"/>
                <w:lang w:eastAsia="zh-CN"/>
              </w:rPr>
              <w:t>Control</w:t>
            </w:r>
          </w:p>
        </w:tc>
        <w:tc>
          <w:tcPr>
            <w:tcW w:w="1093" w:type="dxa"/>
            <w:shd w:val="clear" w:color="auto" w:fill="FFFFFF"/>
            <w:vAlign w:val="center"/>
          </w:tcPr>
          <w:p w14:paraId="4A14BCC4">
            <w:pPr>
              <w:pStyle w:val="23"/>
              <w:widowControl w:val="0"/>
              <w:spacing w:line="240" w:lineRule="auto"/>
              <w:ind w:firstLine="0"/>
              <w:jc w:val="center"/>
              <w:rPr>
                <w:color w:val="auto"/>
                <w:sz w:val="18"/>
                <w:szCs w:val="18"/>
                <w:lang w:eastAsia="pl-PL"/>
              </w:rPr>
            </w:pPr>
            <w:r>
              <w:rPr>
                <w:color w:val="auto"/>
                <w:sz w:val="18"/>
                <w:szCs w:val="18"/>
                <w:lang w:eastAsia="zh-CN"/>
              </w:rPr>
              <w:t>Both</w:t>
            </w:r>
          </w:p>
        </w:tc>
        <w:tc>
          <w:tcPr>
            <w:tcW w:w="2444" w:type="dxa"/>
            <w:shd w:val="clear" w:color="auto" w:fill="FFFFFF"/>
            <w:vAlign w:val="center"/>
          </w:tcPr>
          <w:p w14:paraId="189A8BF0">
            <w:pPr>
              <w:pStyle w:val="23"/>
              <w:widowControl w:val="0"/>
              <w:spacing w:line="240" w:lineRule="auto"/>
              <w:ind w:firstLine="0"/>
              <w:jc w:val="center"/>
              <w:rPr>
                <w:color w:val="auto"/>
                <w:sz w:val="18"/>
                <w:szCs w:val="18"/>
                <w:lang w:eastAsia="pl-PL"/>
              </w:rPr>
            </w:pPr>
            <w:r>
              <w:rPr>
                <w:color w:val="auto"/>
                <w:sz w:val="18"/>
                <w:szCs w:val="18"/>
                <w:lang w:eastAsia="zh-CN"/>
              </w:rPr>
              <w:t>Regional economic indicator</w:t>
            </w:r>
          </w:p>
        </w:tc>
      </w:tr>
      <w:tr w14:paraId="407B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FFFFFF"/>
            <w:vAlign w:val="center"/>
          </w:tcPr>
          <w:p w14:paraId="56E32F73">
            <w:pPr>
              <w:pStyle w:val="23"/>
              <w:widowControl w:val="0"/>
              <w:spacing w:line="240" w:lineRule="auto"/>
              <w:jc w:val="center"/>
              <w:rPr>
                <w:color w:val="auto"/>
                <w:sz w:val="18"/>
                <w:szCs w:val="18"/>
                <w:lang w:eastAsia="zh-CN"/>
              </w:rPr>
            </w:pPr>
            <w:r>
              <w:rPr>
                <w:color w:val="auto"/>
                <w:sz w:val="18"/>
                <w:szCs w:val="18"/>
                <w:lang w:eastAsia="zh-CN"/>
              </w:rPr>
              <w:t>Inflation rate</w:t>
            </w:r>
          </w:p>
        </w:tc>
        <w:tc>
          <w:tcPr>
            <w:tcW w:w="977" w:type="dxa"/>
            <w:shd w:val="clear" w:color="auto" w:fill="FFFFFF"/>
            <w:vAlign w:val="center"/>
          </w:tcPr>
          <w:p w14:paraId="64A03F8B">
            <w:pPr>
              <w:pStyle w:val="23"/>
              <w:widowControl w:val="0"/>
              <w:spacing w:line="240" w:lineRule="auto"/>
              <w:ind w:firstLine="0"/>
              <w:jc w:val="center"/>
              <w:rPr>
                <w:color w:val="auto"/>
                <w:sz w:val="18"/>
                <w:szCs w:val="18"/>
                <w:lang w:eastAsia="pl-PL"/>
              </w:rPr>
            </w:pPr>
            <w:r>
              <w:rPr>
                <w:color w:val="auto"/>
                <w:sz w:val="18"/>
                <w:szCs w:val="18"/>
                <w:lang w:eastAsia="zh-CN"/>
              </w:rPr>
              <w:t>Control</w:t>
            </w:r>
          </w:p>
        </w:tc>
        <w:tc>
          <w:tcPr>
            <w:tcW w:w="1093" w:type="dxa"/>
            <w:shd w:val="clear" w:color="auto" w:fill="FFFFFF"/>
            <w:vAlign w:val="center"/>
          </w:tcPr>
          <w:p w14:paraId="72B29F7E">
            <w:pPr>
              <w:pStyle w:val="23"/>
              <w:widowControl w:val="0"/>
              <w:spacing w:line="240" w:lineRule="auto"/>
              <w:ind w:firstLine="0"/>
              <w:jc w:val="center"/>
              <w:rPr>
                <w:color w:val="auto"/>
                <w:sz w:val="18"/>
                <w:szCs w:val="18"/>
                <w:lang w:eastAsia="pl-PL"/>
              </w:rPr>
            </w:pPr>
            <w:r>
              <w:rPr>
                <w:color w:val="auto"/>
                <w:sz w:val="18"/>
                <w:szCs w:val="18"/>
                <w:lang w:eastAsia="zh-CN"/>
              </w:rPr>
              <w:t>Both</w:t>
            </w:r>
          </w:p>
        </w:tc>
        <w:tc>
          <w:tcPr>
            <w:tcW w:w="2444" w:type="dxa"/>
            <w:shd w:val="clear" w:color="auto" w:fill="FFFFFF"/>
            <w:vAlign w:val="center"/>
          </w:tcPr>
          <w:p w14:paraId="499DA979">
            <w:pPr>
              <w:pStyle w:val="23"/>
              <w:widowControl w:val="0"/>
              <w:spacing w:line="240" w:lineRule="auto"/>
              <w:ind w:firstLine="0"/>
              <w:jc w:val="center"/>
              <w:rPr>
                <w:color w:val="auto"/>
                <w:sz w:val="18"/>
                <w:szCs w:val="18"/>
                <w:lang w:eastAsia="pl-PL"/>
              </w:rPr>
            </w:pPr>
            <w:r>
              <w:rPr>
                <w:color w:val="auto"/>
                <w:sz w:val="18"/>
                <w:szCs w:val="18"/>
                <w:lang w:eastAsia="zh-CN"/>
              </w:rPr>
              <w:t>Regional economic indicator</w:t>
            </w:r>
          </w:p>
        </w:tc>
      </w:tr>
      <w:tr w14:paraId="0168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FFFFFF"/>
            <w:vAlign w:val="center"/>
          </w:tcPr>
          <w:p w14:paraId="56715879">
            <w:pPr>
              <w:pStyle w:val="23"/>
              <w:widowControl w:val="0"/>
              <w:spacing w:line="240" w:lineRule="auto"/>
              <w:jc w:val="center"/>
              <w:rPr>
                <w:color w:val="auto"/>
                <w:sz w:val="18"/>
                <w:szCs w:val="18"/>
                <w:lang w:eastAsia="zh-CN"/>
              </w:rPr>
            </w:pPr>
            <w:r>
              <w:rPr>
                <w:color w:val="auto"/>
                <w:sz w:val="18"/>
                <w:szCs w:val="18"/>
                <w:lang w:eastAsia="zh-CN"/>
              </w:rPr>
              <w:t>GDP per capita</w:t>
            </w:r>
          </w:p>
        </w:tc>
        <w:tc>
          <w:tcPr>
            <w:tcW w:w="977" w:type="dxa"/>
            <w:shd w:val="clear" w:color="auto" w:fill="FFFFFF"/>
            <w:vAlign w:val="center"/>
          </w:tcPr>
          <w:p w14:paraId="555BFA8A">
            <w:pPr>
              <w:pStyle w:val="23"/>
              <w:widowControl w:val="0"/>
              <w:spacing w:line="240" w:lineRule="auto"/>
              <w:ind w:firstLine="0"/>
              <w:jc w:val="center"/>
              <w:rPr>
                <w:color w:val="auto"/>
                <w:sz w:val="18"/>
                <w:szCs w:val="18"/>
                <w:lang w:eastAsia="pl-PL"/>
              </w:rPr>
            </w:pPr>
            <w:r>
              <w:rPr>
                <w:color w:val="auto"/>
                <w:sz w:val="18"/>
                <w:szCs w:val="18"/>
                <w:lang w:eastAsia="zh-CN"/>
              </w:rPr>
              <w:t>Control</w:t>
            </w:r>
          </w:p>
        </w:tc>
        <w:tc>
          <w:tcPr>
            <w:tcW w:w="1093" w:type="dxa"/>
            <w:shd w:val="clear" w:color="auto" w:fill="FFFFFF"/>
            <w:vAlign w:val="center"/>
          </w:tcPr>
          <w:p w14:paraId="44A75F24">
            <w:pPr>
              <w:pStyle w:val="23"/>
              <w:widowControl w:val="0"/>
              <w:spacing w:line="240" w:lineRule="auto"/>
              <w:ind w:firstLine="0"/>
              <w:jc w:val="center"/>
              <w:rPr>
                <w:color w:val="auto"/>
                <w:sz w:val="18"/>
                <w:szCs w:val="18"/>
                <w:lang w:eastAsia="pl-PL"/>
              </w:rPr>
            </w:pPr>
            <w:r>
              <w:rPr>
                <w:color w:val="auto"/>
                <w:sz w:val="18"/>
                <w:szCs w:val="18"/>
                <w:lang w:eastAsia="zh-CN"/>
              </w:rPr>
              <w:t>Both</w:t>
            </w:r>
          </w:p>
        </w:tc>
        <w:tc>
          <w:tcPr>
            <w:tcW w:w="2444" w:type="dxa"/>
            <w:shd w:val="clear" w:color="auto" w:fill="FFFFFF"/>
            <w:vAlign w:val="center"/>
          </w:tcPr>
          <w:p w14:paraId="63F9CE34">
            <w:pPr>
              <w:pStyle w:val="23"/>
              <w:widowControl w:val="0"/>
              <w:spacing w:line="240" w:lineRule="auto"/>
              <w:ind w:firstLine="0"/>
              <w:jc w:val="center"/>
              <w:rPr>
                <w:color w:val="auto"/>
                <w:sz w:val="18"/>
                <w:szCs w:val="18"/>
                <w:lang w:eastAsia="pl-PL"/>
              </w:rPr>
            </w:pPr>
            <w:r>
              <w:rPr>
                <w:color w:val="auto"/>
                <w:sz w:val="18"/>
                <w:szCs w:val="18"/>
                <w:lang w:eastAsia="zh-CN"/>
              </w:rPr>
              <w:t>Regional economic indicator</w:t>
            </w:r>
          </w:p>
        </w:tc>
      </w:tr>
      <w:tr w14:paraId="5861E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FFFFFF"/>
            <w:vAlign w:val="center"/>
          </w:tcPr>
          <w:p w14:paraId="23892375">
            <w:pPr>
              <w:pStyle w:val="23"/>
              <w:widowControl w:val="0"/>
              <w:spacing w:line="240" w:lineRule="auto"/>
              <w:jc w:val="center"/>
              <w:rPr>
                <w:color w:val="auto"/>
                <w:sz w:val="18"/>
                <w:szCs w:val="18"/>
                <w:lang w:eastAsia="zh-CN"/>
              </w:rPr>
            </w:pPr>
            <w:r>
              <w:rPr>
                <w:color w:val="auto"/>
                <w:sz w:val="18"/>
                <w:szCs w:val="18"/>
                <w:lang w:eastAsia="zh-CN"/>
              </w:rPr>
              <w:t>Curricular.units. 1st.sem.enrolled</w:t>
            </w:r>
          </w:p>
        </w:tc>
        <w:tc>
          <w:tcPr>
            <w:tcW w:w="977" w:type="dxa"/>
            <w:shd w:val="clear" w:color="auto" w:fill="FFFFFF"/>
            <w:vAlign w:val="center"/>
          </w:tcPr>
          <w:p w14:paraId="5F21FE71">
            <w:pPr>
              <w:pStyle w:val="23"/>
              <w:widowControl w:val="0"/>
              <w:spacing w:line="240" w:lineRule="auto"/>
              <w:ind w:firstLine="0"/>
              <w:jc w:val="center"/>
              <w:rPr>
                <w:color w:val="auto"/>
                <w:sz w:val="18"/>
                <w:szCs w:val="18"/>
                <w:lang w:eastAsia="pl-PL"/>
              </w:rPr>
            </w:pPr>
            <w:r>
              <w:rPr>
                <w:color w:val="auto"/>
                <w:sz w:val="18"/>
                <w:szCs w:val="18"/>
                <w:lang w:eastAsia="zh-CN"/>
              </w:rPr>
              <w:t>Predictor</w:t>
            </w:r>
          </w:p>
        </w:tc>
        <w:tc>
          <w:tcPr>
            <w:tcW w:w="1093" w:type="dxa"/>
            <w:shd w:val="clear" w:color="auto" w:fill="FFFFFF"/>
            <w:vAlign w:val="center"/>
          </w:tcPr>
          <w:p w14:paraId="362B3092">
            <w:pPr>
              <w:pStyle w:val="23"/>
              <w:widowControl w:val="0"/>
              <w:spacing w:line="240" w:lineRule="auto"/>
              <w:ind w:firstLine="0"/>
              <w:jc w:val="center"/>
              <w:rPr>
                <w:color w:val="auto"/>
                <w:sz w:val="18"/>
                <w:szCs w:val="18"/>
                <w:lang w:eastAsia="pl-PL"/>
              </w:rPr>
            </w:pPr>
            <w:r>
              <w:rPr>
                <w:color w:val="auto"/>
                <w:sz w:val="18"/>
                <w:szCs w:val="18"/>
                <w:lang w:eastAsia="zh-CN"/>
              </w:rPr>
              <w:t>Non-Linear ML only</w:t>
            </w:r>
          </w:p>
        </w:tc>
        <w:tc>
          <w:tcPr>
            <w:tcW w:w="2444" w:type="dxa"/>
            <w:shd w:val="clear" w:color="auto" w:fill="FFFFFF"/>
            <w:vAlign w:val="center"/>
          </w:tcPr>
          <w:p w14:paraId="31F32868">
            <w:pPr>
              <w:pStyle w:val="23"/>
              <w:widowControl w:val="0"/>
              <w:spacing w:line="240" w:lineRule="auto"/>
              <w:ind w:firstLine="0"/>
              <w:jc w:val="center"/>
              <w:rPr>
                <w:color w:val="auto"/>
                <w:sz w:val="18"/>
                <w:szCs w:val="18"/>
                <w:lang w:eastAsia="pl-PL"/>
              </w:rPr>
            </w:pPr>
            <w:r>
              <w:rPr>
                <w:color w:val="auto"/>
                <w:sz w:val="18"/>
                <w:szCs w:val="18"/>
                <w:lang w:eastAsia="zh-CN"/>
              </w:rPr>
              <w:t>Removed for multicollinearity in econometric</w:t>
            </w:r>
          </w:p>
        </w:tc>
      </w:tr>
      <w:tr w14:paraId="54A1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FFFFFF"/>
            <w:vAlign w:val="center"/>
          </w:tcPr>
          <w:p w14:paraId="4034AE24">
            <w:pPr>
              <w:pStyle w:val="23"/>
              <w:widowControl w:val="0"/>
              <w:spacing w:line="240" w:lineRule="auto"/>
              <w:jc w:val="center"/>
              <w:rPr>
                <w:color w:val="auto"/>
                <w:sz w:val="18"/>
                <w:szCs w:val="18"/>
                <w:lang w:eastAsia="zh-CN"/>
              </w:rPr>
            </w:pPr>
            <w:r>
              <w:rPr>
                <w:color w:val="auto"/>
                <w:sz w:val="18"/>
                <w:szCs w:val="18"/>
                <w:lang w:eastAsia="zh-CN"/>
              </w:rPr>
              <w:t>Curricular.units. 1st.sem.credited</w:t>
            </w:r>
          </w:p>
        </w:tc>
        <w:tc>
          <w:tcPr>
            <w:tcW w:w="977" w:type="dxa"/>
            <w:shd w:val="clear" w:color="auto" w:fill="FFFFFF"/>
            <w:vAlign w:val="center"/>
          </w:tcPr>
          <w:p w14:paraId="4009834E">
            <w:pPr>
              <w:pStyle w:val="23"/>
              <w:widowControl w:val="0"/>
              <w:spacing w:line="240" w:lineRule="auto"/>
              <w:ind w:firstLine="0"/>
              <w:jc w:val="center"/>
              <w:rPr>
                <w:color w:val="auto"/>
                <w:sz w:val="18"/>
                <w:szCs w:val="18"/>
                <w:lang w:eastAsia="pl-PL"/>
              </w:rPr>
            </w:pPr>
            <w:r>
              <w:rPr>
                <w:color w:val="auto"/>
                <w:sz w:val="18"/>
                <w:szCs w:val="18"/>
                <w:lang w:eastAsia="zh-CN"/>
              </w:rPr>
              <w:t>Predictor</w:t>
            </w:r>
          </w:p>
        </w:tc>
        <w:tc>
          <w:tcPr>
            <w:tcW w:w="1093" w:type="dxa"/>
            <w:shd w:val="clear" w:color="auto" w:fill="FFFFFF"/>
            <w:vAlign w:val="center"/>
          </w:tcPr>
          <w:p w14:paraId="47FF1436">
            <w:pPr>
              <w:pStyle w:val="23"/>
              <w:widowControl w:val="0"/>
              <w:spacing w:line="240" w:lineRule="auto"/>
              <w:ind w:firstLine="0"/>
              <w:jc w:val="center"/>
              <w:rPr>
                <w:color w:val="auto"/>
                <w:sz w:val="18"/>
                <w:szCs w:val="18"/>
                <w:lang w:eastAsia="pl-PL"/>
              </w:rPr>
            </w:pPr>
            <w:r>
              <w:rPr>
                <w:color w:val="auto"/>
                <w:sz w:val="18"/>
                <w:szCs w:val="18"/>
                <w:lang w:eastAsia="zh-CN"/>
              </w:rPr>
              <w:t>Non-Linear ML only</w:t>
            </w:r>
          </w:p>
        </w:tc>
        <w:tc>
          <w:tcPr>
            <w:tcW w:w="2444" w:type="dxa"/>
            <w:shd w:val="clear" w:color="auto" w:fill="FFFFFF"/>
            <w:vAlign w:val="center"/>
          </w:tcPr>
          <w:p w14:paraId="1FB74365">
            <w:pPr>
              <w:pStyle w:val="23"/>
              <w:widowControl w:val="0"/>
              <w:spacing w:line="240" w:lineRule="auto"/>
              <w:ind w:firstLine="0"/>
              <w:jc w:val="center"/>
              <w:rPr>
                <w:color w:val="auto"/>
                <w:sz w:val="18"/>
                <w:szCs w:val="18"/>
                <w:lang w:eastAsia="pl-PL"/>
              </w:rPr>
            </w:pPr>
            <w:r>
              <w:rPr>
                <w:color w:val="auto"/>
                <w:sz w:val="18"/>
                <w:szCs w:val="18"/>
                <w:lang w:eastAsia="zh-CN"/>
              </w:rPr>
              <w:t>Removed for multicollinearity in econometric</w:t>
            </w:r>
          </w:p>
        </w:tc>
      </w:tr>
      <w:tr w14:paraId="0F02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FFFFFF"/>
            <w:vAlign w:val="center"/>
          </w:tcPr>
          <w:p w14:paraId="4998D666">
            <w:pPr>
              <w:pStyle w:val="23"/>
              <w:widowControl w:val="0"/>
              <w:spacing w:line="240" w:lineRule="auto"/>
              <w:jc w:val="center"/>
              <w:rPr>
                <w:color w:val="auto"/>
                <w:sz w:val="18"/>
                <w:szCs w:val="18"/>
                <w:lang w:eastAsia="zh-CN"/>
              </w:rPr>
            </w:pPr>
            <w:r>
              <w:rPr>
                <w:color w:val="auto"/>
                <w:sz w:val="18"/>
                <w:szCs w:val="18"/>
                <w:lang w:eastAsia="zh-CN"/>
              </w:rPr>
              <w:t>Curricular.units. 1st.sem.approved</w:t>
            </w:r>
          </w:p>
        </w:tc>
        <w:tc>
          <w:tcPr>
            <w:tcW w:w="977" w:type="dxa"/>
            <w:shd w:val="clear" w:color="auto" w:fill="FFFFFF"/>
            <w:vAlign w:val="center"/>
          </w:tcPr>
          <w:p w14:paraId="0765F49B">
            <w:pPr>
              <w:pStyle w:val="23"/>
              <w:widowControl w:val="0"/>
              <w:spacing w:line="240" w:lineRule="auto"/>
              <w:ind w:firstLine="0"/>
              <w:jc w:val="center"/>
              <w:rPr>
                <w:color w:val="auto"/>
                <w:sz w:val="18"/>
                <w:szCs w:val="18"/>
                <w:lang w:eastAsia="pl-PL"/>
              </w:rPr>
            </w:pPr>
            <w:r>
              <w:rPr>
                <w:color w:val="auto"/>
                <w:sz w:val="18"/>
                <w:szCs w:val="18"/>
                <w:lang w:eastAsia="zh-CN"/>
              </w:rPr>
              <w:t>Predictor</w:t>
            </w:r>
          </w:p>
        </w:tc>
        <w:tc>
          <w:tcPr>
            <w:tcW w:w="1093" w:type="dxa"/>
            <w:shd w:val="clear" w:color="auto" w:fill="FFFFFF"/>
            <w:vAlign w:val="center"/>
          </w:tcPr>
          <w:p w14:paraId="6D6580D9">
            <w:pPr>
              <w:pStyle w:val="23"/>
              <w:widowControl w:val="0"/>
              <w:spacing w:line="240" w:lineRule="auto"/>
              <w:ind w:firstLine="0"/>
              <w:jc w:val="center"/>
              <w:rPr>
                <w:color w:val="auto"/>
                <w:sz w:val="18"/>
                <w:szCs w:val="18"/>
                <w:lang w:eastAsia="pl-PL"/>
              </w:rPr>
            </w:pPr>
            <w:r>
              <w:rPr>
                <w:color w:val="auto"/>
                <w:sz w:val="18"/>
                <w:szCs w:val="18"/>
                <w:lang w:eastAsia="zh-CN"/>
              </w:rPr>
              <w:t>Non-Linear ML only</w:t>
            </w:r>
          </w:p>
        </w:tc>
        <w:tc>
          <w:tcPr>
            <w:tcW w:w="2444" w:type="dxa"/>
            <w:shd w:val="clear" w:color="auto" w:fill="FFFFFF"/>
            <w:vAlign w:val="center"/>
          </w:tcPr>
          <w:p w14:paraId="6A0CFAEB">
            <w:pPr>
              <w:pStyle w:val="23"/>
              <w:widowControl w:val="0"/>
              <w:spacing w:line="240" w:lineRule="auto"/>
              <w:ind w:firstLine="0"/>
              <w:jc w:val="center"/>
              <w:rPr>
                <w:color w:val="auto"/>
                <w:sz w:val="18"/>
                <w:szCs w:val="18"/>
                <w:lang w:eastAsia="pl-PL"/>
              </w:rPr>
            </w:pPr>
            <w:r>
              <w:rPr>
                <w:color w:val="auto"/>
                <w:sz w:val="18"/>
                <w:szCs w:val="18"/>
                <w:lang w:eastAsia="zh-CN"/>
              </w:rPr>
              <w:t>Removed for multicollinearity in econometric</w:t>
            </w:r>
          </w:p>
        </w:tc>
      </w:tr>
      <w:tr w14:paraId="6B31E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FFFFFF"/>
            <w:vAlign w:val="center"/>
          </w:tcPr>
          <w:p w14:paraId="7E5A4EB2">
            <w:pPr>
              <w:pStyle w:val="23"/>
              <w:widowControl w:val="0"/>
              <w:spacing w:line="240" w:lineRule="auto"/>
              <w:jc w:val="center"/>
              <w:rPr>
                <w:color w:val="auto"/>
                <w:sz w:val="18"/>
                <w:szCs w:val="18"/>
                <w:lang w:eastAsia="zh-CN"/>
              </w:rPr>
            </w:pPr>
            <w:r>
              <w:rPr>
                <w:color w:val="auto"/>
                <w:sz w:val="18"/>
                <w:szCs w:val="18"/>
                <w:lang w:eastAsia="zh-CN"/>
              </w:rPr>
              <w:t>Curricular.units. 2nd.sem.approved</w:t>
            </w:r>
          </w:p>
        </w:tc>
        <w:tc>
          <w:tcPr>
            <w:tcW w:w="977" w:type="dxa"/>
            <w:shd w:val="clear" w:color="auto" w:fill="FFFFFF"/>
            <w:vAlign w:val="center"/>
          </w:tcPr>
          <w:p w14:paraId="698A1166">
            <w:pPr>
              <w:pStyle w:val="23"/>
              <w:widowControl w:val="0"/>
              <w:spacing w:line="240" w:lineRule="auto"/>
              <w:ind w:firstLine="0"/>
              <w:jc w:val="center"/>
              <w:rPr>
                <w:color w:val="auto"/>
                <w:sz w:val="18"/>
                <w:szCs w:val="18"/>
                <w:lang w:eastAsia="pl-PL"/>
              </w:rPr>
            </w:pPr>
            <w:r>
              <w:rPr>
                <w:color w:val="auto"/>
                <w:sz w:val="18"/>
                <w:szCs w:val="18"/>
                <w:lang w:eastAsia="zh-CN"/>
              </w:rPr>
              <w:t>Predictor</w:t>
            </w:r>
          </w:p>
        </w:tc>
        <w:tc>
          <w:tcPr>
            <w:tcW w:w="1093" w:type="dxa"/>
            <w:shd w:val="clear" w:color="auto" w:fill="FFFFFF"/>
            <w:vAlign w:val="center"/>
          </w:tcPr>
          <w:p w14:paraId="70CA774E">
            <w:pPr>
              <w:pStyle w:val="23"/>
              <w:widowControl w:val="0"/>
              <w:spacing w:line="240" w:lineRule="auto"/>
              <w:ind w:firstLine="0"/>
              <w:jc w:val="center"/>
              <w:rPr>
                <w:color w:val="auto"/>
                <w:sz w:val="18"/>
                <w:szCs w:val="18"/>
                <w:lang w:eastAsia="pl-PL"/>
              </w:rPr>
            </w:pPr>
            <w:r>
              <w:rPr>
                <w:color w:val="auto"/>
                <w:sz w:val="18"/>
                <w:szCs w:val="18"/>
                <w:lang w:eastAsia="zh-CN"/>
              </w:rPr>
              <w:t>Non-Linear ML only</w:t>
            </w:r>
          </w:p>
        </w:tc>
        <w:tc>
          <w:tcPr>
            <w:tcW w:w="2444" w:type="dxa"/>
            <w:shd w:val="clear" w:color="auto" w:fill="FFFFFF"/>
            <w:vAlign w:val="center"/>
          </w:tcPr>
          <w:p w14:paraId="224FD1D7">
            <w:pPr>
              <w:pStyle w:val="23"/>
              <w:widowControl w:val="0"/>
              <w:spacing w:line="240" w:lineRule="auto"/>
              <w:ind w:firstLine="0"/>
              <w:jc w:val="center"/>
              <w:rPr>
                <w:color w:val="auto"/>
                <w:sz w:val="18"/>
                <w:szCs w:val="18"/>
                <w:lang w:eastAsia="pl-PL"/>
              </w:rPr>
            </w:pPr>
            <w:r>
              <w:rPr>
                <w:color w:val="auto"/>
                <w:sz w:val="18"/>
                <w:szCs w:val="18"/>
                <w:lang w:eastAsia="zh-CN"/>
              </w:rPr>
              <w:t>Removed for multicollinearity in econometric</w:t>
            </w:r>
          </w:p>
        </w:tc>
      </w:tr>
    </w:tbl>
    <w:p w14:paraId="75177DBA">
      <w:pPr>
        <w:spacing w:before="100" w:after="100" w:line="240" w:lineRule="auto"/>
        <w:ind w:right="-765" w:firstLine="0"/>
        <w:rPr>
          <w:color w:val="auto"/>
          <w:kern w:val="1"/>
          <w:sz w:val="18"/>
          <w:szCs w:val="18"/>
        </w:rPr>
      </w:pPr>
      <w:r>
        <w:rPr>
          <w:b/>
          <w:bCs/>
          <w:color w:val="auto"/>
          <w:kern w:val="1"/>
          <w:sz w:val="18"/>
          <w:szCs w:val="18"/>
        </w:rPr>
        <w:t xml:space="preserve">Source: </w:t>
      </w:r>
      <w:r>
        <w:rPr>
          <w:color w:val="auto"/>
          <w:kern w:val="1"/>
          <w:sz w:val="18"/>
          <w:szCs w:val="18"/>
        </w:rPr>
        <w:t>Own elaboration.</w:t>
      </w:r>
    </w:p>
    <w:p w14:paraId="213F2FE6">
      <w:pPr>
        <w:pStyle w:val="23"/>
        <w:spacing w:before="0" w:beforeAutospacing="0" w:after="0" w:afterAutospacing="0" w:line="240" w:lineRule="auto"/>
        <w:ind w:firstLine="400" w:firstLineChars="200"/>
        <w:rPr>
          <w:b w:val="0"/>
          <w:bCs w:val="0"/>
          <w:color w:val="auto"/>
          <w:szCs w:val="24"/>
          <w:highlight w:val="none"/>
          <w:lang w:eastAsia="zh-CN"/>
        </w:rPr>
      </w:pPr>
      <w:r>
        <w:rPr>
          <w:b w:val="0"/>
          <w:bCs w:val="0"/>
          <w:color w:val="auto"/>
          <w:szCs w:val="24"/>
          <w:highlight w:val="none"/>
          <w:lang w:eastAsia="zh-CN"/>
        </w:rPr>
        <w:t>In Table 6, we observe comprehensive overview of the variables used in the analysis and explains how they were included in the two modeling frameworks: econometric and machine learning. It is key to mention that the same main predictors are used in both models to make the comparison fair. Some semester-related variables are used only in the non-linear machine learning models. They are removed from the econometric model because they caused strong multicollinearity, which would make the regression results less reliable.</w:t>
      </w:r>
    </w:p>
    <w:p w14:paraId="101D509E">
      <w:pPr>
        <w:pStyle w:val="61"/>
        <w:numPr>
          <w:ilvl w:val="0"/>
          <w:numId w:val="6"/>
        </w:numPr>
        <w:spacing w:line="240" w:lineRule="auto"/>
        <w:ind w:left="227" w:firstLine="227"/>
        <w:rPr>
          <w:color w:val="auto"/>
        </w:rPr>
      </w:pPr>
      <w:r>
        <w:rPr>
          <w:color w:val="auto"/>
        </w:rPr>
        <w:t>Empirical Results</w:t>
      </w:r>
    </w:p>
    <w:p w14:paraId="4FAA6A81">
      <w:pPr>
        <w:pStyle w:val="74"/>
        <w:spacing w:line="240" w:lineRule="auto"/>
        <w:rPr>
          <w:color w:val="auto"/>
        </w:rPr>
      </w:pPr>
      <w:r>
        <w:rPr>
          <w:b/>
          <w:color w:val="auto"/>
          <w:szCs w:val="18"/>
        </w:rPr>
        <w:t>Table 7.</w:t>
      </w:r>
      <w:r>
        <w:rPr>
          <w:color w:val="auto"/>
          <w:szCs w:val="18"/>
        </w:rPr>
        <w:t xml:space="preserve"> Model Results</w:t>
      </w:r>
    </w:p>
    <w:tbl>
      <w:tblPr>
        <w:tblStyle w:val="27"/>
        <w:tblW w:w="72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1661"/>
        <w:gridCol w:w="1327"/>
        <w:gridCol w:w="1253"/>
        <w:gridCol w:w="1264"/>
        <w:gridCol w:w="1263"/>
      </w:tblGrid>
      <w:tr w14:paraId="3C18F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bottom w:val="double" w:color="auto" w:sz="4" w:space="0"/>
            </w:tcBorders>
          </w:tcPr>
          <w:p w14:paraId="57C4BE0A">
            <w:pPr>
              <w:pStyle w:val="23"/>
              <w:widowControl w:val="0"/>
              <w:spacing w:line="240" w:lineRule="auto"/>
              <w:ind w:firstLine="0"/>
              <w:jc w:val="center"/>
              <w:rPr>
                <w:b/>
                <w:bCs/>
                <w:color w:val="auto"/>
                <w:sz w:val="18"/>
                <w:szCs w:val="18"/>
                <w:lang w:eastAsia="zh-CN"/>
              </w:rPr>
            </w:pPr>
            <w:r>
              <w:rPr>
                <w:b/>
                <w:bCs/>
                <w:color w:val="auto"/>
                <w:sz w:val="18"/>
                <w:szCs w:val="18"/>
                <w:lang w:eastAsia="zh-CN"/>
              </w:rPr>
              <w:t>No</w:t>
            </w:r>
          </w:p>
        </w:tc>
        <w:tc>
          <w:tcPr>
            <w:tcW w:w="1661" w:type="dxa"/>
            <w:tcBorders>
              <w:bottom w:val="double" w:color="auto" w:sz="4" w:space="0"/>
            </w:tcBorders>
          </w:tcPr>
          <w:p w14:paraId="31BB640B">
            <w:pPr>
              <w:pStyle w:val="23"/>
              <w:widowControl w:val="0"/>
              <w:spacing w:line="240" w:lineRule="auto"/>
              <w:jc w:val="center"/>
              <w:rPr>
                <w:b/>
                <w:bCs/>
                <w:color w:val="auto"/>
                <w:sz w:val="18"/>
                <w:szCs w:val="18"/>
                <w:lang w:eastAsia="zh-CN"/>
              </w:rPr>
            </w:pPr>
            <w:r>
              <w:rPr>
                <w:b/>
                <w:bCs/>
                <w:color w:val="auto"/>
                <w:sz w:val="18"/>
                <w:szCs w:val="18"/>
                <w:lang w:eastAsia="zh-CN"/>
              </w:rPr>
              <w:t>Model</w:t>
            </w:r>
          </w:p>
        </w:tc>
        <w:tc>
          <w:tcPr>
            <w:tcW w:w="1327" w:type="dxa"/>
            <w:tcBorders>
              <w:bottom w:val="double" w:color="auto" w:sz="4" w:space="0"/>
            </w:tcBorders>
          </w:tcPr>
          <w:p w14:paraId="7CF9CEBD">
            <w:pPr>
              <w:pStyle w:val="23"/>
              <w:widowControl w:val="0"/>
              <w:spacing w:line="240" w:lineRule="auto"/>
              <w:jc w:val="center"/>
              <w:rPr>
                <w:b/>
                <w:bCs/>
                <w:color w:val="auto"/>
                <w:sz w:val="18"/>
                <w:szCs w:val="18"/>
                <w:lang w:eastAsia="zh-CN"/>
              </w:rPr>
            </w:pPr>
            <w:r>
              <w:rPr>
                <w:b/>
                <w:bCs/>
                <w:color w:val="auto"/>
                <w:sz w:val="18"/>
                <w:szCs w:val="18"/>
                <w:lang w:eastAsia="zh-CN"/>
              </w:rPr>
              <w:t>Dataset</w:t>
            </w:r>
          </w:p>
        </w:tc>
        <w:tc>
          <w:tcPr>
            <w:tcW w:w="1253" w:type="dxa"/>
            <w:tcBorders>
              <w:bottom w:val="double" w:color="auto" w:sz="4" w:space="0"/>
            </w:tcBorders>
          </w:tcPr>
          <w:p w14:paraId="167D1336">
            <w:pPr>
              <w:pStyle w:val="23"/>
              <w:widowControl w:val="0"/>
              <w:spacing w:line="240" w:lineRule="auto"/>
              <w:ind w:firstLine="0"/>
              <w:jc w:val="center"/>
              <w:rPr>
                <w:b/>
                <w:bCs/>
                <w:color w:val="auto"/>
                <w:sz w:val="18"/>
                <w:szCs w:val="18"/>
                <w:lang w:eastAsia="zh-CN"/>
              </w:rPr>
            </w:pPr>
            <w:r>
              <w:rPr>
                <w:b/>
                <w:bCs/>
                <w:color w:val="auto"/>
                <w:sz w:val="18"/>
                <w:szCs w:val="18"/>
                <w:lang w:eastAsia="zh-CN"/>
              </w:rPr>
              <w:t>Macro F1</w:t>
            </w:r>
          </w:p>
        </w:tc>
        <w:tc>
          <w:tcPr>
            <w:tcW w:w="1264" w:type="dxa"/>
            <w:tcBorders>
              <w:bottom w:val="double" w:color="auto" w:sz="4" w:space="0"/>
            </w:tcBorders>
          </w:tcPr>
          <w:p w14:paraId="5756BD7B">
            <w:pPr>
              <w:pStyle w:val="23"/>
              <w:widowControl w:val="0"/>
              <w:spacing w:line="240" w:lineRule="auto"/>
              <w:ind w:firstLine="0"/>
              <w:jc w:val="center"/>
              <w:rPr>
                <w:b/>
                <w:bCs/>
                <w:color w:val="auto"/>
                <w:sz w:val="18"/>
                <w:szCs w:val="18"/>
                <w:lang w:eastAsia="zh-CN"/>
              </w:rPr>
            </w:pPr>
            <w:r>
              <w:rPr>
                <w:b/>
                <w:bCs/>
                <w:color w:val="auto"/>
                <w:sz w:val="18"/>
                <w:szCs w:val="18"/>
                <w:lang w:eastAsia="zh-CN"/>
              </w:rPr>
              <w:t>Balanced Accuracy</w:t>
            </w:r>
          </w:p>
        </w:tc>
        <w:tc>
          <w:tcPr>
            <w:tcW w:w="1263" w:type="dxa"/>
            <w:tcBorders>
              <w:bottom w:val="double" w:color="auto" w:sz="4" w:space="0"/>
            </w:tcBorders>
          </w:tcPr>
          <w:p w14:paraId="35B000BC">
            <w:pPr>
              <w:pStyle w:val="23"/>
              <w:widowControl w:val="0"/>
              <w:spacing w:line="240" w:lineRule="auto"/>
              <w:ind w:firstLine="0"/>
              <w:jc w:val="center"/>
              <w:rPr>
                <w:b/>
                <w:bCs/>
                <w:color w:val="auto"/>
                <w:sz w:val="18"/>
                <w:szCs w:val="18"/>
                <w:lang w:eastAsia="zh-CN"/>
              </w:rPr>
            </w:pPr>
            <w:r>
              <w:rPr>
                <w:b/>
                <w:bCs/>
                <w:color w:val="auto"/>
                <w:sz w:val="18"/>
                <w:szCs w:val="18"/>
                <w:lang w:eastAsia="zh-CN"/>
              </w:rPr>
              <w:t>Log Loss</w:t>
            </w:r>
          </w:p>
        </w:tc>
      </w:tr>
      <w:tr w14:paraId="28BAF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top w:val="double" w:color="auto" w:sz="4" w:space="0"/>
            </w:tcBorders>
          </w:tcPr>
          <w:p w14:paraId="251914E4">
            <w:pPr>
              <w:pStyle w:val="23"/>
              <w:widowControl w:val="0"/>
              <w:spacing w:line="240" w:lineRule="auto"/>
              <w:ind w:firstLine="0"/>
              <w:jc w:val="center"/>
              <w:rPr>
                <w:color w:val="auto"/>
                <w:sz w:val="18"/>
                <w:szCs w:val="18"/>
                <w:lang w:eastAsia="zh-CN"/>
              </w:rPr>
            </w:pPr>
            <w:r>
              <w:rPr>
                <w:color w:val="auto"/>
                <w:sz w:val="18"/>
                <w:szCs w:val="18"/>
                <w:lang w:eastAsia="zh-CN"/>
              </w:rPr>
              <w:t>1</w:t>
            </w:r>
          </w:p>
        </w:tc>
        <w:tc>
          <w:tcPr>
            <w:tcW w:w="1661" w:type="dxa"/>
            <w:tcBorders>
              <w:top w:val="double" w:color="auto" w:sz="4" w:space="0"/>
            </w:tcBorders>
          </w:tcPr>
          <w:p w14:paraId="4E433C61">
            <w:pPr>
              <w:pStyle w:val="23"/>
              <w:widowControl w:val="0"/>
              <w:spacing w:line="240" w:lineRule="auto"/>
              <w:ind w:firstLine="0"/>
              <w:jc w:val="center"/>
              <w:rPr>
                <w:color w:val="auto"/>
                <w:sz w:val="18"/>
                <w:szCs w:val="18"/>
                <w:lang w:eastAsia="zh-CN"/>
              </w:rPr>
            </w:pPr>
            <w:r>
              <w:rPr>
                <w:color w:val="auto"/>
                <w:sz w:val="18"/>
                <w:szCs w:val="18"/>
                <w:lang w:eastAsia="zh-CN"/>
              </w:rPr>
              <w:t>Logistic Regression</w:t>
            </w:r>
          </w:p>
        </w:tc>
        <w:tc>
          <w:tcPr>
            <w:tcW w:w="1327" w:type="dxa"/>
            <w:tcBorders>
              <w:top w:val="double" w:color="auto" w:sz="4" w:space="0"/>
            </w:tcBorders>
          </w:tcPr>
          <w:p w14:paraId="04702F02">
            <w:pPr>
              <w:pStyle w:val="23"/>
              <w:widowControl w:val="0"/>
              <w:spacing w:line="240" w:lineRule="auto"/>
              <w:jc w:val="center"/>
              <w:rPr>
                <w:color w:val="auto"/>
                <w:sz w:val="18"/>
                <w:szCs w:val="18"/>
                <w:lang w:eastAsia="zh-CN"/>
              </w:rPr>
            </w:pPr>
            <w:r>
              <w:rPr>
                <w:color w:val="auto"/>
                <w:sz w:val="18"/>
                <w:szCs w:val="18"/>
                <w:lang w:eastAsia="zh-CN"/>
              </w:rPr>
              <w:t>Train</w:t>
            </w:r>
          </w:p>
        </w:tc>
        <w:tc>
          <w:tcPr>
            <w:tcW w:w="1253" w:type="dxa"/>
            <w:tcBorders>
              <w:top w:val="double" w:color="auto" w:sz="4" w:space="0"/>
            </w:tcBorders>
          </w:tcPr>
          <w:p w14:paraId="5EC80411">
            <w:pPr>
              <w:pStyle w:val="23"/>
              <w:widowControl w:val="0"/>
              <w:spacing w:line="240" w:lineRule="auto"/>
              <w:jc w:val="center"/>
              <w:rPr>
                <w:color w:val="auto"/>
                <w:sz w:val="18"/>
                <w:szCs w:val="18"/>
                <w:lang w:eastAsia="zh-CN"/>
              </w:rPr>
            </w:pPr>
            <w:r>
              <w:rPr>
                <w:color w:val="auto"/>
                <w:sz w:val="18"/>
                <w:szCs w:val="18"/>
                <w:lang w:eastAsia="zh-CN"/>
              </w:rPr>
              <w:t>0.6333</w:t>
            </w:r>
          </w:p>
        </w:tc>
        <w:tc>
          <w:tcPr>
            <w:tcW w:w="1264" w:type="dxa"/>
            <w:tcBorders>
              <w:top w:val="double" w:color="auto" w:sz="4" w:space="0"/>
            </w:tcBorders>
          </w:tcPr>
          <w:p w14:paraId="3A50DDB0">
            <w:pPr>
              <w:pStyle w:val="23"/>
              <w:widowControl w:val="0"/>
              <w:spacing w:line="240" w:lineRule="auto"/>
              <w:ind w:firstLine="0"/>
              <w:jc w:val="center"/>
              <w:rPr>
                <w:color w:val="auto"/>
                <w:sz w:val="18"/>
                <w:szCs w:val="18"/>
                <w:lang w:eastAsia="zh-CN"/>
              </w:rPr>
            </w:pPr>
            <w:r>
              <w:rPr>
                <w:color w:val="auto"/>
                <w:sz w:val="18"/>
                <w:szCs w:val="18"/>
                <w:lang w:eastAsia="zh-CN"/>
              </w:rPr>
              <w:t>0.8097</w:t>
            </w:r>
          </w:p>
        </w:tc>
        <w:tc>
          <w:tcPr>
            <w:tcW w:w="1263" w:type="dxa"/>
            <w:tcBorders>
              <w:top w:val="double" w:color="auto" w:sz="4" w:space="0"/>
            </w:tcBorders>
          </w:tcPr>
          <w:p w14:paraId="4B5576CA">
            <w:pPr>
              <w:pStyle w:val="23"/>
              <w:widowControl w:val="0"/>
              <w:spacing w:line="240" w:lineRule="auto"/>
              <w:ind w:firstLine="0"/>
              <w:jc w:val="center"/>
              <w:rPr>
                <w:color w:val="auto"/>
                <w:sz w:val="18"/>
                <w:szCs w:val="18"/>
                <w:lang w:eastAsia="zh-CN"/>
              </w:rPr>
            </w:pPr>
            <w:r>
              <w:rPr>
                <w:color w:val="auto"/>
                <w:sz w:val="18"/>
                <w:szCs w:val="18"/>
                <w:lang w:eastAsia="zh-CN"/>
              </w:rPr>
              <w:t>0.6662</w:t>
            </w:r>
          </w:p>
        </w:tc>
      </w:tr>
      <w:tr w14:paraId="4B494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26FBF79E">
            <w:pPr>
              <w:pStyle w:val="23"/>
              <w:widowControl w:val="0"/>
              <w:spacing w:line="240" w:lineRule="auto"/>
              <w:ind w:firstLine="0"/>
              <w:jc w:val="center"/>
              <w:rPr>
                <w:color w:val="auto"/>
                <w:sz w:val="18"/>
                <w:szCs w:val="18"/>
                <w:lang w:eastAsia="zh-CN"/>
              </w:rPr>
            </w:pPr>
            <w:r>
              <w:rPr>
                <w:color w:val="auto"/>
                <w:sz w:val="18"/>
                <w:szCs w:val="18"/>
                <w:lang w:eastAsia="zh-CN"/>
              </w:rPr>
              <w:t>2</w:t>
            </w:r>
          </w:p>
        </w:tc>
        <w:tc>
          <w:tcPr>
            <w:tcW w:w="1661" w:type="dxa"/>
          </w:tcPr>
          <w:p w14:paraId="2B57210C">
            <w:pPr>
              <w:pStyle w:val="23"/>
              <w:widowControl w:val="0"/>
              <w:spacing w:line="240" w:lineRule="auto"/>
              <w:ind w:firstLine="0"/>
              <w:jc w:val="center"/>
              <w:rPr>
                <w:color w:val="auto"/>
                <w:sz w:val="18"/>
                <w:szCs w:val="18"/>
                <w:lang w:eastAsia="zh-CN"/>
              </w:rPr>
            </w:pPr>
            <w:r>
              <w:rPr>
                <w:color w:val="auto"/>
                <w:sz w:val="18"/>
                <w:szCs w:val="18"/>
                <w:lang w:eastAsia="zh-CN"/>
              </w:rPr>
              <w:t>Logistic Regression</w:t>
            </w:r>
          </w:p>
        </w:tc>
        <w:tc>
          <w:tcPr>
            <w:tcW w:w="1327" w:type="dxa"/>
          </w:tcPr>
          <w:p w14:paraId="489B8920">
            <w:pPr>
              <w:pStyle w:val="23"/>
              <w:widowControl w:val="0"/>
              <w:spacing w:line="240" w:lineRule="auto"/>
              <w:jc w:val="center"/>
              <w:rPr>
                <w:color w:val="auto"/>
                <w:sz w:val="18"/>
                <w:szCs w:val="18"/>
                <w:lang w:eastAsia="zh-CN"/>
              </w:rPr>
            </w:pPr>
            <w:r>
              <w:rPr>
                <w:color w:val="auto"/>
                <w:sz w:val="18"/>
                <w:szCs w:val="18"/>
                <w:lang w:eastAsia="zh-CN"/>
              </w:rPr>
              <w:t>Validation</w:t>
            </w:r>
          </w:p>
        </w:tc>
        <w:tc>
          <w:tcPr>
            <w:tcW w:w="1253" w:type="dxa"/>
          </w:tcPr>
          <w:p w14:paraId="11E85A35">
            <w:pPr>
              <w:pStyle w:val="23"/>
              <w:widowControl w:val="0"/>
              <w:spacing w:line="240" w:lineRule="auto"/>
              <w:jc w:val="center"/>
              <w:rPr>
                <w:color w:val="auto"/>
                <w:sz w:val="18"/>
                <w:szCs w:val="18"/>
                <w:lang w:eastAsia="zh-CN"/>
              </w:rPr>
            </w:pPr>
            <w:r>
              <w:rPr>
                <w:color w:val="auto"/>
                <w:sz w:val="18"/>
                <w:szCs w:val="18"/>
                <w:lang w:eastAsia="zh-CN"/>
              </w:rPr>
              <w:t>0.6214</w:t>
            </w:r>
          </w:p>
        </w:tc>
        <w:tc>
          <w:tcPr>
            <w:tcW w:w="1264" w:type="dxa"/>
          </w:tcPr>
          <w:p w14:paraId="19D964F8">
            <w:pPr>
              <w:pStyle w:val="23"/>
              <w:widowControl w:val="0"/>
              <w:spacing w:line="240" w:lineRule="auto"/>
              <w:ind w:firstLine="0"/>
              <w:jc w:val="center"/>
              <w:rPr>
                <w:color w:val="auto"/>
                <w:sz w:val="18"/>
                <w:szCs w:val="18"/>
                <w:lang w:eastAsia="zh-CN"/>
              </w:rPr>
            </w:pPr>
            <w:r>
              <w:rPr>
                <w:color w:val="auto"/>
                <w:sz w:val="18"/>
                <w:szCs w:val="18"/>
                <w:lang w:eastAsia="zh-CN"/>
              </w:rPr>
              <w:t>0.8089</w:t>
            </w:r>
          </w:p>
        </w:tc>
        <w:tc>
          <w:tcPr>
            <w:tcW w:w="1263" w:type="dxa"/>
          </w:tcPr>
          <w:p w14:paraId="44033D09">
            <w:pPr>
              <w:pStyle w:val="23"/>
              <w:widowControl w:val="0"/>
              <w:spacing w:line="240" w:lineRule="auto"/>
              <w:ind w:firstLine="0"/>
              <w:jc w:val="center"/>
              <w:rPr>
                <w:color w:val="auto"/>
                <w:sz w:val="18"/>
                <w:szCs w:val="18"/>
                <w:lang w:eastAsia="zh-CN"/>
              </w:rPr>
            </w:pPr>
            <w:r>
              <w:rPr>
                <w:color w:val="auto"/>
                <w:sz w:val="18"/>
                <w:szCs w:val="18"/>
                <w:lang w:eastAsia="zh-CN"/>
              </w:rPr>
              <w:t>0.6649</w:t>
            </w:r>
          </w:p>
        </w:tc>
      </w:tr>
      <w:tr w14:paraId="5F277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bottom w:val="double" w:color="auto" w:sz="4" w:space="0"/>
            </w:tcBorders>
          </w:tcPr>
          <w:p w14:paraId="55F28BC7">
            <w:pPr>
              <w:pStyle w:val="23"/>
              <w:widowControl w:val="0"/>
              <w:spacing w:line="240" w:lineRule="auto"/>
              <w:ind w:firstLine="0"/>
              <w:jc w:val="center"/>
              <w:rPr>
                <w:color w:val="auto"/>
                <w:sz w:val="18"/>
                <w:szCs w:val="18"/>
                <w:lang w:eastAsia="zh-CN"/>
              </w:rPr>
            </w:pPr>
            <w:r>
              <w:rPr>
                <w:color w:val="auto"/>
                <w:sz w:val="18"/>
                <w:szCs w:val="18"/>
                <w:lang w:eastAsia="zh-CN"/>
              </w:rPr>
              <w:t>3</w:t>
            </w:r>
          </w:p>
        </w:tc>
        <w:tc>
          <w:tcPr>
            <w:tcW w:w="1661" w:type="dxa"/>
            <w:tcBorders>
              <w:bottom w:val="double" w:color="auto" w:sz="4" w:space="0"/>
            </w:tcBorders>
          </w:tcPr>
          <w:p w14:paraId="54E93279">
            <w:pPr>
              <w:pStyle w:val="23"/>
              <w:widowControl w:val="0"/>
              <w:spacing w:line="240" w:lineRule="auto"/>
              <w:ind w:firstLine="0"/>
              <w:jc w:val="center"/>
              <w:rPr>
                <w:color w:val="auto"/>
                <w:sz w:val="18"/>
                <w:szCs w:val="18"/>
                <w:lang w:eastAsia="zh-CN"/>
              </w:rPr>
            </w:pPr>
            <w:r>
              <w:rPr>
                <w:color w:val="auto"/>
                <w:sz w:val="18"/>
                <w:szCs w:val="18"/>
                <w:lang w:eastAsia="zh-CN"/>
              </w:rPr>
              <w:t>Logistic Regression</w:t>
            </w:r>
          </w:p>
        </w:tc>
        <w:tc>
          <w:tcPr>
            <w:tcW w:w="1327" w:type="dxa"/>
            <w:tcBorders>
              <w:bottom w:val="double" w:color="auto" w:sz="4" w:space="0"/>
            </w:tcBorders>
          </w:tcPr>
          <w:p w14:paraId="11423C5A">
            <w:pPr>
              <w:pStyle w:val="23"/>
              <w:widowControl w:val="0"/>
              <w:spacing w:line="240" w:lineRule="auto"/>
              <w:jc w:val="center"/>
              <w:rPr>
                <w:color w:val="auto"/>
                <w:sz w:val="18"/>
                <w:szCs w:val="18"/>
                <w:lang w:eastAsia="zh-CN"/>
              </w:rPr>
            </w:pPr>
            <w:r>
              <w:rPr>
                <w:color w:val="auto"/>
                <w:sz w:val="18"/>
                <w:szCs w:val="18"/>
                <w:lang w:eastAsia="zh-CN"/>
              </w:rPr>
              <w:t>Test</w:t>
            </w:r>
          </w:p>
        </w:tc>
        <w:tc>
          <w:tcPr>
            <w:tcW w:w="1253" w:type="dxa"/>
            <w:tcBorders>
              <w:bottom w:val="double" w:color="auto" w:sz="4" w:space="0"/>
            </w:tcBorders>
          </w:tcPr>
          <w:p w14:paraId="35120DDB">
            <w:pPr>
              <w:pStyle w:val="23"/>
              <w:widowControl w:val="0"/>
              <w:spacing w:line="240" w:lineRule="auto"/>
              <w:jc w:val="center"/>
              <w:rPr>
                <w:color w:val="auto"/>
                <w:sz w:val="18"/>
                <w:szCs w:val="18"/>
                <w:lang w:eastAsia="zh-CN"/>
              </w:rPr>
            </w:pPr>
            <w:r>
              <w:rPr>
                <w:color w:val="auto"/>
                <w:sz w:val="18"/>
                <w:szCs w:val="18"/>
                <w:lang w:eastAsia="zh-CN"/>
              </w:rPr>
              <w:t>0.6609</w:t>
            </w:r>
          </w:p>
        </w:tc>
        <w:tc>
          <w:tcPr>
            <w:tcW w:w="1264" w:type="dxa"/>
            <w:tcBorders>
              <w:bottom w:val="double" w:color="auto" w:sz="4" w:space="0"/>
            </w:tcBorders>
          </w:tcPr>
          <w:p w14:paraId="10AA5723">
            <w:pPr>
              <w:pStyle w:val="23"/>
              <w:widowControl w:val="0"/>
              <w:spacing w:line="240" w:lineRule="auto"/>
              <w:ind w:firstLine="0"/>
              <w:jc w:val="center"/>
              <w:rPr>
                <w:color w:val="auto"/>
                <w:sz w:val="18"/>
                <w:szCs w:val="18"/>
                <w:lang w:eastAsia="zh-CN"/>
              </w:rPr>
            </w:pPr>
            <w:r>
              <w:rPr>
                <w:color w:val="auto"/>
                <w:sz w:val="18"/>
                <w:szCs w:val="18"/>
                <w:lang w:eastAsia="zh-CN"/>
              </w:rPr>
              <w:t>0.8507</w:t>
            </w:r>
          </w:p>
        </w:tc>
        <w:tc>
          <w:tcPr>
            <w:tcW w:w="1263" w:type="dxa"/>
            <w:tcBorders>
              <w:bottom w:val="double" w:color="auto" w:sz="4" w:space="0"/>
            </w:tcBorders>
          </w:tcPr>
          <w:p w14:paraId="71DDA59D">
            <w:pPr>
              <w:pStyle w:val="23"/>
              <w:widowControl w:val="0"/>
              <w:spacing w:line="240" w:lineRule="auto"/>
              <w:ind w:firstLine="0"/>
              <w:jc w:val="center"/>
              <w:rPr>
                <w:color w:val="auto"/>
                <w:sz w:val="18"/>
                <w:szCs w:val="18"/>
                <w:lang w:eastAsia="zh-CN"/>
              </w:rPr>
            </w:pPr>
            <w:r>
              <w:rPr>
                <w:color w:val="auto"/>
                <w:sz w:val="18"/>
                <w:szCs w:val="18"/>
                <w:lang w:eastAsia="zh-CN"/>
              </w:rPr>
              <w:t>0.6367</w:t>
            </w:r>
          </w:p>
        </w:tc>
      </w:tr>
      <w:tr w14:paraId="0690C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top w:val="double" w:color="auto" w:sz="4" w:space="0"/>
            </w:tcBorders>
          </w:tcPr>
          <w:p w14:paraId="083F6DB5">
            <w:pPr>
              <w:pStyle w:val="23"/>
              <w:widowControl w:val="0"/>
              <w:spacing w:line="240" w:lineRule="auto"/>
              <w:ind w:firstLine="0"/>
              <w:jc w:val="center"/>
              <w:rPr>
                <w:color w:val="auto"/>
                <w:sz w:val="18"/>
                <w:szCs w:val="18"/>
                <w:lang w:eastAsia="zh-CN"/>
              </w:rPr>
            </w:pPr>
            <w:r>
              <w:rPr>
                <w:color w:val="auto"/>
                <w:sz w:val="18"/>
                <w:szCs w:val="18"/>
                <w:lang w:eastAsia="zh-CN"/>
              </w:rPr>
              <w:t>1</w:t>
            </w:r>
          </w:p>
        </w:tc>
        <w:tc>
          <w:tcPr>
            <w:tcW w:w="1661" w:type="dxa"/>
            <w:tcBorders>
              <w:top w:val="double" w:color="auto" w:sz="4" w:space="0"/>
            </w:tcBorders>
          </w:tcPr>
          <w:p w14:paraId="046067AA">
            <w:pPr>
              <w:pStyle w:val="23"/>
              <w:widowControl w:val="0"/>
              <w:spacing w:line="240" w:lineRule="auto"/>
              <w:ind w:firstLine="0"/>
              <w:jc w:val="center"/>
              <w:rPr>
                <w:color w:val="auto"/>
                <w:sz w:val="18"/>
                <w:szCs w:val="18"/>
                <w:lang w:eastAsia="zh-CN"/>
              </w:rPr>
            </w:pPr>
            <w:r>
              <w:rPr>
                <w:color w:val="auto"/>
                <w:sz w:val="18"/>
                <w:szCs w:val="18"/>
                <w:lang w:eastAsia="zh-CN"/>
              </w:rPr>
              <w:t>Linear SVM</w:t>
            </w:r>
          </w:p>
        </w:tc>
        <w:tc>
          <w:tcPr>
            <w:tcW w:w="1327" w:type="dxa"/>
            <w:tcBorders>
              <w:top w:val="double" w:color="auto" w:sz="4" w:space="0"/>
            </w:tcBorders>
          </w:tcPr>
          <w:p w14:paraId="01758D00">
            <w:pPr>
              <w:pStyle w:val="23"/>
              <w:widowControl w:val="0"/>
              <w:spacing w:line="240" w:lineRule="auto"/>
              <w:jc w:val="center"/>
              <w:rPr>
                <w:color w:val="auto"/>
                <w:sz w:val="18"/>
                <w:szCs w:val="18"/>
                <w:lang w:eastAsia="zh-CN"/>
              </w:rPr>
            </w:pPr>
            <w:r>
              <w:rPr>
                <w:color w:val="auto"/>
                <w:sz w:val="18"/>
                <w:szCs w:val="18"/>
                <w:lang w:eastAsia="zh-CN"/>
              </w:rPr>
              <w:t>Train</w:t>
            </w:r>
          </w:p>
        </w:tc>
        <w:tc>
          <w:tcPr>
            <w:tcW w:w="1253" w:type="dxa"/>
            <w:tcBorders>
              <w:top w:val="double" w:color="auto" w:sz="4" w:space="0"/>
            </w:tcBorders>
          </w:tcPr>
          <w:p w14:paraId="15AEDADF">
            <w:pPr>
              <w:pStyle w:val="23"/>
              <w:widowControl w:val="0"/>
              <w:spacing w:line="240" w:lineRule="auto"/>
              <w:jc w:val="center"/>
              <w:rPr>
                <w:color w:val="auto"/>
                <w:sz w:val="18"/>
                <w:szCs w:val="18"/>
                <w:lang w:eastAsia="zh-CN"/>
              </w:rPr>
            </w:pPr>
            <w:r>
              <w:rPr>
                <w:color w:val="auto"/>
                <w:sz w:val="18"/>
                <w:szCs w:val="18"/>
                <w:lang w:eastAsia="zh-CN"/>
              </w:rPr>
              <w:t>0.6253</w:t>
            </w:r>
          </w:p>
        </w:tc>
        <w:tc>
          <w:tcPr>
            <w:tcW w:w="1264" w:type="dxa"/>
            <w:tcBorders>
              <w:top w:val="double" w:color="auto" w:sz="4" w:space="0"/>
            </w:tcBorders>
          </w:tcPr>
          <w:p w14:paraId="700F5462">
            <w:pPr>
              <w:pStyle w:val="23"/>
              <w:widowControl w:val="0"/>
              <w:spacing w:line="240" w:lineRule="auto"/>
              <w:ind w:firstLine="0"/>
              <w:jc w:val="center"/>
              <w:rPr>
                <w:color w:val="auto"/>
                <w:sz w:val="18"/>
                <w:szCs w:val="18"/>
                <w:lang w:eastAsia="zh-CN"/>
              </w:rPr>
            </w:pPr>
            <w:r>
              <w:rPr>
                <w:color w:val="auto"/>
                <w:sz w:val="18"/>
                <w:szCs w:val="18"/>
                <w:lang w:eastAsia="zh-CN"/>
              </w:rPr>
              <w:t>0.8012</w:t>
            </w:r>
          </w:p>
        </w:tc>
        <w:tc>
          <w:tcPr>
            <w:tcW w:w="1263" w:type="dxa"/>
            <w:tcBorders>
              <w:top w:val="double" w:color="auto" w:sz="4" w:space="0"/>
            </w:tcBorders>
          </w:tcPr>
          <w:p w14:paraId="172521DD">
            <w:pPr>
              <w:pStyle w:val="23"/>
              <w:widowControl w:val="0"/>
              <w:spacing w:line="240" w:lineRule="auto"/>
              <w:ind w:firstLine="0"/>
              <w:jc w:val="center"/>
              <w:rPr>
                <w:color w:val="auto"/>
                <w:sz w:val="18"/>
                <w:szCs w:val="18"/>
                <w:lang w:eastAsia="zh-CN"/>
              </w:rPr>
            </w:pPr>
            <w:r>
              <w:rPr>
                <w:color w:val="auto"/>
                <w:sz w:val="18"/>
                <w:szCs w:val="18"/>
                <w:lang w:eastAsia="zh-CN"/>
              </w:rPr>
              <w:t>0.6725</w:t>
            </w:r>
          </w:p>
        </w:tc>
      </w:tr>
      <w:tr w14:paraId="7603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7B1CAEBC">
            <w:pPr>
              <w:pStyle w:val="23"/>
              <w:widowControl w:val="0"/>
              <w:spacing w:line="240" w:lineRule="auto"/>
              <w:ind w:firstLine="0"/>
              <w:jc w:val="center"/>
              <w:rPr>
                <w:color w:val="auto"/>
                <w:sz w:val="18"/>
                <w:szCs w:val="18"/>
                <w:lang w:eastAsia="zh-CN"/>
              </w:rPr>
            </w:pPr>
            <w:r>
              <w:rPr>
                <w:color w:val="auto"/>
                <w:sz w:val="18"/>
                <w:szCs w:val="18"/>
                <w:lang w:eastAsia="zh-CN"/>
              </w:rPr>
              <w:t>2</w:t>
            </w:r>
          </w:p>
        </w:tc>
        <w:tc>
          <w:tcPr>
            <w:tcW w:w="1661" w:type="dxa"/>
          </w:tcPr>
          <w:p w14:paraId="16685B02">
            <w:pPr>
              <w:pStyle w:val="23"/>
              <w:widowControl w:val="0"/>
              <w:spacing w:line="240" w:lineRule="auto"/>
              <w:ind w:firstLine="0"/>
              <w:jc w:val="center"/>
              <w:rPr>
                <w:color w:val="auto"/>
                <w:sz w:val="18"/>
                <w:szCs w:val="18"/>
                <w:lang w:eastAsia="zh-CN"/>
              </w:rPr>
            </w:pPr>
            <w:r>
              <w:rPr>
                <w:color w:val="auto"/>
                <w:sz w:val="18"/>
                <w:szCs w:val="18"/>
                <w:lang w:eastAsia="zh-CN"/>
              </w:rPr>
              <w:t>Linear SVM</w:t>
            </w:r>
          </w:p>
        </w:tc>
        <w:tc>
          <w:tcPr>
            <w:tcW w:w="1327" w:type="dxa"/>
          </w:tcPr>
          <w:p w14:paraId="3C78272E">
            <w:pPr>
              <w:pStyle w:val="23"/>
              <w:widowControl w:val="0"/>
              <w:spacing w:line="240" w:lineRule="auto"/>
              <w:jc w:val="center"/>
              <w:rPr>
                <w:color w:val="auto"/>
                <w:sz w:val="18"/>
                <w:szCs w:val="18"/>
                <w:lang w:eastAsia="zh-CN"/>
              </w:rPr>
            </w:pPr>
            <w:r>
              <w:rPr>
                <w:color w:val="auto"/>
                <w:sz w:val="18"/>
                <w:szCs w:val="18"/>
                <w:lang w:eastAsia="zh-CN"/>
              </w:rPr>
              <w:t>Validation</w:t>
            </w:r>
          </w:p>
        </w:tc>
        <w:tc>
          <w:tcPr>
            <w:tcW w:w="1253" w:type="dxa"/>
          </w:tcPr>
          <w:p w14:paraId="6883E62D">
            <w:pPr>
              <w:pStyle w:val="23"/>
              <w:widowControl w:val="0"/>
              <w:spacing w:line="240" w:lineRule="auto"/>
              <w:jc w:val="center"/>
              <w:rPr>
                <w:color w:val="auto"/>
                <w:sz w:val="18"/>
                <w:szCs w:val="18"/>
                <w:lang w:eastAsia="zh-CN"/>
              </w:rPr>
            </w:pPr>
            <w:r>
              <w:rPr>
                <w:color w:val="auto"/>
                <w:sz w:val="18"/>
                <w:szCs w:val="18"/>
                <w:lang w:eastAsia="zh-CN"/>
              </w:rPr>
              <w:t>0.6131</w:t>
            </w:r>
          </w:p>
        </w:tc>
        <w:tc>
          <w:tcPr>
            <w:tcW w:w="1264" w:type="dxa"/>
          </w:tcPr>
          <w:p w14:paraId="27223DB7">
            <w:pPr>
              <w:pStyle w:val="23"/>
              <w:widowControl w:val="0"/>
              <w:spacing w:line="240" w:lineRule="auto"/>
              <w:ind w:firstLine="0"/>
              <w:jc w:val="center"/>
              <w:rPr>
                <w:color w:val="auto"/>
                <w:sz w:val="18"/>
                <w:szCs w:val="18"/>
                <w:lang w:eastAsia="zh-CN"/>
              </w:rPr>
            </w:pPr>
            <w:r>
              <w:rPr>
                <w:color w:val="auto"/>
                <w:sz w:val="18"/>
                <w:szCs w:val="18"/>
                <w:lang w:eastAsia="zh-CN"/>
              </w:rPr>
              <w:t>0.8029</w:t>
            </w:r>
          </w:p>
        </w:tc>
        <w:tc>
          <w:tcPr>
            <w:tcW w:w="1263" w:type="dxa"/>
          </w:tcPr>
          <w:p w14:paraId="67A66880">
            <w:pPr>
              <w:pStyle w:val="23"/>
              <w:widowControl w:val="0"/>
              <w:spacing w:line="240" w:lineRule="auto"/>
              <w:ind w:firstLine="0"/>
              <w:jc w:val="center"/>
              <w:rPr>
                <w:color w:val="auto"/>
                <w:sz w:val="18"/>
                <w:szCs w:val="18"/>
                <w:lang w:eastAsia="zh-CN"/>
              </w:rPr>
            </w:pPr>
            <w:r>
              <w:rPr>
                <w:color w:val="auto"/>
                <w:sz w:val="18"/>
                <w:szCs w:val="18"/>
                <w:lang w:eastAsia="zh-CN"/>
              </w:rPr>
              <w:t>0.6601</w:t>
            </w:r>
          </w:p>
        </w:tc>
      </w:tr>
      <w:tr w14:paraId="14ECC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bottom w:val="double" w:color="auto" w:sz="4" w:space="0"/>
            </w:tcBorders>
          </w:tcPr>
          <w:p w14:paraId="0CD7DA36">
            <w:pPr>
              <w:pStyle w:val="23"/>
              <w:widowControl w:val="0"/>
              <w:spacing w:line="240" w:lineRule="auto"/>
              <w:ind w:firstLine="0"/>
              <w:jc w:val="center"/>
              <w:rPr>
                <w:color w:val="auto"/>
                <w:sz w:val="18"/>
                <w:szCs w:val="18"/>
                <w:lang w:eastAsia="zh-CN"/>
              </w:rPr>
            </w:pPr>
            <w:r>
              <w:rPr>
                <w:color w:val="auto"/>
                <w:sz w:val="18"/>
                <w:szCs w:val="18"/>
                <w:lang w:eastAsia="zh-CN"/>
              </w:rPr>
              <w:t>3</w:t>
            </w:r>
          </w:p>
        </w:tc>
        <w:tc>
          <w:tcPr>
            <w:tcW w:w="1661" w:type="dxa"/>
            <w:tcBorders>
              <w:bottom w:val="double" w:color="auto" w:sz="4" w:space="0"/>
            </w:tcBorders>
          </w:tcPr>
          <w:p w14:paraId="4FDAF5E6">
            <w:pPr>
              <w:pStyle w:val="23"/>
              <w:widowControl w:val="0"/>
              <w:spacing w:line="240" w:lineRule="auto"/>
              <w:ind w:firstLine="0"/>
              <w:jc w:val="center"/>
              <w:rPr>
                <w:color w:val="auto"/>
                <w:sz w:val="18"/>
                <w:szCs w:val="18"/>
                <w:lang w:eastAsia="zh-CN"/>
              </w:rPr>
            </w:pPr>
            <w:r>
              <w:rPr>
                <w:color w:val="auto"/>
                <w:sz w:val="18"/>
                <w:szCs w:val="18"/>
                <w:lang w:eastAsia="zh-CN"/>
              </w:rPr>
              <w:t>Linear SVM</w:t>
            </w:r>
          </w:p>
        </w:tc>
        <w:tc>
          <w:tcPr>
            <w:tcW w:w="1327" w:type="dxa"/>
            <w:tcBorders>
              <w:bottom w:val="double" w:color="auto" w:sz="4" w:space="0"/>
            </w:tcBorders>
          </w:tcPr>
          <w:p w14:paraId="1E185FCF">
            <w:pPr>
              <w:pStyle w:val="23"/>
              <w:widowControl w:val="0"/>
              <w:spacing w:line="240" w:lineRule="auto"/>
              <w:jc w:val="center"/>
              <w:rPr>
                <w:color w:val="auto"/>
                <w:sz w:val="18"/>
                <w:szCs w:val="18"/>
                <w:lang w:eastAsia="zh-CN"/>
              </w:rPr>
            </w:pPr>
            <w:r>
              <w:rPr>
                <w:color w:val="auto"/>
                <w:sz w:val="18"/>
                <w:szCs w:val="18"/>
                <w:lang w:eastAsia="zh-CN"/>
              </w:rPr>
              <w:t>Test</w:t>
            </w:r>
          </w:p>
        </w:tc>
        <w:tc>
          <w:tcPr>
            <w:tcW w:w="1253" w:type="dxa"/>
            <w:tcBorders>
              <w:bottom w:val="double" w:color="auto" w:sz="4" w:space="0"/>
            </w:tcBorders>
          </w:tcPr>
          <w:p w14:paraId="28204737">
            <w:pPr>
              <w:pStyle w:val="23"/>
              <w:widowControl w:val="0"/>
              <w:spacing w:line="240" w:lineRule="auto"/>
              <w:jc w:val="center"/>
              <w:rPr>
                <w:color w:val="auto"/>
                <w:sz w:val="18"/>
                <w:szCs w:val="18"/>
                <w:lang w:eastAsia="zh-CN"/>
              </w:rPr>
            </w:pPr>
            <w:r>
              <w:rPr>
                <w:color w:val="auto"/>
                <w:sz w:val="18"/>
                <w:szCs w:val="18"/>
                <w:lang w:eastAsia="zh-CN"/>
              </w:rPr>
              <w:t>0.6532</w:t>
            </w:r>
          </w:p>
        </w:tc>
        <w:tc>
          <w:tcPr>
            <w:tcW w:w="1264" w:type="dxa"/>
            <w:tcBorders>
              <w:bottom w:val="double" w:color="auto" w:sz="4" w:space="0"/>
            </w:tcBorders>
          </w:tcPr>
          <w:p w14:paraId="7958D99A">
            <w:pPr>
              <w:pStyle w:val="23"/>
              <w:widowControl w:val="0"/>
              <w:spacing w:line="240" w:lineRule="auto"/>
              <w:ind w:firstLine="0"/>
              <w:jc w:val="center"/>
              <w:rPr>
                <w:color w:val="auto"/>
                <w:sz w:val="18"/>
                <w:szCs w:val="18"/>
                <w:lang w:eastAsia="zh-CN"/>
              </w:rPr>
            </w:pPr>
            <w:r>
              <w:rPr>
                <w:color w:val="auto"/>
                <w:sz w:val="18"/>
                <w:szCs w:val="18"/>
                <w:lang w:eastAsia="zh-CN"/>
              </w:rPr>
              <w:t>0.8438</w:t>
            </w:r>
          </w:p>
        </w:tc>
        <w:tc>
          <w:tcPr>
            <w:tcW w:w="1263" w:type="dxa"/>
            <w:tcBorders>
              <w:bottom w:val="double" w:color="auto" w:sz="4" w:space="0"/>
            </w:tcBorders>
          </w:tcPr>
          <w:p w14:paraId="60A0D3DE">
            <w:pPr>
              <w:pStyle w:val="23"/>
              <w:widowControl w:val="0"/>
              <w:spacing w:line="240" w:lineRule="auto"/>
              <w:ind w:firstLine="0"/>
              <w:jc w:val="center"/>
              <w:rPr>
                <w:color w:val="auto"/>
                <w:sz w:val="18"/>
                <w:szCs w:val="18"/>
                <w:lang w:eastAsia="zh-CN"/>
              </w:rPr>
            </w:pPr>
            <w:r>
              <w:rPr>
                <w:color w:val="auto"/>
                <w:sz w:val="18"/>
                <w:szCs w:val="18"/>
                <w:lang w:eastAsia="zh-CN"/>
              </w:rPr>
              <w:t>0.6381</w:t>
            </w:r>
          </w:p>
        </w:tc>
      </w:tr>
      <w:tr w14:paraId="642C3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top w:val="double" w:color="auto" w:sz="4" w:space="0"/>
            </w:tcBorders>
          </w:tcPr>
          <w:p w14:paraId="5B8C10A1">
            <w:pPr>
              <w:pStyle w:val="23"/>
              <w:widowControl w:val="0"/>
              <w:spacing w:line="240" w:lineRule="auto"/>
              <w:ind w:firstLine="0"/>
              <w:jc w:val="center"/>
              <w:rPr>
                <w:color w:val="auto"/>
                <w:sz w:val="18"/>
                <w:szCs w:val="18"/>
                <w:lang w:eastAsia="zh-CN"/>
              </w:rPr>
            </w:pPr>
            <w:r>
              <w:rPr>
                <w:color w:val="auto"/>
                <w:sz w:val="18"/>
                <w:szCs w:val="18"/>
                <w:lang w:eastAsia="zh-CN"/>
              </w:rPr>
              <w:t>1</w:t>
            </w:r>
          </w:p>
        </w:tc>
        <w:tc>
          <w:tcPr>
            <w:tcW w:w="1661" w:type="dxa"/>
            <w:tcBorders>
              <w:top w:val="double" w:color="auto" w:sz="4" w:space="0"/>
            </w:tcBorders>
          </w:tcPr>
          <w:p w14:paraId="2766E9A6">
            <w:pPr>
              <w:pStyle w:val="23"/>
              <w:widowControl w:val="0"/>
              <w:spacing w:line="240" w:lineRule="auto"/>
              <w:ind w:firstLine="0"/>
              <w:jc w:val="center"/>
              <w:rPr>
                <w:color w:val="auto"/>
                <w:sz w:val="18"/>
                <w:szCs w:val="18"/>
                <w:lang w:eastAsia="zh-CN"/>
              </w:rPr>
            </w:pPr>
            <w:r>
              <w:rPr>
                <w:color w:val="auto"/>
                <w:sz w:val="18"/>
                <w:szCs w:val="18"/>
                <w:lang w:eastAsia="zh-CN"/>
              </w:rPr>
              <w:t>Non-linear SVM</w:t>
            </w:r>
          </w:p>
        </w:tc>
        <w:tc>
          <w:tcPr>
            <w:tcW w:w="1327" w:type="dxa"/>
            <w:tcBorders>
              <w:top w:val="double" w:color="auto" w:sz="4" w:space="0"/>
            </w:tcBorders>
          </w:tcPr>
          <w:p w14:paraId="321E5421">
            <w:pPr>
              <w:pStyle w:val="23"/>
              <w:widowControl w:val="0"/>
              <w:spacing w:line="240" w:lineRule="auto"/>
              <w:jc w:val="center"/>
              <w:rPr>
                <w:color w:val="auto"/>
                <w:sz w:val="18"/>
                <w:szCs w:val="18"/>
                <w:lang w:eastAsia="zh-CN"/>
              </w:rPr>
            </w:pPr>
            <w:r>
              <w:rPr>
                <w:color w:val="auto"/>
                <w:sz w:val="18"/>
                <w:szCs w:val="18"/>
                <w:lang w:eastAsia="zh-CN"/>
              </w:rPr>
              <w:t>Train</w:t>
            </w:r>
          </w:p>
        </w:tc>
        <w:tc>
          <w:tcPr>
            <w:tcW w:w="1253" w:type="dxa"/>
            <w:tcBorders>
              <w:top w:val="double" w:color="auto" w:sz="4" w:space="0"/>
            </w:tcBorders>
          </w:tcPr>
          <w:p w14:paraId="508E5320">
            <w:pPr>
              <w:pStyle w:val="23"/>
              <w:widowControl w:val="0"/>
              <w:spacing w:line="240" w:lineRule="auto"/>
              <w:jc w:val="center"/>
              <w:rPr>
                <w:color w:val="auto"/>
                <w:sz w:val="18"/>
                <w:szCs w:val="18"/>
                <w:lang w:eastAsia="zh-CN"/>
              </w:rPr>
            </w:pPr>
            <w:r>
              <w:rPr>
                <w:color w:val="auto"/>
                <w:sz w:val="18"/>
                <w:szCs w:val="18"/>
                <w:lang w:eastAsia="zh-CN"/>
              </w:rPr>
              <w:t>0.7749</w:t>
            </w:r>
          </w:p>
        </w:tc>
        <w:tc>
          <w:tcPr>
            <w:tcW w:w="1264" w:type="dxa"/>
            <w:tcBorders>
              <w:top w:val="double" w:color="auto" w:sz="4" w:space="0"/>
            </w:tcBorders>
          </w:tcPr>
          <w:p w14:paraId="7F17C3FE">
            <w:pPr>
              <w:pStyle w:val="23"/>
              <w:widowControl w:val="0"/>
              <w:spacing w:line="240" w:lineRule="auto"/>
              <w:ind w:firstLine="0"/>
              <w:jc w:val="center"/>
              <w:rPr>
                <w:color w:val="auto"/>
                <w:sz w:val="18"/>
                <w:szCs w:val="18"/>
                <w:lang w:eastAsia="zh-CN"/>
              </w:rPr>
            </w:pPr>
            <w:r>
              <w:rPr>
                <w:color w:val="auto"/>
                <w:sz w:val="18"/>
                <w:szCs w:val="18"/>
                <w:lang w:eastAsia="zh-CN"/>
              </w:rPr>
              <w:t>0.8830</w:t>
            </w:r>
          </w:p>
        </w:tc>
        <w:tc>
          <w:tcPr>
            <w:tcW w:w="1263" w:type="dxa"/>
            <w:tcBorders>
              <w:top w:val="double" w:color="auto" w:sz="4" w:space="0"/>
            </w:tcBorders>
          </w:tcPr>
          <w:p w14:paraId="4DC6F184">
            <w:pPr>
              <w:pStyle w:val="23"/>
              <w:widowControl w:val="0"/>
              <w:spacing w:line="240" w:lineRule="auto"/>
              <w:ind w:firstLine="0"/>
              <w:jc w:val="center"/>
              <w:rPr>
                <w:color w:val="auto"/>
                <w:sz w:val="18"/>
                <w:szCs w:val="18"/>
                <w:lang w:eastAsia="zh-CN"/>
              </w:rPr>
            </w:pPr>
            <w:r>
              <w:rPr>
                <w:color w:val="auto"/>
                <w:sz w:val="18"/>
                <w:szCs w:val="18"/>
                <w:lang w:eastAsia="zh-CN"/>
              </w:rPr>
              <w:t>0.4553</w:t>
            </w:r>
          </w:p>
        </w:tc>
      </w:tr>
      <w:tr w14:paraId="768B3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0EC9AAE3">
            <w:pPr>
              <w:pStyle w:val="23"/>
              <w:widowControl w:val="0"/>
              <w:spacing w:line="240" w:lineRule="auto"/>
              <w:ind w:firstLine="0"/>
              <w:jc w:val="center"/>
              <w:rPr>
                <w:color w:val="auto"/>
                <w:sz w:val="18"/>
                <w:szCs w:val="18"/>
                <w:lang w:eastAsia="zh-CN"/>
              </w:rPr>
            </w:pPr>
            <w:r>
              <w:rPr>
                <w:color w:val="auto"/>
                <w:sz w:val="18"/>
                <w:szCs w:val="18"/>
                <w:lang w:eastAsia="zh-CN"/>
              </w:rPr>
              <w:t>2</w:t>
            </w:r>
          </w:p>
        </w:tc>
        <w:tc>
          <w:tcPr>
            <w:tcW w:w="1661" w:type="dxa"/>
          </w:tcPr>
          <w:p w14:paraId="69AD760B">
            <w:pPr>
              <w:pStyle w:val="23"/>
              <w:widowControl w:val="0"/>
              <w:spacing w:line="240" w:lineRule="auto"/>
              <w:ind w:firstLine="0"/>
              <w:jc w:val="center"/>
              <w:rPr>
                <w:color w:val="auto"/>
                <w:sz w:val="18"/>
                <w:szCs w:val="18"/>
                <w:lang w:eastAsia="zh-CN"/>
              </w:rPr>
            </w:pPr>
            <w:r>
              <w:rPr>
                <w:color w:val="auto"/>
                <w:sz w:val="18"/>
                <w:szCs w:val="18"/>
                <w:lang w:eastAsia="zh-CN"/>
              </w:rPr>
              <w:t>Non-linear SVM</w:t>
            </w:r>
          </w:p>
        </w:tc>
        <w:tc>
          <w:tcPr>
            <w:tcW w:w="1327" w:type="dxa"/>
          </w:tcPr>
          <w:p w14:paraId="3E966AF3">
            <w:pPr>
              <w:pStyle w:val="23"/>
              <w:widowControl w:val="0"/>
              <w:spacing w:line="240" w:lineRule="auto"/>
              <w:jc w:val="center"/>
              <w:rPr>
                <w:color w:val="auto"/>
                <w:sz w:val="18"/>
                <w:szCs w:val="18"/>
                <w:lang w:eastAsia="zh-CN"/>
              </w:rPr>
            </w:pPr>
            <w:r>
              <w:rPr>
                <w:color w:val="auto"/>
                <w:sz w:val="18"/>
                <w:szCs w:val="18"/>
                <w:lang w:eastAsia="zh-CN"/>
              </w:rPr>
              <w:t>Validation</w:t>
            </w:r>
          </w:p>
        </w:tc>
        <w:tc>
          <w:tcPr>
            <w:tcW w:w="1253" w:type="dxa"/>
          </w:tcPr>
          <w:p w14:paraId="2B91B5C9">
            <w:pPr>
              <w:pStyle w:val="23"/>
              <w:widowControl w:val="0"/>
              <w:spacing w:line="240" w:lineRule="auto"/>
              <w:jc w:val="center"/>
              <w:rPr>
                <w:color w:val="auto"/>
                <w:sz w:val="18"/>
                <w:szCs w:val="18"/>
                <w:lang w:eastAsia="zh-CN"/>
              </w:rPr>
            </w:pPr>
            <w:r>
              <w:rPr>
                <w:color w:val="auto"/>
                <w:sz w:val="18"/>
                <w:szCs w:val="18"/>
                <w:lang w:eastAsia="zh-CN"/>
              </w:rPr>
              <w:t>0.6997</w:t>
            </w:r>
          </w:p>
        </w:tc>
        <w:tc>
          <w:tcPr>
            <w:tcW w:w="1264" w:type="dxa"/>
          </w:tcPr>
          <w:p w14:paraId="0FF79AC4">
            <w:pPr>
              <w:pStyle w:val="23"/>
              <w:widowControl w:val="0"/>
              <w:spacing w:line="240" w:lineRule="auto"/>
              <w:ind w:firstLine="0"/>
              <w:jc w:val="center"/>
              <w:rPr>
                <w:color w:val="auto"/>
                <w:sz w:val="18"/>
                <w:szCs w:val="18"/>
                <w:lang w:eastAsia="zh-CN"/>
              </w:rPr>
            </w:pPr>
            <w:r>
              <w:rPr>
                <w:color w:val="auto"/>
                <w:sz w:val="18"/>
                <w:szCs w:val="18"/>
                <w:lang w:eastAsia="zh-CN"/>
              </w:rPr>
              <w:t>0.8650</w:t>
            </w:r>
          </w:p>
        </w:tc>
        <w:tc>
          <w:tcPr>
            <w:tcW w:w="1263" w:type="dxa"/>
          </w:tcPr>
          <w:p w14:paraId="28F91444">
            <w:pPr>
              <w:pStyle w:val="23"/>
              <w:widowControl w:val="0"/>
              <w:spacing w:line="240" w:lineRule="auto"/>
              <w:ind w:firstLine="0"/>
              <w:jc w:val="center"/>
              <w:rPr>
                <w:color w:val="auto"/>
                <w:sz w:val="18"/>
                <w:szCs w:val="18"/>
                <w:lang w:eastAsia="zh-CN"/>
              </w:rPr>
            </w:pPr>
            <w:r>
              <w:rPr>
                <w:color w:val="auto"/>
                <w:sz w:val="18"/>
                <w:szCs w:val="18"/>
                <w:lang w:eastAsia="zh-CN"/>
              </w:rPr>
              <w:t>0.5423</w:t>
            </w:r>
          </w:p>
        </w:tc>
      </w:tr>
      <w:tr w14:paraId="14F8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bottom w:val="double" w:color="auto" w:sz="4" w:space="0"/>
            </w:tcBorders>
          </w:tcPr>
          <w:p w14:paraId="56D5B8BF">
            <w:pPr>
              <w:pStyle w:val="23"/>
              <w:widowControl w:val="0"/>
              <w:spacing w:line="240" w:lineRule="auto"/>
              <w:ind w:firstLine="0"/>
              <w:jc w:val="center"/>
              <w:rPr>
                <w:color w:val="auto"/>
                <w:sz w:val="18"/>
                <w:szCs w:val="18"/>
                <w:lang w:eastAsia="zh-CN"/>
              </w:rPr>
            </w:pPr>
            <w:r>
              <w:rPr>
                <w:color w:val="auto"/>
                <w:sz w:val="18"/>
                <w:szCs w:val="18"/>
                <w:lang w:eastAsia="zh-CN"/>
              </w:rPr>
              <w:t>3</w:t>
            </w:r>
          </w:p>
        </w:tc>
        <w:tc>
          <w:tcPr>
            <w:tcW w:w="1661" w:type="dxa"/>
            <w:tcBorders>
              <w:bottom w:val="double" w:color="auto" w:sz="4" w:space="0"/>
            </w:tcBorders>
          </w:tcPr>
          <w:p w14:paraId="601D6D3F">
            <w:pPr>
              <w:pStyle w:val="23"/>
              <w:widowControl w:val="0"/>
              <w:spacing w:line="240" w:lineRule="auto"/>
              <w:ind w:firstLine="0"/>
              <w:jc w:val="center"/>
              <w:rPr>
                <w:color w:val="auto"/>
                <w:sz w:val="18"/>
                <w:szCs w:val="18"/>
                <w:lang w:eastAsia="zh-CN"/>
              </w:rPr>
            </w:pPr>
            <w:r>
              <w:rPr>
                <w:color w:val="auto"/>
                <w:sz w:val="18"/>
                <w:szCs w:val="18"/>
                <w:lang w:eastAsia="zh-CN"/>
              </w:rPr>
              <w:t>Non-linear SVM</w:t>
            </w:r>
          </w:p>
        </w:tc>
        <w:tc>
          <w:tcPr>
            <w:tcW w:w="1327" w:type="dxa"/>
            <w:tcBorders>
              <w:bottom w:val="double" w:color="auto" w:sz="4" w:space="0"/>
            </w:tcBorders>
          </w:tcPr>
          <w:p w14:paraId="63F4FF5F">
            <w:pPr>
              <w:pStyle w:val="23"/>
              <w:widowControl w:val="0"/>
              <w:spacing w:line="240" w:lineRule="auto"/>
              <w:jc w:val="center"/>
              <w:rPr>
                <w:color w:val="auto"/>
                <w:sz w:val="18"/>
                <w:szCs w:val="18"/>
                <w:lang w:eastAsia="zh-CN"/>
              </w:rPr>
            </w:pPr>
            <w:r>
              <w:rPr>
                <w:color w:val="auto"/>
                <w:sz w:val="18"/>
                <w:szCs w:val="18"/>
                <w:lang w:eastAsia="zh-CN"/>
              </w:rPr>
              <w:t>Test</w:t>
            </w:r>
          </w:p>
        </w:tc>
        <w:tc>
          <w:tcPr>
            <w:tcW w:w="1253" w:type="dxa"/>
            <w:tcBorders>
              <w:bottom w:val="double" w:color="auto" w:sz="4" w:space="0"/>
            </w:tcBorders>
          </w:tcPr>
          <w:p w14:paraId="48F5D885">
            <w:pPr>
              <w:pStyle w:val="23"/>
              <w:widowControl w:val="0"/>
              <w:spacing w:line="240" w:lineRule="auto"/>
              <w:jc w:val="center"/>
              <w:rPr>
                <w:color w:val="auto"/>
                <w:sz w:val="18"/>
                <w:szCs w:val="18"/>
                <w:lang w:eastAsia="zh-CN"/>
              </w:rPr>
            </w:pPr>
            <w:r>
              <w:rPr>
                <w:color w:val="auto"/>
                <w:sz w:val="18"/>
                <w:szCs w:val="18"/>
                <w:lang w:eastAsia="zh-CN"/>
              </w:rPr>
              <w:t>0.6994</w:t>
            </w:r>
          </w:p>
        </w:tc>
        <w:tc>
          <w:tcPr>
            <w:tcW w:w="1264" w:type="dxa"/>
            <w:tcBorders>
              <w:bottom w:val="double" w:color="auto" w:sz="4" w:space="0"/>
            </w:tcBorders>
          </w:tcPr>
          <w:p w14:paraId="1A804D92">
            <w:pPr>
              <w:pStyle w:val="23"/>
              <w:widowControl w:val="0"/>
              <w:spacing w:line="240" w:lineRule="auto"/>
              <w:ind w:firstLine="0"/>
              <w:jc w:val="center"/>
              <w:rPr>
                <w:color w:val="auto"/>
                <w:sz w:val="18"/>
                <w:szCs w:val="18"/>
                <w:lang w:eastAsia="zh-CN"/>
              </w:rPr>
            </w:pPr>
            <w:r>
              <w:rPr>
                <w:color w:val="auto"/>
                <w:sz w:val="18"/>
                <w:szCs w:val="18"/>
                <w:lang w:eastAsia="zh-CN"/>
              </w:rPr>
              <w:t>0.8628</w:t>
            </w:r>
          </w:p>
        </w:tc>
        <w:tc>
          <w:tcPr>
            <w:tcW w:w="1263" w:type="dxa"/>
            <w:tcBorders>
              <w:bottom w:val="double" w:color="auto" w:sz="4" w:space="0"/>
            </w:tcBorders>
          </w:tcPr>
          <w:p w14:paraId="472C990E">
            <w:pPr>
              <w:pStyle w:val="23"/>
              <w:widowControl w:val="0"/>
              <w:spacing w:line="240" w:lineRule="auto"/>
              <w:ind w:firstLine="0"/>
              <w:jc w:val="center"/>
              <w:rPr>
                <w:color w:val="auto"/>
                <w:sz w:val="18"/>
                <w:szCs w:val="18"/>
                <w:lang w:eastAsia="zh-CN"/>
              </w:rPr>
            </w:pPr>
            <w:r>
              <w:rPr>
                <w:color w:val="auto"/>
                <w:sz w:val="18"/>
                <w:szCs w:val="18"/>
                <w:lang w:eastAsia="zh-CN"/>
              </w:rPr>
              <w:t>0.5545</w:t>
            </w:r>
          </w:p>
        </w:tc>
      </w:tr>
      <w:tr w14:paraId="1F3D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top w:val="double" w:color="auto" w:sz="4" w:space="0"/>
            </w:tcBorders>
          </w:tcPr>
          <w:p w14:paraId="1C21D0AE">
            <w:pPr>
              <w:pStyle w:val="23"/>
              <w:widowControl w:val="0"/>
              <w:spacing w:line="240" w:lineRule="auto"/>
              <w:ind w:firstLine="0"/>
              <w:jc w:val="center"/>
              <w:rPr>
                <w:color w:val="auto"/>
                <w:sz w:val="18"/>
                <w:szCs w:val="18"/>
                <w:lang w:eastAsia="zh-CN"/>
              </w:rPr>
            </w:pPr>
            <w:r>
              <w:rPr>
                <w:color w:val="auto"/>
                <w:sz w:val="18"/>
                <w:szCs w:val="18"/>
                <w:lang w:eastAsia="zh-CN"/>
              </w:rPr>
              <w:t>1</w:t>
            </w:r>
          </w:p>
        </w:tc>
        <w:tc>
          <w:tcPr>
            <w:tcW w:w="1661" w:type="dxa"/>
            <w:tcBorders>
              <w:top w:val="double" w:color="auto" w:sz="4" w:space="0"/>
            </w:tcBorders>
          </w:tcPr>
          <w:p w14:paraId="584F5E67">
            <w:pPr>
              <w:pStyle w:val="23"/>
              <w:widowControl w:val="0"/>
              <w:spacing w:line="240" w:lineRule="auto"/>
              <w:ind w:firstLine="0"/>
              <w:jc w:val="center"/>
              <w:rPr>
                <w:color w:val="auto"/>
                <w:sz w:val="18"/>
                <w:szCs w:val="18"/>
                <w:lang w:eastAsia="zh-CN"/>
              </w:rPr>
            </w:pPr>
            <w:r>
              <w:rPr>
                <w:color w:val="auto"/>
                <w:sz w:val="18"/>
                <w:szCs w:val="18"/>
                <w:lang w:eastAsia="zh-CN"/>
              </w:rPr>
              <w:t>Random Forest</w:t>
            </w:r>
          </w:p>
        </w:tc>
        <w:tc>
          <w:tcPr>
            <w:tcW w:w="1327" w:type="dxa"/>
            <w:tcBorders>
              <w:top w:val="double" w:color="auto" w:sz="4" w:space="0"/>
            </w:tcBorders>
          </w:tcPr>
          <w:p w14:paraId="77E58249">
            <w:pPr>
              <w:pStyle w:val="23"/>
              <w:widowControl w:val="0"/>
              <w:spacing w:line="240" w:lineRule="auto"/>
              <w:jc w:val="center"/>
              <w:rPr>
                <w:color w:val="auto"/>
                <w:sz w:val="18"/>
                <w:szCs w:val="18"/>
                <w:lang w:eastAsia="zh-CN"/>
              </w:rPr>
            </w:pPr>
            <w:r>
              <w:rPr>
                <w:color w:val="auto"/>
                <w:sz w:val="18"/>
                <w:szCs w:val="18"/>
                <w:lang w:eastAsia="zh-CN"/>
              </w:rPr>
              <w:t>Train</w:t>
            </w:r>
          </w:p>
        </w:tc>
        <w:tc>
          <w:tcPr>
            <w:tcW w:w="1253" w:type="dxa"/>
            <w:tcBorders>
              <w:top w:val="double" w:color="auto" w:sz="4" w:space="0"/>
            </w:tcBorders>
          </w:tcPr>
          <w:p w14:paraId="3AC427CD">
            <w:pPr>
              <w:pStyle w:val="23"/>
              <w:widowControl w:val="0"/>
              <w:spacing w:line="240" w:lineRule="auto"/>
              <w:jc w:val="center"/>
              <w:rPr>
                <w:color w:val="auto"/>
                <w:sz w:val="18"/>
                <w:szCs w:val="18"/>
                <w:lang w:eastAsia="zh-CN"/>
              </w:rPr>
            </w:pPr>
            <w:r>
              <w:rPr>
                <w:color w:val="auto"/>
                <w:sz w:val="18"/>
                <w:szCs w:val="18"/>
                <w:lang w:eastAsia="zh-CN"/>
              </w:rPr>
              <w:t>0.6727</w:t>
            </w:r>
          </w:p>
        </w:tc>
        <w:tc>
          <w:tcPr>
            <w:tcW w:w="1264" w:type="dxa"/>
            <w:tcBorders>
              <w:top w:val="double" w:color="auto" w:sz="4" w:space="0"/>
            </w:tcBorders>
          </w:tcPr>
          <w:p w14:paraId="1237B1ED">
            <w:pPr>
              <w:pStyle w:val="23"/>
              <w:widowControl w:val="0"/>
              <w:spacing w:line="240" w:lineRule="auto"/>
              <w:ind w:firstLine="0"/>
              <w:jc w:val="center"/>
              <w:rPr>
                <w:color w:val="auto"/>
                <w:sz w:val="18"/>
                <w:szCs w:val="18"/>
                <w:lang w:eastAsia="zh-CN"/>
              </w:rPr>
            </w:pPr>
            <w:r>
              <w:rPr>
                <w:color w:val="auto"/>
                <w:sz w:val="18"/>
                <w:szCs w:val="18"/>
                <w:lang w:eastAsia="zh-CN"/>
              </w:rPr>
              <w:t>0.8542</w:t>
            </w:r>
          </w:p>
        </w:tc>
        <w:tc>
          <w:tcPr>
            <w:tcW w:w="1263" w:type="dxa"/>
            <w:tcBorders>
              <w:top w:val="double" w:color="auto" w:sz="4" w:space="0"/>
            </w:tcBorders>
          </w:tcPr>
          <w:p w14:paraId="7DB18B63">
            <w:pPr>
              <w:pStyle w:val="23"/>
              <w:widowControl w:val="0"/>
              <w:spacing w:line="240" w:lineRule="auto"/>
              <w:ind w:firstLine="0"/>
              <w:jc w:val="center"/>
              <w:rPr>
                <w:color w:val="auto"/>
                <w:sz w:val="18"/>
                <w:szCs w:val="18"/>
                <w:lang w:eastAsia="zh-CN"/>
              </w:rPr>
            </w:pPr>
            <w:r>
              <w:rPr>
                <w:color w:val="auto"/>
                <w:sz w:val="18"/>
                <w:szCs w:val="18"/>
                <w:lang w:eastAsia="zh-CN"/>
              </w:rPr>
              <w:t>0.5565</w:t>
            </w:r>
          </w:p>
        </w:tc>
      </w:tr>
      <w:tr w14:paraId="4AC09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10CACF6C">
            <w:pPr>
              <w:pStyle w:val="23"/>
              <w:widowControl w:val="0"/>
              <w:spacing w:line="240" w:lineRule="auto"/>
              <w:ind w:firstLine="0"/>
              <w:jc w:val="center"/>
              <w:rPr>
                <w:color w:val="auto"/>
                <w:sz w:val="18"/>
                <w:szCs w:val="18"/>
                <w:lang w:eastAsia="zh-CN"/>
              </w:rPr>
            </w:pPr>
            <w:r>
              <w:rPr>
                <w:color w:val="auto"/>
                <w:sz w:val="18"/>
                <w:szCs w:val="18"/>
                <w:lang w:eastAsia="zh-CN"/>
              </w:rPr>
              <w:t>2</w:t>
            </w:r>
          </w:p>
        </w:tc>
        <w:tc>
          <w:tcPr>
            <w:tcW w:w="1661" w:type="dxa"/>
          </w:tcPr>
          <w:p w14:paraId="4F840CCB">
            <w:pPr>
              <w:pStyle w:val="23"/>
              <w:widowControl w:val="0"/>
              <w:spacing w:line="240" w:lineRule="auto"/>
              <w:ind w:firstLine="0"/>
              <w:jc w:val="center"/>
              <w:rPr>
                <w:color w:val="auto"/>
                <w:sz w:val="18"/>
                <w:szCs w:val="18"/>
                <w:lang w:eastAsia="zh-CN"/>
              </w:rPr>
            </w:pPr>
            <w:r>
              <w:rPr>
                <w:color w:val="auto"/>
                <w:sz w:val="18"/>
                <w:szCs w:val="18"/>
                <w:lang w:eastAsia="zh-CN"/>
              </w:rPr>
              <w:t>Random Forest</w:t>
            </w:r>
          </w:p>
        </w:tc>
        <w:tc>
          <w:tcPr>
            <w:tcW w:w="1327" w:type="dxa"/>
          </w:tcPr>
          <w:p w14:paraId="17EBA82E">
            <w:pPr>
              <w:pStyle w:val="23"/>
              <w:widowControl w:val="0"/>
              <w:spacing w:line="240" w:lineRule="auto"/>
              <w:jc w:val="center"/>
              <w:rPr>
                <w:color w:val="auto"/>
                <w:sz w:val="18"/>
                <w:szCs w:val="18"/>
                <w:lang w:eastAsia="zh-CN"/>
              </w:rPr>
            </w:pPr>
            <w:r>
              <w:rPr>
                <w:color w:val="auto"/>
                <w:sz w:val="18"/>
                <w:szCs w:val="18"/>
                <w:lang w:eastAsia="zh-CN"/>
              </w:rPr>
              <w:t>Validation</w:t>
            </w:r>
          </w:p>
        </w:tc>
        <w:tc>
          <w:tcPr>
            <w:tcW w:w="1253" w:type="dxa"/>
          </w:tcPr>
          <w:p w14:paraId="469FBDC9">
            <w:pPr>
              <w:pStyle w:val="23"/>
              <w:widowControl w:val="0"/>
              <w:spacing w:line="240" w:lineRule="auto"/>
              <w:jc w:val="center"/>
              <w:rPr>
                <w:color w:val="auto"/>
                <w:sz w:val="18"/>
                <w:szCs w:val="18"/>
                <w:lang w:eastAsia="zh-CN"/>
              </w:rPr>
            </w:pPr>
            <w:r>
              <w:rPr>
                <w:color w:val="auto"/>
                <w:sz w:val="18"/>
                <w:szCs w:val="18"/>
                <w:lang w:eastAsia="zh-CN"/>
              </w:rPr>
              <w:t>0.5735</w:t>
            </w:r>
          </w:p>
        </w:tc>
        <w:tc>
          <w:tcPr>
            <w:tcW w:w="1264" w:type="dxa"/>
          </w:tcPr>
          <w:p w14:paraId="79409006">
            <w:pPr>
              <w:pStyle w:val="23"/>
              <w:widowControl w:val="0"/>
              <w:spacing w:line="240" w:lineRule="auto"/>
              <w:ind w:firstLine="0"/>
              <w:jc w:val="center"/>
              <w:rPr>
                <w:color w:val="auto"/>
                <w:sz w:val="18"/>
                <w:szCs w:val="18"/>
                <w:lang w:eastAsia="zh-CN"/>
              </w:rPr>
            </w:pPr>
            <w:r>
              <w:rPr>
                <w:color w:val="auto"/>
                <w:sz w:val="18"/>
                <w:szCs w:val="18"/>
                <w:lang w:eastAsia="zh-CN"/>
              </w:rPr>
              <w:t>0.8356</w:t>
            </w:r>
          </w:p>
        </w:tc>
        <w:tc>
          <w:tcPr>
            <w:tcW w:w="1263" w:type="dxa"/>
          </w:tcPr>
          <w:p w14:paraId="3CE22560">
            <w:pPr>
              <w:pStyle w:val="23"/>
              <w:widowControl w:val="0"/>
              <w:spacing w:line="240" w:lineRule="auto"/>
              <w:ind w:firstLine="0"/>
              <w:jc w:val="center"/>
              <w:rPr>
                <w:color w:val="auto"/>
                <w:sz w:val="18"/>
                <w:szCs w:val="18"/>
                <w:lang w:eastAsia="zh-CN"/>
              </w:rPr>
            </w:pPr>
            <w:r>
              <w:rPr>
                <w:color w:val="auto"/>
                <w:sz w:val="18"/>
                <w:szCs w:val="18"/>
                <w:lang w:eastAsia="zh-CN"/>
              </w:rPr>
              <w:t>0.7469</w:t>
            </w:r>
          </w:p>
        </w:tc>
      </w:tr>
      <w:tr w14:paraId="41E3E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bottom w:val="double" w:color="auto" w:sz="4" w:space="0"/>
            </w:tcBorders>
          </w:tcPr>
          <w:p w14:paraId="5A45B4A3">
            <w:pPr>
              <w:pStyle w:val="23"/>
              <w:widowControl w:val="0"/>
              <w:spacing w:line="240" w:lineRule="auto"/>
              <w:ind w:firstLine="0"/>
              <w:jc w:val="center"/>
              <w:rPr>
                <w:color w:val="auto"/>
                <w:sz w:val="18"/>
                <w:szCs w:val="18"/>
                <w:lang w:eastAsia="zh-CN"/>
              </w:rPr>
            </w:pPr>
            <w:r>
              <w:rPr>
                <w:color w:val="auto"/>
                <w:sz w:val="18"/>
                <w:szCs w:val="18"/>
                <w:lang w:eastAsia="zh-CN"/>
              </w:rPr>
              <w:t>3</w:t>
            </w:r>
          </w:p>
        </w:tc>
        <w:tc>
          <w:tcPr>
            <w:tcW w:w="1661" w:type="dxa"/>
            <w:tcBorders>
              <w:bottom w:val="double" w:color="auto" w:sz="4" w:space="0"/>
            </w:tcBorders>
          </w:tcPr>
          <w:p w14:paraId="3F2FBD7D">
            <w:pPr>
              <w:pStyle w:val="23"/>
              <w:widowControl w:val="0"/>
              <w:spacing w:line="240" w:lineRule="auto"/>
              <w:ind w:firstLine="0"/>
              <w:jc w:val="center"/>
              <w:rPr>
                <w:color w:val="auto"/>
                <w:sz w:val="18"/>
                <w:szCs w:val="18"/>
                <w:lang w:eastAsia="zh-CN"/>
              </w:rPr>
            </w:pPr>
            <w:r>
              <w:rPr>
                <w:color w:val="auto"/>
                <w:sz w:val="18"/>
                <w:szCs w:val="18"/>
                <w:lang w:eastAsia="zh-CN"/>
              </w:rPr>
              <w:t>Random Forest</w:t>
            </w:r>
          </w:p>
        </w:tc>
        <w:tc>
          <w:tcPr>
            <w:tcW w:w="1327" w:type="dxa"/>
            <w:tcBorders>
              <w:bottom w:val="double" w:color="auto" w:sz="4" w:space="0"/>
            </w:tcBorders>
          </w:tcPr>
          <w:p w14:paraId="258529F2">
            <w:pPr>
              <w:pStyle w:val="23"/>
              <w:widowControl w:val="0"/>
              <w:spacing w:line="240" w:lineRule="auto"/>
              <w:jc w:val="center"/>
              <w:rPr>
                <w:color w:val="auto"/>
                <w:sz w:val="18"/>
                <w:szCs w:val="18"/>
                <w:lang w:eastAsia="zh-CN"/>
              </w:rPr>
            </w:pPr>
            <w:r>
              <w:rPr>
                <w:color w:val="auto"/>
                <w:sz w:val="18"/>
                <w:szCs w:val="18"/>
                <w:lang w:eastAsia="zh-CN"/>
              </w:rPr>
              <w:t>Test</w:t>
            </w:r>
          </w:p>
        </w:tc>
        <w:tc>
          <w:tcPr>
            <w:tcW w:w="1253" w:type="dxa"/>
            <w:tcBorders>
              <w:bottom w:val="double" w:color="auto" w:sz="4" w:space="0"/>
            </w:tcBorders>
          </w:tcPr>
          <w:p w14:paraId="00A6F1F9">
            <w:pPr>
              <w:pStyle w:val="23"/>
              <w:widowControl w:val="0"/>
              <w:spacing w:line="240" w:lineRule="auto"/>
              <w:jc w:val="center"/>
              <w:rPr>
                <w:color w:val="auto"/>
                <w:sz w:val="18"/>
                <w:szCs w:val="18"/>
                <w:lang w:eastAsia="zh-CN"/>
              </w:rPr>
            </w:pPr>
            <w:r>
              <w:rPr>
                <w:color w:val="auto"/>
                <w:sz w:val="18"/>
                <w:szCs w:val="18"/>
                <w:lang w:eastAsia="zh-CN"/>
              </w:rPr>
              <w:t>0.6151</w:t>
            </w:r>
          </w:p>
        </w:tc>
        <w:tc>
          <w:tcPr>
            <w:tcW w:w="1264" w:type="dxa"/>
            <w:tcBorders>
              <w:bottom w:val="double" w:color="auto" w:sz="4" w:space="0"/>
            </w:tcBorders>
          </w:tcPr>
          <w:p w14:paraId="1F9D94C2">
            <w:pPr>
              <w:pStyle w:val="23"/>
              <w:widowControl w:val="0"/>
              <w:spacing w:line="240" w:lineRule="auto"/>
              <w:ind w:firstLine="0"/>
              <w:jc w:val="center"/>
              <w:rPr>
                <w:color w:val="auto"/>
                <w:sz w:val="18"/>
                <w:szCs w:val="18"/>
                <w:lang w:eastAsia="zh-CN"/>
              </w:rPr>
            </w:pPr>
            <w:r>
              <w:rPr>
                <w:color w:val="auto"/>
                <w:sz w:val="18"/>
                <w:szCs w:val="18"/>
                <w:lang w:eastAsia="zh-CN"/>
              </w:rPr>
              <w:t>0.8799</w:t>
            </w:r>
          </w:p>
        </w:tc>
        <w:tc>
          <w:tcPr>
            <w:tcW w:w="1263" w:type="dxa"/>
            <w:tcBorders>
              <w:bottom w:val="double" w:color="auto" w:sz="4" w:space="0"/>
            </w:tcBorders>
          </w:tcPr>
          <w:p w14:paraId="7B608BE6">
            <w:pPr>
              <w:pStyle w:val="23"/>
              <w:widowControl w:val="0"/>
              <w:spacing w:line="240" w:lineRule="auto"/>
              <w:ind w:firstLine="0"/>
              <w:jc w:val="center"/>
              <w:rPr>
                <w:color w:val="auto"/>
                <w:sz w:val="18"/>
                <w:szCs w:val="18"/>
                <w:lang w:eastAsia="zh-CN"/>
              </w:rPr>
            </w:pPr>
            <w:r>
              <w:rPr>
                <w:color w:val="auto"/>
                <w:sz w:val="18"/>
                <w:szCs w:val="18"/>
                <w:lang w:eastAsia="zh-CN"/>
              </w:rPr>
              <w:t>0.6847</w:t>
            </w:r>
          </w:p>
        </w:tc>
      </w:tr>
      <w:tr w14:paraId="74DB4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top w:val="double" w:color="auto" w:sz="4" w:space="0"/>
            </w:tcBorders>
          </w:tcPr>
          <w:p w14:paraId="6065FECB">
            <w:pPr>
              <w:pStyle w:val="23"/>
              <w:widowControl w:val="0"/>
              <w:spacing w:line="240" w:lineRule="auto"/>
              <w:ind w:firstLine="0"/>
              <w:jc w:val="center"/>
              <w:rPr>
                <w:color w:val="auto"/>
                <w:sz w:val="18"/>
                <w:szCs w:val="18"/>
                <w:lang w:eastAsia="zh-CN"/>
              </w:rPr>
            </w:pPr>
            <w:r>
              <w:rPr>
                <w:color w:val="auto"/>
                <w:sz w:val="18"/>
                <w:szCs w:val="18"/>
                <w:lang w:eastAsia="zh-CN"/>
              </w:rPr>
              <w:t>1</w:t>
            </w:r>
          </w:p>
        </w:tc>
        <w:tc>
          <w:tcPr>
            <w:tcW w:w="1661" w:type="dxa"/>
            <w:tcBorders>
              <w:top w:val="double" w:color="auto" w:sz="4" w:space="0"/>
            </w:tcBorders>
          </w:tcPr>
          <w:p w14:paraId="43ECA0CA">
            <w:pPr>
              <w:pStyle w:val="23"/>
              <w:widowControl w:val="0"/>
              <w:spacing w:line="240" w:lineRule="auto"/>
              <w:ind w:firstLine="0"/>
              <w:jc w:val="center"/>
              <w:rPr>
                <w:color w:val="auto"/>
                <w:sz w:val="18"/>
                <w:szCs w:val="18"/>
                <w:lang w:eastAsia="zh-CN"/>
              </w:rPr>
            </w:pPr>
            <w:r>
              <w:rPr>
                <w:color w:val="auto"/>
                <w:sz w:val="18"/>
                <w:szCs w:val="18"/>
                <w:lang w:eastAsia="zh-CN"/>
              </w:rPr>
              <w:t>XGBoost</w:t>
            </w:r>
          </w:p>
        </w:tc>
        <w:tc>
          <w:tcPr>
            <w:tcW w:w="1327" w:type="dxa"/>
            <w:tcBorders>
              <w:top w:val="double" w:color="auto" w:sz="4" w:space="0"/>
            </w:tcBorders>
          </w:tcPr>
          <w:p w14:paraId="67E14690">
            <w:pPr>
              <w:pStyle w:val="23"/>
              <w:widowControl w:val="0"/>
              <w:spacing w:line="240" w:lineRule="auto"/>
              <w:jc w:val="center"/>
              <w:rPr>
                <w:color w:val="auto"/>
                <w:sz w:val="18"/>
                <w:szCs w:val="18"/>
                <w:lang w:eastAsia="zh-CN"/>
              </w:rPr>
            </w:pPr>
            <w:r>
              <w:rPr>
                <w:color w:val="auto"/>
                <w:sz w:val="18"/>
                <w:szCs w:val="18"/>
                <w:lang w:eastAsia="zh-CN"/>
              </w:rPr>
              <w:t>Train</w:t>
            </w:r>
          </w:p>
        </w:tc>
        <w:tc>
          <w:tcPr>
            <w:tcW w:w="1253" w:type="dxa"/>
            <w:tcBorders>
              <w:top w:val="double" w:color="auto" w:sz="4" w:space="0"/>
            </w:tcBorders>
          </w:tcPr>
          <w:p w14:paraId="485CF2B4">
            <w:pPr>
              <w:pStyle w:val="23"/>
              <w:widowControl w:val="0"/>
              <w:spacing w:line="240" w:lineRule="auto"/>
              <w:jc w:val="center"/>
              <w:rPr>
                <w:color w:val="auto"/>
                <w:sz w:val="18"/>
                <w:szCs w:val="18"/>
                <w:lang w:eastAsia="zh-CN"/>
              </w:rPr>
            </w:pPr>
            <w:r>
              <w:rPr>
                <w:color w:val="auto"/>
                <w:sz w:val="18"/>
                <w:szCs w:val="18"/>
                <w:lang w:eastAsia="zh-CN"/>
              </w:rPr>
              <w:t>0.8093</w:t>
            </w:r>
          </w:p>
        </w:tc>
        <w:tc>
          <w:tcPr>
            <w:tcW w:w="1264" w:type="dxa"/>
            <w:tcBorders>
              <w:top w:val="double" w:color="auto" w:sz="4" w:space="0"/>
            </w:tcBorders>
          </w:tcPr>
          <w:p w14:paraId="30D7CEEA">
            <w:pPr>
              <w:pStyle w:val="23"/>
              <w:widowControl w:val="0"/>
              <w:spacing w:line="240" w:lineRule="auto"/>
              <w:ind w:firstLine="0"/>
              <w:jc w:val="center"/>
              <w:rPr>
                <w:color w:val="auto"/>
                <w:sz w:val="18"/>
                <w:szCs w:val="18"/>
                <w:lang w:eastAsia="zh-CN"/>
              </w:rPr>
            </w:pPr>
            <w:r>
              <w:rPr>
                <w:color w:val="auto"/>
                <w:sz w:val="18"/>
                <w:szCs w:val="18"/>
                <w:lang w:eastAsia="zh-CN"/>
              </w:rPr>
              <w:t>0.8903</w:t>
            </w:r>
          </w:p>
        </w:tc>
        <w:tc>
          <w:tcPr>
            <w:tcW w:w="1263" w:type="dxa"/>
            <w:tcBorders>
              <w:top w:val="double" w:color="auto" w:sz="4" w:space="0"/>
            </w:tcBorders>
          </w:tcPr>
          <w:p w14:paraId="6229B395">
            <w:pPr>
              <w:pStyle w:val="23"/>
              <w:widowControl w:val="0"/>
              <w:spacing w:line="240" w:lineRule="auto"/>
              <w:ind w:firstLine="0"/>
              <w:jc w:val="center"/>
              <w:rPr>
                <w:color w:val="auto"/>
                <w:sz w:val="18"/>
                <w:szCs w:val="18"/>
                <w:lang w:eastAsia="zh-CN"/>
              </w:rPr>
            </w:pPr>
            <w:r>
              <w:rPr>
                <w:color w:val="auto"/>
                <w:sz w:val="18"/>
                <w:szCs w:val="18"/>
                <w:lang w:eastAsia="zh-CN"/>
              </w:rPr>
              <w:t>0.4134</w:t>
            </w:r>
          </w:p>
        </w:tc>
      </w:tr>
      <w:tr w14:paraId="5F3A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1C34F59C">
            <w:pPr>
              <w:pStyle w:val="23"/>
              <w:widowControl w:val="0"/>
              <w:spacing w:line="240" w:lineRule="auto"/>
              <w:ind w:firstLine="0"/>
              <w:jc w:val="center"/>
              <w:rPr>
                <w:color w:val="auto"/>
                <w:sz w:val="18"/>
                <w:szCs w:val="18"/>
                <w:lang w:eastAsia="zh-CN"/>
              </w:rPr>
            </w:pPr>
            <w:r>
              <w:rPr>
                <w:color w:val="auto"/>
                <w:sz w:val="18"/>
                <w:szCs w:val="18"/>
                <w:lang w:eastAsia="zh-CN"/>
              </w:rPr>
              <w:t>2</w:t>
            </w:r>
          </w:p>
        </w:tc>
        <w:tc>
          <w:tcPr>
            <w:tcW w:w="1661" w:type="dxa"/>
          </w:tcPr>
          <w:p w14:paraId="36BF13F3">
            <w:pPr>
              <w:pStyle w:val="23"/>
              <w:widowControl w:val="0"/>
              <w:spacing w:line="240" w:lineRule="auto"/>
              <w:ind w:firstLine="0"/>
              <w:jc w:val="center"/>
              <w:rPr>
                <w:color w:val="auto"/>
                <w:sz w:val="18"/>
                <w:szCs w:val="18"/>
                <w:lang w:eastAsia="zh-CN"/>
              </w:rPr>
            </w:pPr>
            <w:r>
              <w:rPr>
                <w:color w:val="auto"/>
                <w:sz w:val="18"/>
                <w:szCs w:val="18"/>
                <w:lang w:eastAsia="zh-CN"/>
              </w:rPr>
              <w:t>XGBoost</w:t>
            </w:r>
          </w:p>
        </w:tc>
        <w:tc>
          <w:tcPr>
            <w:tcW w:w="1327" w:type="dxa"/>
          </w:tcPr>
          <w:p w14:paraId="5B6D268B">
            <w:pPr>
              <w:pStyle w:val="23"/>
              <w:widowControl w:val="0"/>
              <w:spacing w:line="240" w:lineRule="auto"/>
              <w:jc w:val="center"/>
              <w:rPr>
                <w:color w:val="auto"/>
                <w:sz w:val="18"/>
                <w:szCs w:val="18"/>
                <w:lang w:eastAsia="zh-CN"/>
              </w:rPr>
            </w:pPr>
            <w:r>
              <w:rPr>
                <w:color w:val="auto"/>
                <w:sz w:val="18"/>
                <w:szCs w:val="18"/>
                <w:lang w:eastAsia="zh-CN"/>
              </w:rPr>
              <w:t>Validation</w:t>
            </w:r>
          </w:p>
        </w:tc>
        <w:tc>
          <w:tcPr>
            <w:tcW w:w="1253" w:type="dxa"/>
          </w:tcPr>
          <w:p w14:paraId="056C9777">
            <w:pPr>
              <w:pStyle w:val="23"/>
              <w:widowControl w:val="0"/>
              <w:spacing w:line="240" w:lineRule="auto"/>
              <w:jc w:val="center"/>
              <w:rPr>
                <w:color w:val="auto"/>
                <w:sz w:val="18"/>
                <w:szCs w:val="18"/>
                <w:lang w:eastAsia="zh-CN"/>
              </w:rPr>
            </w:pPr>
            <w:r>
              <w:rPr>
                <w:color w:val="auto"/>
                <w:sz w:val="18"/>
                <w:szCs w:val="18"/>
                <w:lang w:eastAsia="zh-CN"/>
              </w:rPr>
              <w:t>0.6950</w:t>
            </w:r>
          </w:p>
        </w:tc>
        <w:tc>
          <w:tcPr>
            <w:tcW w:w="1264" w:type="dxa"/>
          </w:tcPr>
          <w:p w14:paraId="31FB5219">
            <w:pPr>
              <w:pStyle w:val="23"/>
              <w:widowControl w:val="0"/>
              <w:spacing w:line="240" w:lineRule="auto"/>
              <w:ind w:firstLine="0"/>
              <w:jc w:val="center"/>
              <w:rPr>
                <w:color w:val="auto"/>
                <w:sz w:val="18"/>
                <w:szCs w:val="18"/>
                <w:lang w:eastAsia="zh-CN"/>
              </w:rPr>
            </w:pPr>
            <w:r>
              <w:rPr>
                <w:color w:val="auto"/>
                <w:sz w:val="18"/>
                <w:szCs w:val="18"/>
                <w:lang w:eastAsia="zh-CN"/>
              </w:rPr>
              <w:t>0.8417</w:t>
            </w:r>
          </w:p>
        </w:tc>
        <w:tc>
          <w:tcPr>
            <w:tcW w:w="1263" w:type="dxa"/>
          </w:tcPr>
          <w:p w14:paraId="118966D2">
            <w:pPr>
              <w:pStyle w:val="23"/>
              <w:widowControl w:val="0"/>
              <w:spacing w:line="240" w:lineRule="auto"/>
              <w:ind w:firstLine="0"/>
              <w:jc w:val="center"/>
              <w:rPr>
                <w:color w:val="auto"/>
                <w:sz w:val="18"/>
                <w:szCs w:val="18"/>
                <w:lang w:eastAsia="zh-CN"/>
              </w:rPr>
            </w:pPr>
            <w:r>
              <w:rPr>
                <w:color w:val="auto"/>
                <w:sz w:val="18"/>
                <w:szCs w:val="18"/>
                <w:lang w:eastAsia="zh-CN"/>
              </w:rPr>
              <w:t>0.5320</w:t>
            </w:r>
          </w:p>
        </w:tc>
      </w:tr>
      <w:tr w14:paraId="4BD3C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bottom w:val="double" w:color="auto" w:sz="4" w:space="0"/>
            </w:tcBorders>
          </w:tcPr>
          <w:p w14:paraId="591CF67C">
            <w:pPr>
              <w:pStyle w:val="23"/>
              <w:widowControl w:val="0"/>
              <w:spacing w:line="240" w:lineRule="auto"/>
              <w:ind w:firstLine="0"/>
              <w:jc w:val="center"/>
              <w:rPr>
                <w:color w:val="auto"/>
                <w:sz w:val="18"/>
                <w:szCs w:val="18"/>
                <w:lang w:eastAsia="zh-CN"/>
              </w:rPr>
            </w:pPr>
            <w:r>
              <w:rPr>
                <w:color w:val="auto"/>
                <w:sz w:val="18"/>
                <w:szCs w:val="18"/>
                <w:lang w:eastAsia="zh-CN"/>
              </w:rPr>
              <w:t>3</w:t>
            </w:r>
          </w:p>
        </w:tc>
        <w:tc>
          <w:tcPr>
            <w:tcW w:w="1661" w:type="dxa"/>
            <w:tcBorders>
              <w:bottom w:val="double" w:color="auto" w:sz="4" w:space="0"/>
            </w:tcBorders>
          </w:tcPr>
          <w:p w14:paraId="4728D4C1">
            <w:pPr>
              <w:pStyle w:val="23"/>
              <w:widowControl w:val="0"/>
              <w:spacing w:line="240" w:lineRule="auto"/>
              <w:ind w:firstLine="0"/>
              <w:jc w:val="center"/>
              <w:rPr>
                <w:color w:val="auto"/>
                <w:sz w:val="18"/>
                <w:szCs w:val="18"/>
                <w:lang w:eastAsia="zh-CN"/>
              </w:rPr>
            </w:pPr>
            <w:r>
              <w:rPr>
                <w:color w:val="auto"/>
                <w:sz w:val="18"/>
                <w:szCs w:val="18"/>
                <w:lang w:eastAsia="zh-CN"/>
              </w:rPr>
              <w:t>XGBoost</w:t>
            </w:r>
          </w:p>
        </w:tc>
        <w:tc>
          <w:tcPr>
            <w:tcW w:w="1327" w:type="dxa"/>
            <w:tcBorders>
              <w:bottom w:val="double" w:color="auto" w:sz="4" w:space="0"/>
            </w:tcBorders>
          </w:tcPr>
          <w:p w14:paraId="0476C490">
            <w:pPr>
              <w:pStyle w:val="23"/>
              <w:widowControl w:val="0"/>
              <w:spacing w:line="240" w:lineRule="auto"/>
              <w:jc w:val="center"/>
              <w:rPr>
                <w:color w:val="auto"/>
                <w:sz w:val="18"/>
                <w:szCs w:val="18"/>
                <w:lang w:eastAsia="zh-CN"/>
              </w:rPr>
            </w:pPr>
            <w:r>
              <w:rPr>
                <w:color w:val="auto"/>
                <w:sz w:val="18"/>
                <w:szCs w:val="18"/>
                <w:lang w:eastAsia="zh-CN"/>
              </w:rPr>
              <w:t>Test</w:t>
            </w:r>
          </w:p>
        </w:tc>
        <w:tc>
          <w:tcPr>
            <w:tcW w:w="1253" w:type="dxa"/>
            <w:tcBorders>
              <w:bottom w:val="double" w:color="auto" w:sz="4" w:space="0"/>
            </w:tcBorders>
          </w:tcPr>
          <w:p w14:paraId="5B5F709F">
            <w:pPr>
              <w:pStyle w:val="23"/>
              <w:widowControl w:val="0"/>
              <w:spacing w:line="240" w:lineRule="auto"/>
              <w:jc w:val="center"/>
              <w:rPr>
                <w:color w:val="auto"/>
                <w:sz w:val="18"/>
                <w:szCs w:val="18"/>
                <w:lang w:eastAsia="zh-CN"/>
              </w:rPr>
            </w:pPr>
            <w:r>
              <w:rPr>
                <w:color w:val="auto"/>
                <w:sz w:val="18"/>
                <w:szCs w:val="18"/>
                <w:lang w:eastAsia="zh-CN"/>
              </w:rPr>
              <w:t>0.7144</w:t>
            </w:r>
          </w:p>
        </w:tc>
        <w:tc>
          <w:tcPr>
            <w:tcW w:w="1264" w:type="dxa"/>
            <w:tcBorders>
              <w:bottom w:val="double" w:color="auto" w:sz="4" w:space="0"/>
            </w:tcBorders>
          </w:tcPr>
          <w:p w14:paraId="77707952">
            <w:pPr>
              <w:pStyle w:val="23"/>
              <w:widowControl w:val="0"/>
              <w:spacing w:line="240" w:lineRule="auto"/>
              <w:ind w:firstLine="0"/>
              <w:jc w:val="center"/>
              <w:rPr>
                <w:color w:val="auto"/>
                <w:sz w:val="18"/>
                <w:szCs w:val="18"/>
                <w:lang w:eastAsia="zh-CN"/>
              </w:rPr>
            </w:pPr>
            <w:r>
              <w:rPr>
                <w:color w:val="auto"/>
                <w:sz w:val="18"/>
                <w:szCs w:val="18"/>
                <w:lang w:eastAsia="zh-CN"/>
              </w:rPr>
              <w:t>0.8887</w:t>
            </w:r>
          </w:p>
        </w:tc>
        <w:tc>
          <w:tcPr>
            <w:tcW w:w="1263" w:type="dxa"/>
            <w:tcBorders>
              <w:bottom w:val="double" w:color="auto" w:sz="4" w:space="0"/>
            </w:tcBorders>
          </w:tcPr>
          <w:p w14:paraId="30EB3EC5">
            <w:pPr>
              <w:pStyle w:val="23"/>
              <w:widowControl w:val="0"/>
              <w:spacing w:line="240" w:lineRule="auto"/>
              <w:ind w:firstLine="0"/>
              <w:jc w:val="center"/>
              <w:rPr>
                <w:color w:val="auto"/>
                <w:sz w:val="18"/>
                <w:szCs w:val="18"/>
                <w:lang w:eastAsia="zh-CN"/>
              </w:rPr>
            </w:pPr>
            <w:r>
              <w:rPr>
                <w:color w:val="auto"/>
                <w:sz w:val="18"/>
                <w:szCs w:val="18"/>
                <w:lang w:eastAsia="zh-CN"/>
              </w:rPr>
              <w:t>0.5343</w:t>
            </w:r>
          </w:p>
        </w:tc>
      </w:tr>
    </w:tbl>
    <w:p w14:paraId="16B94AA2">
      <w:pPr>
        <w:spacing w:before="100" w:after="100" w:line="240" w:lineRule="auto"/>
        <w:ind w:right="-765" w:firstLine="0"/>
        <w:rPr>
          <w:color w:val="auto"/>
          <w:kern w:val="1"/>
          <w:sz w:val="18"/>
          <w:szCs w:val="18"/>
        </w:rPr>
      </w:pPr>
      <w:r>
        <w:rPr>
          <w:b/>
          <w:bCs/>
          <w:color w:val="auto"/>
          <w:kern w:val="1"/>
          <w:sz w:val="18"/>
          <w:szCs w:val="18"/>
        </w:rPr>
        <w:t xml:space="preserve">Source: </w:t>
      </w:r>
      <w:r>
        <w:rPr>
          <w:color w:val="auto"/>
          <w:kern w:val="1"/>
          <w:sz w:val="18"/>
          <w:szCs w:val="18"/>
        </w:rPr>
        <w:t>Own elaboration.</w:t>
      </w:r>
    </w:p>
    <w:p w14:paraId="5D70F5F4">
      <w:pPr>
        <w:pStyle w:val="23"/>
        <w:spacing w:before="0" w:beforeAutospacing="0" w:after="0" w:afterAutospacing="0" w:line="240" w:lineRule="auto"/>
        <w:ind w:firstLine="400" w:firstLineChars="200"/>
        <w:rPr>
          <w:color w:val="auto"/>
          <w:szCs w:val="24"/>
          <w:lang w:eastAsia="zh-CN"/>
        </w:rPr>
      </w:pPr>
      <w:r>
        <w:rPr>
          <w:color w:val="auto"/>
          <w:szCs w:val="24"/>
          <w:lang w:eastAsia="zh-CN"/>
        </w:rPr>
        <w:t xml:space="preserve">Table 7 compares how well five different models perform on the training, validation, and test datasets. The performance is measured using Macro-F1, balanced accuracy, and log loss. From the results, XGBoost is the best-performing model. It achieves the highest scores in most of the tests and also has a low log loss, which means its predictions are more accurate and reliable. The non-linear (kernel) SVM is the second best model, also performs well across the datasets, but its results are slightly worse than XGBoost. The other models, logistic regression, linear SVM, and random forest perform worse and their results are lower and are not as consistent. When looking specifically at the test dataset, XGBoost again gives the best results with the highest Macro-F1 score (0.7144) and balanced accuracy (0.8887), along with a low log loss 0.5343. SVM model also performs well, but it scores slightly lower than XGBoost. </w:t>
      </w:r>
    </w:p>
    <w:p w14:paraId="519867F5">
      <w:pPr>
        <w:pStyle w:val="23"/>
        <w:spacing w:before="0" w:beforeAutospacing="0" w:after="0" w:afterAutospacing="0" w:line="240" w:lineRule="auto"/>
        <w:ind w:firstLine="400" w:firstLineChars="200"/>
        <w:rPr>
          <w:color w:val="auto"/>
          <w:szCs w:val="24"/>
          <w:lang w:eastAsia="zh-CN"/>
        </w:rPr>
      </w:pPr>
      <w:r>
        <w:rPr>
          <w:color w:val="auto"/>
          <w:szCs w:val="24"/>
          <w:lang w:eastAsia="zh-CN"/>
        </w:rPr>
        <w:t>Simpler models such as logistic regression and linear SVM achieve moderate balanced accuracy on the test dataset, however, their Macro-F1 scores are low (0.6609 and 0.6532). This means they do not perform well on minority classes, even though their balanced accuracy looks acceptable. The random forest model has a high balanced accuracy (0.8799), but its Macro-F1 score (0.6151) and log loss (0.6847) are worse. This means that the model does not perform consistently across all classes and its probability predictions are less reliable.</w:t>
      </w:r>
    </w:p>
    <w:p w14:paraId="5ED9056F">
      <w:pPr>
        <w:pStyle w:val="23"/>
        <w:numPr>
          <w:ilvl w:val="1"/>
          <w:numId w:val="6"/>
        </w:numPr>
        <w:overflowPunct/>
        <w:autoSpaceDE/>
        <w:autoSpaceDN/>
        <w:adjustRightInd/>
        <w:spacing w:before="120" w:beforeLines="50" w:beforeAutospacing="0" w:after="120" w:afterLines="50" w:afterAutospacing="0"/>
        <w:textAlignment w:val="auto"/>
        <w:rPr>
          <w:i/>
          <w:iCs/>
          <w:color w:val="auto"/>
          <w:lang w:eastAsia="zh-CN" w:bidi="ar"/>
        </w:rPr>
      </w:pPr>
      <w:r>
        <w:rPr>
          <w:i/>
          <w:iCs/>
          <w:color w:val="auto"/>
          <w:lang w:eastAsia="zh-CN" w:bidi="ar"/>
        </w:rPr>
        <w:t>Econometric Logistic Model Results</w:t>
      </w:r>
    </w:p>
    <w:p w14:paraId="46B24E96">
      <w:pPr>
        <w:pStyle w:val="74"/>
        <w:spacing w:line="240" w:lineRule="auto"/>
        <w:rPr>
          <w:b/>
          <w:bCs/>
          <w:color w:val="auto"/>
          <w:kern w:val="1"/>
          <w:sz w:val="20"/>
        </w:rPr>
      </w:pPr>
      <w:r>
        <w:rPr>
          <w:b/>
          <w:color w:val="auto"/>
          <w:szCs w:val="18"/>
        </w:rPr>
        <w:t>Table 8.</w:t>
      </w:r>
      <w:r>
        <w:rPr>
          <w:color w:val="auto"/>
          <w:szCs w:val="18"/>
        </w:rPr>
        <w:t xml:space="preserve"> Model Results (Logistic Regression)</w:t>
      </w:r>
    </w:p>
    <w:tbl>
      <w:tblPr>
        <w:tblStyle w:val="27"/>
        <w:tblW w:w="7243"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142"/>
        <w:gridCol w:w="1468"/>
        <w:gridCol w:w="640"/>
        <w:gridCol w:w="629"/>
        <w:gridCol w:w="781"/>
        <w:gridCol w:w="862"/>
        <w:gridCol w:w="1154"/>
      </w:tblGrid>
      <w:tr w14:paraId="449D1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417DB379">
            <w:pPr>
              <w:pStyle w:val="23"/>
              <w:widowControl w:val="0"/>
              <w:spacing w:line="240" w:lineRule="auto"/>
              <w:ind w:firstLine="0"/>
              <w:rPr>
                <w:b/>
                <w:bCs/>
                <w:color w:val="auto"/>
                <w:sz w:val="18"/>
                <w:szCs w:val="18"/>
                <w:highlight w:val="none"/>
                <w:lang w:eastAsia="zh-CN"/>
              </w:rPr>
            </w:pPr>
            <w:r>
              <w:rPr>
                <w:b/>
                <w:bCs/>
                <w:color w:val="auto"/>
                <w:sz w:val="18"/>
                <w:szCs w:val="18"/>
                <w:highlight w:val="none"/>
                <w:lang w:eastAsia="zh-CN"/>
              </w:rPr>
              <w:t>No</w:t>
            </w:r>
          </w:p>
        </w:tc>
        <w:tc>
          <w:tcPr>
            <w:tcW w:w="1142" w:type="dxa"/>
          </w:tcPr>
          <w:p w14:paraId="0E5B00C7">
            <w:pPr>
              <w:pStyle w:val="23"/>
              <w:widowControl w:val="0"/>
              <w:spacing w:line="240" w:lineRule="auto"/>
              <w:ind w:firstLine="0"/>
              <w:jc w:val="center"/>
              <w:rPr>
                <w:b/>
                <w:bCs/>
                <w:color w:val="auto"/>
                <w:sz w:val="18"/>
                <w:szCs w:val="18"/>
                <w:highlight w:val="none"/>
                <w:lang w:eastAsia="zh-CN"/>
              </w:rPr>
            </w:pPr>
            <w:r>
              <w:rPr>
                <w:b/>
                <w:bCs/>
                <w:color w:val="auto"/>
                <w:sz w:val="18"/>
                <w:szCs w:val="18"/>
                <w:highlight w:val="none"/>
                <w:lang w:eastAsia="zh-CN"/>
              </w:rPr>
              <w:t>Predictor</w:t>
            </w:r>
          </w:p>
        </w:tc>
        <w:tc>
          <w:tcPr>
            <w:tcW w:w="1468" w:type="dxa"/>
          </w:tcPr>
          <w:p w14:paraId="54398146">
            <w:pPr>
              <w:pStyle w:val="23"/>
              <w:widowControl w:val="0"/>
              <w:spacing w:line="240" w:lineRule="auto"/>
              <w:ind w:firstLine="0"/>
              <w:jc w:val="center"/>
              <w:rPr>
                <w:b/>
                <w:bCs/>
                <w:color w:val="auto"/>
                <w:sz w:val="18"/>
                <w:szCs w:val="18"/>
                <w:highlight w:val="none"/>
                <w:lang w:eastAsia="zh-CN"/>
              </w:rPr>
            </w:pPr>
            <w:r>
              <w:rPr>
                <w:b/>
                <w:bCs/>
                <w:color w:val="auto"/>
                <w:sz w:val="18"/>
                <w:szCs w:val="18"/>
                <w:highlight w:val="none"/>
                <w:lang w:eastAsia="zh-CN"/>
              </w:rPr>
              <w:t>Outcome Comparison (reference category: Dropout)</w:t>
            </w:r>
          </w:p>
        </w:tc>
        <w:tc>
          <w:tcPr>
            <w:tcW w:w="640" w:type="dxa"/>
          </w:tcPr>
          <w:p w14:paraId="3D213000">
            <w:pPr>
              <w:pStyle w:val="23"/>
              <w:widowControl w:val="0"/>
              <w:spacing w:line="240" w:lineRule="auto"/>
              <w:ind w:firstLine="0"/>
              <w:jc w:val="center"/>
              <w:rPr>
                <w:b/>
                <w:bCs/>
                <w:color w:val="auto"/>
                <w:sz w:val="18"/>
                <w:szCs w:val="18"/>
                <w:highlight w:val="none"/>
                <w:lang w:eastAsia="zh-CN"/>
              </w:rPr>
            </w:pPr>
            <w:r>
              <w:rPr>
                <w:b/>
                <w:bCs/>
                <w:color w:val="auto"/>
                <w:sz w:val="18"/>
                <w:szCs w:val="18"/>
                <w:highlight w:val="none"/>
                <w:lang w:eastAsia="zh-CN"/>
              </w:rPr>
              <w:t>Coef.</w:t>
            </w:r>
          </w:p>
        </w:tc>
        <w:tc>
          <w:tcPr>
            <w:tcW w:w="629" w:type="dxa"/>
          </w:tcPr>
          <w:p w14:paraId="3D3B341C">
            <w:pPr>
              <w:pStyle w:val="23"/>
              <w:widowControl w:val="0"/>
              <w:spacing w:line="240" w:lineRule="auto"/>
              <w:ind w:firstLine="0"/>
              <w:jc w:val="center"/>
              <w:rPr>
                <w:b/>
                <w:bCs/>
                <w:color w:val="auto"/>
                <w:sz w:val="18"/>
                <w:szCs w:val="18"/>
                <w:highlight w:val="none"/>
                <w:lang w:eastAsia="zh-CN"/>
              </w:rPr>
            </w:pPr>
            <w:r>
              <w:rPr>
                <w:b/>
                <w:bCs/>
                <w:color w:val="auto"/>
                <w:sz w:val="18"/>
                <w:szCs w:val="18"/>
                <w:highlight w:val="none"/>
                <w:lang w:eastAsia="zh-CN"/>
              </w:rPr>
              <w:t>SE</w:t>
            </w:r>
          </w:p>
        </w:tc>
        <w:tc>
          <w:tcPr>
            <w:tcW w:w="781" w:type="dxa"/>
          </w:tcPr>
          <w:p w14:paraId="234AF449">
            <w:pPr>
              <w:pStyle w:val="23"/>
              <w:widowControl w:val="0"/>
              <w:spacing w:line="240" w:lineRule="auto"/>
              <w:ind w:firstLine="0"/>
              <w:jc w:val="center"/>
              <w:rPr>
                <w:b/>
                <w:bCs/>
                <w:color w:val="auto"/>
                <w:sz w:val="18"/>
                <w:szCs w:val="18"/>
                <w:highlight w:val="none"/>
                <w:lang w:eastAsia="zh-CN"/>
              </w:rPr>
            </w:pPr>
            <w:r>
              <w:rPr>
                <w:b/>
                <w:bCs/>
                <w:color w:val="auto"/>
                <w:sz w:val="18"/>
                <w:szCs w:val="18"/>
                <w:highlight w:val="none"/>
                <w:lang w:eastAsia="zh-CN"/>
              </w:rPr>
              <w:t>z-value</w:t>
            </w:r>
          </w:p>
        </w:tc>
        <w:tc>
          <w:tcPr>
            <w:tcW w:w="862" w:type="dxa"/>
          </w:tcPr>
          <w:p w14:paraId="0D8A4D65">
            <w:pPr>
              <w:pStyle w:val="23"/>
              <w:widowControl w:val="0"/>
              <w:spacing w:line="240" w:lineRule="auto"/>
              <w:ind w:firstLine="0"/>
              <w:jc w:val="center"/>
              <w:rPr>
                <w:b/>
                <w:bCs/>
                <w:color w:val="auto"/>
                <w:sz w:val="18"/>
                <w:szCs w:val="18"/>
                <w:highlight w:val="none"/>
                <w:lang w:eastAsia="zh-CN"/>
              </w:rPr>
            </w:pPr>
            <w:r>
              <w:rPr>
                <w:b/>
                <w:bCs/>
                <w:color w:val="auto"/>
                <w:sz w:val="18"/>
                <w:szCs w:val="18"/>
                <w:highlight w:val="none"/>
                <w:lang w:eastAsia="zh-CN"/>
              </w:rPr>
              <w:t>p-value</w:t>
            </w:r>
          </w:p>
        </w:tc>
        <w:tc>
          <w:tcPr>
            <w:tcW w:w="1154" w:type="dxa"/>
          </w:tcPr>
          <w:p w14:paraId="0DC7CA00">
            <w:pPr>
              <w:pStyle w:val="23"/>
              <w:widowControl w:val="0"/>
              <w:spacing w:line="240" w:lineRule="auto"/>
              <w:ind w:firstLine="0"/>
              <w:jc w:val="center"/>
              <w:rPr>
                <w:b/>
                <w:bCs/>
                <w:color w:val="auto"/>
                <w:sz w:val="18"/>
                <w:szCs w:val="18"/>
                <w:highlight w:val="none"/>
                <w:lang w:eastAsia="zh-CN"/>
              </w:rPr>
            </w:pPr>
            <w:r>
              <w:rPr>
                <w:b/>
                <w:bCs/>
                <w:color w:val="auto"/>
                <w:sz w:val="18"/>
                <w:szCs w:val="18"/>
                <w:highlight w:val="none"/>
                <w:lang w:eastAsia="zh-CN"/>
              </w:rPr>
              <w:t>Significant?</w:t>
            </w:r>
          </w:p>
        </w:tc>
      </w:tr>
      <w:tr w14:paraId="618EE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restart"/>
          </w:tcPr>
          <w:p w14:paraId="5AC36A2E">
            <w:pPr>
              <w:pStyle w:val="23"/>
              <w:widowControl w:val="0"/>
              <w:spacing w:line="240" w:lineRule="auto"/>
              <w:ind w:firstLine="0"/>
              <w:rPr>
                <w:color w:val="auto"/>
                <w:sz w:val="18"/>
                <w:szCs w:val="18"/>
                <w:lang w:eastAsia="zh-CN"/>
              </w:rPr>
            </w:pPr>
            <w:r>
              <w:rPr>
                <w:color w:val="auto"/>
                <w:sz w:val="18"/>
                <w:szCs w:val="18"/>
                <w:lang w:eastAsia="zh-CN"/>
              </w:rPr>
              <w:t>1</w:t>
            </w:r>
          </w:p>
        </w:tc>
        <w:tc>
          <w:tcPr>
            <w:tcW w:w="1142" w:type="dxa"/>
            <w:vMerge w:val="restart"/>
          </w:tcPr>
          <w:p w14:paraId="15CD4174">
            <w:pPr>
              <w:pStyle w:val="23"/>
              <w:widowControl w:val="0"/>
              <w:spacing w:line="240" w:lineRule="auto"/>
              <w:ind w:firstLine="0"/>
              <w:jc w:val="center"/>
              <w:rPr>
                <w:color w:val="auto"/>
                <w:sz w:val="18"/>
                <w:szCs w:val="18"/>
                <w:lang w:eastAsia="zh-CN"/>
              </w:rPr>
            </w:pPr>
            <w:r>
              <w:rPr>
                <w:color w:val="auto"/>
                <w:sz w:val="18"/>
                <w:szCs w:val="18"/>
                <w:lang w:eastAsia="zh-CN"/>
              </w:rPr>
              <w:t>Admission grade</w:t>
            </w:r>
          </w:p>
        </w:tc>
        <w:tc>
          <w:tcPr>
            <w:tcW w:w="1468" w:type="dxa"/>
          </w:tcPr>
          <w:p w14:paraId="7E54B157">
            <w:pPr>
              <w:pStyle w:val="23"/>
              <w:widowControl w:val="0"/>
              <w:spacing w:line="240" w:lineRule="auto"/>
              <w:ind w:firstLine="0"/>
              <w:rPr>
                <w:color w:val="auto"/>
                <w:sz w:val="18"/>
                <w:szCs w:val="18"/>
                <w:lang w:eastAsia="zh-CN"/>
              </w:rPr>
            </w:pPr>
            <w:r>
              <w:rPr>
                <w:color w:val="auto"/>
                <w:sz w:val="18"/>
                <w:szCs w:val="18"/>
                <w:lang w:eastAsia="zh-CN"/>
              </w:rPr>
              <w:t xml:space="preserve">Enrolled </w:t>
            </w:r>
          </w:p>
        </w:tc>
        <w:tc>
          <w:tcPr>
            <w:tcW w:w="640" w:type="dxa"/>
            <w:vAlign w:val="center"/>
          </w:tcPr>
          <w:p w14:paraId="12244B46">
            <w:pPr>
              <w:pStyle w:val="23"/>
              <w:widowControl w:val="0"/>
              <w:spacing w:line="240" w:lineRule="auto"/>
              <w:ind w:firstLine="0"/>
              <w:jc w:val="center"/>
              <w:rPr>
                <w:color w:val="auto"/>
                <w:sz w:val="18"/>
                <w:szCs w:val="18"/>
                <w:lang w:eastAsia="zh-CN"/>
              </w:rPr>
            </w:pPr>
            <w:r>
              <w:rPr>
                <w:color w:val="auto"/>
                <w:sz w:val="18"/>
                <w:szCs w:val="18"/>
                <w:lang w:eastAsia="zh-CN"/>
              </w:rPr>
              <w:t>0.054</w:t>
            </w:r>
          </w:p>
        </w:tc>
        <w:tc>
          <w:tcPr>
            <w:tcW w:w="629" w:type="dxa"/>
            <w:vAlign w:val="center"/>
          </w:tcPr>
          <w:p w14:paraId="156868DD">
            <w:pPr>
              <w:pStyle w:val="23"/>
              <w:widowControl w:val="0"/>
              <w:spacing w:line="240" w:lineRule="auto"/>
              <w:ind w:firstLine="0"/>
              <w:jc w:val="center"/>
              <w:rPr>
                <w:color w:val="auto"/>
                <w:sz w:val="18"/>
                <w:szCs w:val="18"/>
                <w:lang w:eastAsia="zh-CN"/>
              </w:rPr>
            </w:pPr>
            <w:r>
              <w:rPr>
                <w:color w:val="auto"/>
                <w:sz w:val="18"/>
                <w:szCs w:val="18"/>
                <w:lang w:eastAsia="zh-CN"/>
              </w:rPr>
              <w:t>0.079</w:t>
            </w:r>
          </w:p>
        </w:tc>
        <w:tc>
          <w:tcPr>
            <w:tcW w:w="781" w:type="dxa"/>
            <w:vAlign w:val="center"/>
          </w:tcPr>
          <w:p w14:paraId="618BB51C">
            <w:pPr>
              <w:pStyle w:val="23"/>
              <w:widowControl w:val="0"/>
              <w:spacing w:line="240" w:lineRule="auto"/>
              <w:ind w:firstLine="0"/>
              <w:jc w:val="center"/>
              <w:rPr>
                <w:color w:val="auto"/>
                <w:sz w:val="18"/>
                <w:szCs w:val="18"/>
                <w:lang w:eastAsia="zh-CN"/>
              </w:rPr>
            </w:pPr>
            <w:r>
              <w:rPr>
                <w:color w:val="auto"/>
                <w:sz w:val="18"/>
                <w:szCs w:val="18"/>
                <w:lang w:eastAsia="zh-CN"/>
              </w:rPr>
              <w:t>0.68</w:t>
            </w:r>
          </w:p>
        </w:tc>
        <w:tc>
          <w:tcPr>
            <w:tcW w:w="862" w:type="dxa"/>
            <w:vAlign w:val="center"/>
          </w:tcPr>
          <w:p w14:paraId="47AFD04F">
            <w:pPr>
              <w:pStyle w:val="23"/>
              <w:widowControl w:val="0"/>
              <w:spacing w:line="240" w:lineRule="auto"/>
              <w:ind w:firstLine="0"/>
              <w:jc w:val="center"/>
              <w:rPr>
                <w:color w:val="auto"/>
                <w:sz w:val="18"/>
                <w:szCs w:val="18"/>
                <w:lang w:eastAsia="zh-CN"/>
              </w:rPr>
            </w:pPr>
            <w:r>
              <w:rPr>
                <w:color w:val="auto"/>
                <w:sz w:val="18"/>
                <w:szCs w:val="18"/>
                <w:lang w:eastAsia="zh-CN"/>
              </w:rPr>
              <w:t>0.50</w:t>
            </w:r>
          </w:p>
        </w:tc>
        <w:tc>
          <w:tcPr>
            <w:tcW w:w="1154" w:type="dxa"/>
            <w:vAlign w:val="center"/>
          </w:tcPr>
          <w:p w14:paraId="3ED73812">
            <w:pPr>
              <w:pStyle w:val="23"/>
              <w:widowControl w:val="0"/>
              <w:spacing w:line="240" w:lineRule="auto"/>
              <w:ind w:firstLine="0"/>
              <w:jc w:val="center"/>
              <w:rPr>
                <w:color w:val="auto"/>
                <w:sz w:val="18"/>
                <w:szCs w:val="18"/>
                <w:lang w:eastAsia="zh-CN"/>
              </w:rPr>
            </w:pPr>
            <w:r>
              <w:rPr>
                <w:color w:val="auto"/>
                <w:sz w:val="18"/>
                <w:szCs w:val="18"/>
                <w:lang w:eastAsia="zh-CN"/>
              </w:rPr>
              <w:t>No</w:t>
            </w:r>
          </w:p>
        </w:tc>
      </w:tr>
      <w:tr w14:paraId="3041F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continue"/>
          </w:tcPr>
          <w:p w14:paraId="435D5D95">
            <w:pPr>
              <w:pStyle w:val="23"/>
              <w:widowControl w:val="0"/>
              <w:spacing w:line="240" w:lineRule="auto"/>
              <w:jc w:val="center"/>
              <w:rPr>
                <w:color w:val="auto"/>
                <w:sz w:val="18"/>
                <w:szCs w:val="18"/>
                <w:lang w:eastAsia="zh-CN"/>
              </w:rPr>
            </w:pPr>
          </w:p>
        </w:tc>
        <w:tc>
          <w:tcPr>
            <w:tcW w:w="1142" w:type="dxa"/>
            <w:vMerge w:val="continue"/>
          </w:tcPr>
          <w:p w14:paraId="6FDBE761">
            <w:pPr>
              <w:pStyle w:val="23"/>
              <w:widowControl w:val="0"/>
              <w:spacing w:line="240" w:lineRule="auto"/>
              <w:jc w:val="center"/>
              <w:rPr>
                <w:color w:val="auto"/>
                <w:sz w:val="18"/>
                <w:szCs w:val="18"/>
                <w:lang w:eastAsia="zh-CN"/>
              </w:rPr>
            </w:pPr>
          </w:p>
        </w:tc>
        <w:tc>
          <w:tcPr>
            <w:tcW w:w="1468" w:type="dxa"/>
          </w:tcPr>
          <w:p w14:paraId="624874AA">
            <w:pPr>
              <w:pStyle w:val="23"/>
              <w:widowControl w:val="0"/>
              <w:spacing w:line="240" w:lineRule="auto"/>
              <w:ind w:firstLine="0"/>
              <w:rPr>
                <w:color w:val="auto"/>
                <w:sz w:val="18"/>
                <w:szCs w:val="18"/>
                <w:lang w:eastAsia="zh-CN"/>
              </w:rPr>
            </w:pPr>
            <w:r>
              <w:rPr>
                <w:color w:val="auto"/>
                <w:sz w:val="18"/>
                <w:szCs w:val="18"/>
                <w:lang w:eastAsia="zh-CN"/>
              </w:rPr>
              <w:t xml:space="preserve">Graduate </w:t>
            </w:r>
          </w:p>
        </w:tc>
        <w:tc>
          <w:tcPr>
            <w:tcW w:w="640" w:type="dxa"/>
            <w:vAlign w:val="center"/>
          </w:tcPr>
          <w:p w14:paraId="10B0847D">
            <w:pPr>
              <w:pStyle w:val="23"/>
              <w:widowControl w:val="0"/>
              <w:spacing w:line="240" w:lineRule="auto"/>
              <w:ind w:firstLine="0"/>
              <w:jc w:val="center"/>
              <w:rPr>
                <w:color w:val="auto"/>
                <w:sz w:val="18"/>
                <w:szCs w:val="18"/>
                <w:lang w:eastAsia="zh-CN"/>
              </w:rPr>
            </w:pPr>
            <w:r>
              <w:rPr>
                <w:color w:val="auto"/>
                <w:sz w:val="18"/>
                <w:szCs w:val="18"/>
                <w:lang w:eastAsia="zh-CN"/>
              </w:rPr>
              <w:t>0.138</w:t>
            </w:r>
          </w:p>
        </w:tc>
        <w:tc>
          <w:tcPr>
            <w:tcW w:w="629" w:type="dxa"/>
            <w:vAlign w:val="center"/>
          </w:tcPr>
          <w:p w14:paraId="5ED76402">
            <w:pPr>
              <w:pStyle w:val="23"/>
              <w:widowControl w:val="0"/>
              <w:spacing w:line="240" w:lineRule="auto"/>
              <w:ind w:firstLine="0"/>
              <w:jc w:val="center"/>
              <w:rPr>
                <w:color w:val="auto"/>
                <w:sz w:val="18"/>
                <w:szCs w:val="18"/>
                <w:lang w:eastAsia="zh-CN"/>
              </w:rPr>
            </w:pPr>
            <w:r>
              <w:rPr>
                <w:color w:val="auto"/>
                <w:sz w:val="18"/>
                <w:szCs w:val="18"/>
                <w:lang w:eastAsia="zh-CN"/>
              </w:rPr>
              <w:t>0.074</w:t>
            </w:r>
          </w:p>
        </w:tc>
        <w:tc>
          <w:tcPr>
            <w:tcW w:w="781" w:type="dxa"/>
            <w:vAlign w:val="center"/>
          </w:tcPr>
          <w:p w14:paraId="08248E33">
            <w:pPr>
              <w:pStyle w:val="23"/>
              <w:widowControl w:val="0"/>
              <w:spacing w:line="240" w:lineRule="auto"/>
              <w:ind w:firstLine="0"/>
              <w:jc w:val="center"/>
              <w:rPr>
                <w:color w:val="auto"/>
                <w:sz w:val="18"/>
                <w:szCs w:val="18"/>
                <w:lang w:eastAsia="zh-CN"/>
              </w:rPr>
            </w:pPr>
            <w:r>
              <w:rPr>
                <w:color w:val="auto"/>
                <w:sz w:val="18"/>
                <w:szCs w:val="18"/>
                <w:lang w:eastAsia="zh-CN"/>
              </w:rPr>
              <w:t>1.86</w:t>
            </w:r>
          </w:p>
        </w:tc>
        <w:tc>
          <w:tcPr>
            <w:tcW w:w="862" w:type="dxa"/>
            <w:vAlign w:val="center"/>
          </w:tcPr>
          <w:p w14:paraId="7D6FFC76">
            <w:pPr>
              <w:pStyle w:val="23"/>
              <w:widowControl w:val="0"/>
              <w:spacing w:line="240" w:lineRule="auto"/>
              <w:ind w:firstLine="0"/>
              <w:jc w:val="center"/>
              <w:rPr>
                <w:color w:val="auto"/>
                <w:sz w:val="18"/>
                <w:szCs w:val="18"/>
                <w:lang w:eastAsia="zh-CN"/>
              </w:rPr>
            </w:pPr>
            <w:r>
              <w:rPr>
                <w:color w:val="auto"/>
                <w:sz w:val="18"/>
                <w:szCs w:val="18"/>
                <w:lang w:eastAsia="zh-CN"/>
              </w:rPr>
              <w:t>0.06</w:t>
            </w:r>
          </w:p>
        </w:tc>
        <w:tc>
          <w:tcPr>
            <w:tcW w:w="1154" w:type="dxa"/>
            <w:vAlign w:val="center"/>
          </w:tcPr>
          <w:p w14:paraId="4C353513">
            <w:pPr>
              <w:pStyle w:val="23"/>
              <w:widowControl w:val="0"/>
              <w:spacing w:line="240" w:lineRule="auto"/>
              <w:ind w:firstLine="0"/>
              <w:jc w:val="center"/>
              <w:rPr>
                <w:color w:val="auto"/>
                <w:sz w:val="18"/>
                <w:szCs w:val="18"/>
                <w:lang w:eastAsia="zh-CN"/>
              </w:rPr>
            </w:pPr>
            <w:r>
              <w:rPr>
                <w:color w:val="auto"/>
                <w:sz w:val="18"/>
                <w:szCs w:val="18"/>
                <w:lang w:eastAsia="zh-CN"/>
              </w:rPr>
              <w:t>No</w:t>
            </w:r>
          </w:p>
        </w:tc>
      </w:tr>
      <w:tr w14:paraId="75223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restart"/>
          </w:tcPr>
          <w:p w14:paraId="6EAC009F">
            <w:pPr>
              <w:pStyle w:val="23"/>
              <w:widowControl w:val="0"/>
              <w:spacing w:line="240" w:lineRule="auto"/>
              <w:ind w:firstLine="0"/>
              <w:rPr>
                <w:color w:val="auto"/>
                <w:sz w:val="18"/>
                <w:szCs w:val="18"/>
                <w:lang w:eastAsia="zh-CN"/>
              </w:rPr>
            </w:pPr>
            <w:r>
              <w:rPr>
                <w:color w:val="auto"/>
                <w:sz w:val="18"/>
                <w:szCs w:val="18"/>
                <w:lang w:eastAsia="zh-CN"/>
              </w:rPr>
              <w:t>2</w:t>
            </w:r>
          </w:p>
        </w:tc>
        <w:tc>
          <w:tcPr>
            <w:tcW w:w="1142" w:type="dxa"/>
            <w:vMerge w:val="restart"/>
          </w:tcPr>
          <w:p w14:paraId="57A0CC9F">
            <w:pPr>
              <w:pStyle w:val="23"/>
              <w:widowControl w:val="0"/>
              <w:spacing w:line="240" w:lineRule="auto"/>
              <w:ind w:firstLine="0"/>
              <w:jc w:val="center"/>
              <w:rPr>
                <w:color w:val="auto"/>
                <w:sz w:val="18"/>
                <w:szCs w:val="18"/>
                <w:lang w:eastAsia="zh-CN"/>
              </w:rPr>
            </w:pPr>
            <w:r>
              <w:rPr>
                <w:color w:val="auto"/>
                <w:sz w:val="18"/>
                <w:szCs w:val="18"/>
                <w:lang w:eastAsia="zh-CN"/>
              </w:rPr>
              <w:t>First-sem. approved units</w:t>
            </w:r>
          </w:p>
        </w:tc>
        <w:tc>
          <w:tcPr>
            <w:tcW w:w="1468" w:type="dxa"/>
          </w:tcPr>
          <w:p w14:paraId="4ED6C927">
            <w:pPr>
              <w:pStyle w:val="23"/>
              <w:widowControl w:val="0"/>
              <w:spacing w:line="240" w:lineRule="auto"/>
              <w:ind w:firstLine="0"/>
              <w:rPr>
                <w:color w:val="auto"/>
                <w:sz w:val="18"/>
                <w:szCs w:val="18"/>
                <w:lang w:eastAsia="pl-PL"/>
              </w:rPr>
            </w:pPr>
            <w:r>
              <w:rPr>
                <w:color w:val="auto"/>
                <w:sz w:val="18"/>
                <w:szCs w:val="18"/>
                <w:lang w:eastAsia="zh-CN"/>
              </w:rPr>
              <w:t xml:space="preserve">Enrolled </w:t>
            </w:r>
          </w:p>
        </w:tc>
        <w:tc>
          <w:tcPr>
            <w:tcW w:w="640" w:type="dxa"/>
            <w:vAlign w:val="center"/>
          </w:tcPr>
          <w:p w14:paraId="20EFAB65">
            <w:pPr>
              <w:pStyle w:val="23"/>
              <w:widowControl w:val="0"/>
              <w:spacing w:line="240" w:lineRule="auto"/>
              <w:ind w:firstLine="0"/>
              <w:jc w:val="center"/>
              <w:rPr>
                <w:color w:val="auto"/>
                <w:sz w:val="18"/>
                <w:szCs w:val="18"/>
                <w:lang w:eastAsia="zh-CN"/>
              </w:rPr>
            </w:pPr>
            <w:r>
              <w:rPr>
                <w:color w:val="auto"/>
                <w:sz w:val="18"/>
                <w:szCs w:val="18"/>
                <w:lang w:eastAsia="zh-CN"/>
              </w:rPr>
              <w:t>0.086</w:t>
            </w:r>
          </w:p>
        </w:tc>
        <w:tc>
          <w:tcPr>
            <w:tcW w:w="629" w:type="dxa"/>
            <w:vAlign w:val="center"/>
          </w:tcPr>
          <w:p w14:paraId="258F0D72">
            <w:pPr>
              <w:pStyle w:val="23"/>
              <w:widowControl w:val="0"/>
              <w:spacing w:line="240" w:lineRule="auto"/>
              <w:ind w:firstLine="0"/>
              <w:jc w:val="center"/>
              <w:rPr>
                <w:color w:val="auto"/>
                <w:sz w:val="18"/>
                <w:szCs w:val="18"/>
                <w:lang w:eastAsia="zh-CN"/>
              </w:rPr>
            </w:pPr>
            <w:r>
              <w:rPr>
                <w:color w:val="auto"/>
                <w:sz w:val="18"/>
                <w:szCs w:val="18"/>
                <w:lang w:eastAsia="zh-CN"/>
              </w:rPr>
              <w:t>0.118</w:t>
            </w:r>
          </w:p>
        </w:tc>
        <w:tc>
          <w:tcPr>
            <w:tcW w:w="781" w:type="dxa"/>
            <w:vAlign w:val="center"/>
          </w:tcPr>
          <w:p w14:paraId="7C039A63">
            <w:pPr>
              <w:pStyle w:val="23"/>
              <w:widowControl w:val="0"/>
              <w:spacing w:line="240" w:lineRule="auto"/>
              <w:ind w:firstLine="0"/>
              <w:jc w:val="center"/>
              <w:rPr>
                <w:color w:val="auto"/>
                <w:sz w:val="18"/>
                <w:szCs w:val="18"/>
                <w:lang w:eastAsia="zh-CN"/>
              </w:rPr>
            </w:pPr>
            <w:r>
              <w:rPr>
                <w:color w:val="auto"/>
                <w:sz w:val="18"/>
                <w:szCs w:val="18"/>
                <w:lang w:eastAsia="zh-CN"/>
              </w:rPr>
              <w:t>0.73</w:t>
            </w:r>
          </w:p>
        </w:tc>
        <w:tc>
          <w:tcPr>
            <w:tcW w:w="862" w:type="dxa"/>
            <w:vAlign w:val="center"/>
          </w:tcPr>
          <w:p w14:paraId="3146CF36">
            <w:pPr>
              <w:pStyle w:val="23"/>
              <w:widowControl w:val="0"/>
              <w:spacing w:line="240" w:lineRule="auto"/>
              <w:ind w:firstLine="0"/>
              <w:jc w:val="center"/>
              <w:rPr>
                <w:color w:val="auto"/>
                <w:sz w:val="18"/>
                <w:szCs w:val="18"/>
                <w:lang w:eastAsia="zh-CN"/>
              </w:rPr>
            </w:pPr>
            <w:r>
              <w:rPr>
                <w:color w:val="auto"/>
                <w:sz w:val="18"/>
                <w:szCs w:val="18"/>
                <w:lang w:eastAsia="zh-CN"/>
              </w:rPr>
              <w:t>0.47</w:t>
            </w:r>
          </w:p>
        </w:tc>
        <w:tc>
          <w:tcPr>
            <w:tcW w:w="1154" w:type="dxa"/>
            <w:vAlign w:val="center"/>
          </w:tcPr>
          <w:p w14:paraId="04881F37">
            <w:pPr>
              <w:pStyle w:val="23"/>
              <w:widowControl w:val="0"/>
              <w:spacing w:line="240" w:lineRule="auto"/>
              <w:ind w:firstLine="0"/>
              <w:jc w:val="center"/>
              <w:rPr>
                <w:color w:val="auto"/>
                <w:sz w:val="18"/>
                <w:szCs w:val="18"/>
                <w:lang w:eastAsia="zh-CN"/>
              </w:rPr>
            </w:pPr>
            <w:r>
              <w:rPr>
                <w:color w:val="auto"/>
                <w:sz w:val="18"/>
                <w:szCs w:val="18"/>
                <w:lang w:eastAsia="zh-CN"/>
              </w:rPr>
              <w:t>No</w:t>
            </w:r>
          </w:p>
        </w:tc>
      </w:tr>
      <w:tr w14:paraId="5F5F2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continue"/>
          </w:tcPr>
          <w:p w14:paraId="3CAD9964">
            <w:pPr>
              <w:pStyle w:val="23"/>
              <w:widowControl w:val="0"/>
              <w:spacing w:line="240" w:lineRule="auto"/>
              <w:jc w:val="center"/>
              <w:rPr>
                <w:color w:val="auto"/>
                <w:sz w:val="18"/>
                <w:szCs w:val="18"/>
                <w:lang w:eastAsia="zh-CN"/>
              </w:rPr>
            </w:pPr>
          </w:p>
        </w:tc>
        <w:tc>
          <w:tcPr>
            <w:tcW w:w="1142" w:type="dxa"/>
            <w:vMerge w:val="continue"/>
          </w:tcPr>
          <w:p w14:paraId="6AE26BC4">
            <w:pPr>
              <w:pStyle w:val="23"/>
              <w:widowControl w:val="0"/>
              <w:spacing w:line="240" w:lineRule="auto"/>
              <w:jc w:val="center"/>
              <w:rPr>
                <w:color w:val="auto"/>
                <w:sz w:val="18"/>
                <w:szCs w:val="18"/>
                <w:lang w:eastAsia="zh-CN"/>
              </w:rPr>
            </w:pPr>
          </w:p>
        </w:tc>
        <w:tc>
          <w:tcPr>
            <w:tcW w:w="1468" w:type="dxa"/>
          </w:tcPr>
          <w:p w14:paraId="0B4D2143">
            <w:pPr>
              <w:pStyle w:val="23"/>
              <w:widowControl w:val="0"/>
              <w:spacing w:line="240" w:lineRule="auto"/>
              <w:ind w:firstLine="0"/>
              <w:rPr>
                <w:color w:val="auto"/>
                <w:sz w:val="18"/>
                <w:szCs w:val="18"/>
                <w:lang w:eastAsia="pl-PL"/>
              </w:rPr>
            </w:pPr>
            <w:r>
              <w:rPr>
                <w:color w:val="auto"/>
                <w:sz w:val="18"/>
                <w:szCs w:val="18"/>
                <w:lang w:eastAsia="zh-CN"/>
              </w:rPr>
              <w:t xml:space="preserve">Graduate </w:t>
            </w:r>
          </w:p>
        </w:tc>
        <w:tc>
          <w:tcPr>
            <w:tcW w:w="640" w:type="dxa"/>
            <w:vAlign w:val="center"/>
          </w:tcPr>
          <w:p w14:paraId="2901BFEA">
            <w:pPr>
              <w:pStyle w:val="23"/>
              <w:widowControl w:val="0"/>
              <w:spacing w:line="240" w:lineRule="auto"/>
              <w:ind w:firstLine="0"/>
              <w:jc w:val="center"/>
              <w:rPr>
                <w:color w:val="auto"/>
                <w:sz w:val="18"/>
                <w:szCs w:val="18"/>
                <w:lang w:eastAsia="zh-CN"/>
              </w:rPr>
            </w:pPr>
            <w:r>
              <w:rPr>
                <w:color w:val="auto"/>
                <w:sz w:val="18"/>
                <w:szCs w:val="18"/>
                <w:lang w:eastAsia="zh-CN"/>
              </w:rPr>
              <w:t>0.484</w:t>
            </w:r>
          </w:p>
        </w:tc>
        <w:tc>
          <w:tcPr>
            <w:tcW w:w="629" w:type="dxa"/>
            <w:vAlign w:val="center"/>
          </w:tcPr>
          <w:p w14:paraId="432C2CCE">
            <w:pPr>
              <w:pStyle w:val="23"/>
              <w:widowControl w:val="0"/>
              <w:spacing w:line="240" w:lineRule="auto"/>
              <w:ind w:firstLine="0"/>
              <w:jc w:val="center"/>
              <w:rPr>
                <w:color w:val="auto"/>
                <w:sz w:val="18"/>
                <w:szCs w:val="18"/>
                <w:lang w:eastAsia="zh-CN"/>
              </w:rPr>
            </w:pPr>
            <w:r>
              <w:rPr>
                <w:color w:val="auto"/>
                <w:sz w:val="18"/>
                <w:szCs w:val="18"/>
                <w:lang w:eastAsia="zh-CN"/>
              </w:rPr>
              <w:t>0.139</w:t>
            </w:r>
          </w:p>
        </w:tc>
        <w:tc>
          <w:tcPr>
            <w:tcW w:w="781" w:type="dxa"/>
            <w:vAlign w:val="center"/>
          </w:tcPr>
          <w:p w14:paraId="10BFA88A">
            <w:pPr>
              <w:pStyle w:val="23"/>
              <w:widowControl w:val="0"/>
              <w:spacing w:line="240" w:lineRule="auto"/>
              <w:ind w:firstLine="0"/>
              <w:jc w:val="center"/>
              <w:rPr>
                <w:color w:val="auto"/>
                <w:sz w:val="18"/>
                <w:szCs w:val="18"/>
                <w:lang w:eastAsia="zh-CN"/>
              </w:rPr>
            </w:pPr>
            <w:r>
              <w:rPr>
                <w:color w:val="auto"/>
                <w:sz w:val="18"/>
                <w:szCs w:val="18"/>
                <w:lang w:eastAsia="zh-CN"/>
              </w:rPr>
              <w:t>3.48</w:t>
            </w:r>
          </w:p>
        </w:tc>
        <w:tc>
          <w:tcPr>
            <w:tcW w:w="862" w:type="dxa"/>
            <w:vAlign w:val="center"/>
          </w:tcPr>
          <w:p w14:paraId="23B17779">
            <w:pPr>
              <w:pStyle w:val="23"/>
              <w:widowControl w:val="0"/>
              <w:spacing w:line="240" w:lineRule="auto"/>
              <w:ind w:firstLine="0"/>
              <w:jc w:val="center"/>
              <w:rPr>
                <w:color w:val="auto"/>
                <w:sz w:val="18"/>
                <w:szCs w:val="18"/>
                <w:lang w:eastAsia="zh-CN"/>
              </w:rPr>
            </w:pPr>
            <w:r>
              <w:rPr>
                <w:color w:val="auto"/>
                <w:sz w:val="18"/>
                <w:szCs w:val="18"/>
                <w:lang w:eastAsia="zh-CN"/>
              </w:rPr>
              <w:t>0.0005</w:t>
            </w:r>
          </w:p>
        </w:tc>
        <w:tc>
          <w:tcPr>
            <w:tcW w:w="1154" w:type="dxa"/>
            <w:vAlign w:val="center"/>
          </w:tcPr>
          <w:p w14:paraId="6A411F6B">
            <w:pPr>
              <w:pStyle w:val="23"/>
              <w:widowControl w:val="0"/>
              <w:spacing w:line="240" w:lineRule="auto"/>
              <w:ind w:firstLine="0"/>
              <w:jc w:val="center"/>
              <w:rPr>
                <w:color w:val="auto"/>
                <w:sz w:val="18"/>
                <w:szCs w:val="18"/>
                <w:lang w:eastAsia="zh-CN"/>
              </w:rPr>
            </w:pPr>
            <w:r>
              <w:rPr>
                <w:color w:val="auto"/>
                <w:sz w:val="18"/>
                <w:szCs w:val="18"/>
                <w:lang w:eastAsia="zh-CN"/>
              </w:rPr>
              <w:t>Yes</w:t>
            </w:r>
          </w:p>
        </w:tc>
      </w:tr>
      <w:tr w14:paraId="723E3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restart"/>
          </w:tcPr>
          <w:p w14:paraId="60E02128">
            <w:pPr>
              <w:pStyle w:val="23"/>
              <w:widowControl w:val="0"/>
              <w:spacing w:line="240" w:lineRule="auto"/>
              <w:ind w:firstLine="0"/>
              <w:rPr>
                <w:color w:val="auto"/>
                <w:sz w:val="18"/>
                <w:szCs w:val="18"/>
                <w:lang w:eastAsia="zh-CN"/>
              </w:rPr>
            </w:pPr>
            <w:r>
              <w:rPr>
                <w:color w:val="auto"/>
                <w:sz w:val="18"/>
                <w:szCs w:val="18"/>
                <w:lang w:eastAsia="zh-CN"/>
              </w:rPr>
              <w:t>3</w:t>
            </w:r>
          </w:p>
        </w:tc>
        <w:tc>
          <w:tcPr>
            <w:tcW w:w="1142" w:type="dxa"/>
            <w:vMerge w:val="restart"/>
          </w:tcPr>
          <w:p w14:paraId="1164EE53">
            <w:pPr>
              <w:pStyle w:val="23"/>
              <w:widowControl w:val="0"/>
              <w:spacing w:line="240" w:lineRule="auto"/>
              <w:ind w:firstLine="0"/>
              <w:jc w:val="center"/>
              <w:rPr>
                <w:color w:val="auto"/>
                <w:sz w:val="18"/>
                <w:szCs w:val="18"/>
                <w:lang w:eastAsia="zh-CN"/>
              </w:rPr>
            </w:pPr>
            <w:r>
              <w:rPr>
                <w:color w:val="auto"/>
                <w:sz w:val="18"/>
                <w:szCs w:val="18"/>
                <w:lang w:eastAsia="zh-CN"/>
              </w:rPr>
              <w:t>First-sem. grade average</w:t>
            </w:r>
          </w:p>
        </w:tc>
        <w:tc>
          <w:tcPr>
            <w:tcW w:w="1468" w:type="dxa"/>
          </w:tcPr>
          <w:p w14:paraId="6817A41E">
            <w:pPr>
              <w:pStyle w:val="23"/>
              <w:widowControl w:val="0"/>
              <w:spacing w:line="240" w:lineRule="auto"/>
              <w:ind w:firstLine="0"/>
              <w:rPr>
                <w:color w:val="auto"/>
                <w:sz w:val="18"/>
                <w:szCs w:val="18"/>
                <w:lang w:eastAsia="pl-PL"/>
              </w:rPr>
            </w:pPr>
            <w:r>
              <w:rPr>
                <w:color w:val="auto"/>
                <w:sz w:val="18"/>
                <w:szCs w:val="18"/>
                <w:lang w:eastAsia="zh-CN"/>
              </w:rPr>
              <w:t xml:space="preserve">Enrolled </w:t>
            </w:r>
          </w:p>
        </w:tc>
        <w:tc>
          <w:tcPr>
            <w:tcW w:w="640" w:type="dxa"/>
            <w:vAlign w:val="center"/>
          </w:tcPr>
          <w:p w14:paraId="6DFFF50D">
            <w:pPr>
              <w:pStyle w:val="23"/>
              <w:widowControl w:val="0"/>
              <w:spacing w:line="240" w:lineRule="auto"/>
              <w:ind w:firstLine="0"/>
              <w:jc w:val="center"/>
              <w:rPr>
                <w:color w:val="auto"/>
                <w:sz w:val="18"/>
                <w:szCs w:val="18"/>
                <w:lang w:eastAsia="zh-CN"/>
              </w:rPr>
            </w:pPr>
            <w:r>
              <w:rPr>
                <w:color w:val="auto"/>
                <w:sz w:val="18"/>
                <w:szCs w:val="18"/>
                <w:lang w:eastAsia="zh-CN"/>
              </w:rPr>
              <w:t>0.979</w:t>
            </w:r>
          </w:p>
        </w:tc>
        <w:tc>
          <w:tcPr>
            <w:tcW w:w="629" w:type="dxa"/>
            <w:vAlign w:val="center"/>
          </w:tcPr>
          <w:p w14:paraId="0F68F1FB">
            <w:pPr>
              <w:pStyle w:val="23"/>
              <w:widowControl w:val="0"/>
              <w:spacing w:line="240" w:lineRule="auto"/>
              <w:ind w:firstLine="0"/>
              <w:jc w:val="center"/>
              <w:rPr>
                <w:color w:val="auto"/>
                <w:sz w:val="18"/>
                <w:szCs w:val="18"/>
                <w:lang w:eastAsia="zh-CN"/>
              </w:rPr>
            </w:pPr>
            <w:r>
              <w:rPr>
                <w:color w:val="auto"/>
                <w:sz w:val="18"/>
                <w:szCs w:val="18"/>
                <w:lang w:eastAsia="zh-CN"/>
              </w:rPr>
              <w:t>0.116</w:t>
            </w:r>
          </w:p>
        </w:tc>
        <w:tc>
          <w:tcPr>
            <w:tcW w:w="781" w:type="dxa"/>
            <w:vAlign w:val="center"/>
          </w:tcPr>
          <w:p w14:paraId="4817E035">
            <w:pPr>
              <w:pStyle w:val="23"/>
              <w:widowControl w:val="0"/>
              <w:spacing w:line="240" w:lineRule="auto"/>
              <w:ind w:firstLine="0"/>
              <w:jc w:val="center"/>
              <w:rPr>
                <w:color w:val="auto"/>
                <w:sz w:val="18"/>
                <w:szCs w:val="18"/>
                <w:lang w:eastAsia="zh-CN"/>
              </w:rPr>
            </w:pPr>
            <w:r>
              <w:rPr>
                <w:color w:val="auto"/>
                <w:sz w:val="18"/>
                <w:szCs w:val="18"/>
                <w:lang w:eastAsia="zh-CN"/>
              </w:rPr>
              <w:t>8.44</w:t>
            </w:r>
          </w:p>
        </w:tc>
        <w:tc>
          <w:tcPr>
            <w:tcW w:w="862" w:type="dxa"/>
            <w:vAlign w:val="center"/>
          </w:tcPr>
          <w:p w14:paraId="570129AB">
            <w:pPr>
              <w:pStyle w:val="23"/>
              <w:widowControl w:val="0"/>
              <w:spacing w:line="240" w:lineRule="auto"/>
              <w:ind w:firstLine="0"/>
              <w:jc w:val="center"/>
              <w:rPr>
                <w:color w:val="auto"/>
                <w:sz w:val="18"/>
                <w:szCs w:val="18"/>
                <w:lang w:eastAsia="zh-CN"/>
              </w:rPr>
            </w:pPr>
            <w:r>
              <w:rPr>
                <w:color w:val="auto"/>
                <w:sz w:val="18"/>
                <w:szCs w:val="18"/>
                <w:lang w:eastAsia="zh-CN"/>
              </w:rPr>
              <w:t>&lt;0.0001</w:t>
            </w:r>
          </w:p>
        </w:tc>
        <w:tc>
          <w:tcPr>
            <w:tcW w:w="1154" w:type="dxa"/>
            <w:vAlign w:val="center"/>
          </w:tcPr>
          <w:p w14:paraId="62A86BD9">
            <w:pPr>
              <w:pStyle w:val="23"/>
              <w:widowControl w:val="0"/>
              <w:spacing w:line="240" w:lineRule="auto"/>
              <w:ind w:firstLine="0"/>
              <w:jc w:val="center"/>
              <w:rPr>
                <w:color w:val="auto"/>
                <w:sz w:val="18"/>
                <w:szCs w:val="18"/>
                <w:lang w:eastAsia="zh-CN"/>
              </w:rPr>
            </w:pPr>
            <w:r>
              <w:rPr>
                <w:color w:val="auto"/>
                <w:sz w:val="18"/>
                <w:szCs w:val="18"/>
                <w:lang w:eastAsia="zh-CN"/>
              </w:rPr>
              <w:t>Yes</w:t>
            </w:r>
          </w:p>
        </w:tc>
      </w:tr>
      <w:tr w14:paraId="0A0DD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continue"/>
          </w:tcPr>
          <w:p w14:paraId="58FBDF37">
            <w:pPr>
              <w:pStyle w:val="23"/>
              <w:widowControl w:val="0"/>
              <w:spacing w:line="240" w:lineRule="auto"/>
              <w:jc w:val="center"/>
              <w:rPr>
                <w:color w:val="auto"/>
                <w:sz w:val="18"/>
                <w:szCs w:val="18"/>
                <w:lang w:eastAsia="zh-CN"/>
              </w:rPr>
            </w:pPr>
          </w:p>
        </w:tc>
        <w:tc>
          <w:tcPr>
            <w:tcW w:w="1142" w:type="dxa"/>
            <w:vMerge w:val="continue"/>
          </w:tcPr>
          <w:p w14:paraId="51AF295B">
            <w:pPr>
              <w:pStyle w:val="23"/>
              <w:widowControl w:val="0"/>
              <w:spacing w:line="240" w:lineRule="auto"/>
              <w:jc w:val="center"/>
              <w:rPr>
                <w:color w:val="auto"/>
                <w:sz w:val="18"/>
                <w:szCs w:val="18"/>
                <w:lang w:eastAsia="zh-CN"/>
              </w:rPr>
            </w:pPr>
          </w:p>
        </w:tc>
        <w:tc>
          <w:tcPr>
            <w:tcW w:w="1468" w:type="dxa"/>
          </w:tcPr>
          <w:p w14:paraId="47D262DF">
            <w:pPr>
              <w:pStyle w:val="23"/>
              <w:widowControl w:val="0"/>
              <w:spacing w:line="240" w:lineRule="auto"/>
              <w:ind w:firstLine="0"/>
              <w:rPr>
                <w:color w:val="auto"/>
                <w:sz w:val="18"/>
                <w:szCs w:val="18"/>
                <w:lang w:eastAsia="pl-PL"/>
              </w:rPr>
            </w:pPr>
            <w:r>
              <w:rPr>
                <w:color w:val="auto"/>
                <w:sz w:val="18"/>
                <w:szCs w:val="18"/>
                <w:lang w:eastAsia="zh-CN"/>
              </w:rPr>
              <w:t xml:space="preserve">Graduate </w:t>
            </w:r>
          </w:p>
        </w:tc>
        <w:tc>
          <w:tcPr>
            <w:tcW w:w="640" w:type="dxa"/>
            <w:vAlign w:val="center"/>
          </w:tcPr>
          <w:p w14:paraId="6D27E48B">
            <w:pPr>
              <w:pStyle w:val="23"/>
              <w:widowControl w:val="0"/>
              <w:spacing w:line="240" w:lineRule="auto"/>
              <w:ind w:firstLine="0"/>
              <w:jc w:val="center"/>
              <w:rPr>
                <w:color w:val="auto"/>
                <w:sz w:val="18"/>
                <w:szCs w:val="18"/>
                <w:lang w:eastAsia="zh-CN"/>
              </w:rPr>
            </w:pPr>
            <w:r>
              <w:rPr>
                <w:color w:val="auto"/>
                <w:sz w:val="18"/>
                <w:szCs w:val="18"/>
                <w:lang w:eastAsia="zh-CN"/>
              </w:rPr>
              <w:t>1.793</w:t>
            </w:r>
          </w:p>
        </w:tc>
        <w:tc>
          <w:tcPr>
            <w:tcW w:w="629" w:type="dxa"/>
            <w:vAlign w:val="center"/>
          </w:tcPr>
          <w:p w14:paraId="2E77990A">
            <w:pPr>
              <w:pStyle w:val="23"/>
              <w:widowControl w:val="0"/>
              <w:spacing w:line="240" w:lineRule="auto"/>
              <w:ind w:firstLine="0"/>
              <w:jc w:val="center"/>
              <w:rPr>
                <w:color w:val="auto"/>
                <w:sz w:val="18"/>
                <w:szCs w:val="18"/>
                <w:lang w:eastAsia="zh-CN"/>
              </w:rPr>
            </w:pPr>
            <w:r>
              <w:rPr>
                <w:color w:val="auto"/>
                <w:sz w:val="18"/>
                <w:szCs w:val="18"/>
                <w:lang w:eastAsia="zh-CN"/>
              </w:rPr>
              <w:t>0.146</w:t>
            </w:r>
          </w:p>
        </w:tc>
        <w:tc>
          <w:tcPr>
            <w:tcW w:w="781" w:type="dxa"/>
            <w:vAlign w:val="center"/>
          </w:tcPr>
          <w:p w14:paraId="3D36E7E1">
            <w:pPr>
              <w:pStyle w:val="23"/>
              <w:widowControl w:val="0"/>
              <w:spacing w:line="240" w:lineRule="auto"/>
              <w:ind w:firstLine="0"/>
              <w:jc w:val="center"/>
              <w:rPr>
                <w:color w:val="auto"/>
                <w:sz w:val="18"/>
                <w:szCs w:val="18"/>
                <w:lang w:eastAsia="zh-CN"/>
              </w:rPr>
            </w:pPr>
            <w:r>
              <w:rPr>
                <w:color w:val="auto"/>
                <w:sz w:val="18"/>
                <w:szCs w:val="18"/>
                <w:lang w:eastAsia="zh-CN"/>
              </w:rPr>
              <w:t>12.28</w:t>
            </w:r>
          </w:p>
        </w:tc>
        <w:tc>
          <w:tcPr>
            <w:tcW w:w="862" w:type="dxa"/>
            <w:vAlign w:val="center"/>
          </w:tcPr>
          <w:p w14:paraId="7E6A7502">
            <w:pPr>
              <w:pStyle w:val="23"/>
              <w:widowControl w:val="0"/>
              <w:spacing w:line="240" w:lineRule="auto"/>
              <w:ind w:firstLine="0"/>
              <w:jc w:val="center"/>
              <w:rPr>
                <w:color w:val="auto"/>
                <w:sz w:val="18"/>
                <w:szCs w:val="18"/>
                <w:lang w:eastAsia="zh-CN"/>
              </w:rPr>
            </w:pPr>
            <w:r>
              <w:rPr>
                <w:color w:val="auto"/>
                <w:sz w:val="18"/>
                <w:szCs w:val="18"/>
                <w:lang w:eastAsia="zh-CN"/>
              </w:rPr>
              <w:t>&lt;0.0001</w:t>
            </w:r>
          </w:p>
        </w:tc>
        <w:tc>
          <w:tcPr>
            <w:tcW w:w="1154" w:type="dxa"/>
            <w:vAlign w:val="center"/>
          </w:tcPr>
          <w:p w14:paraId="5517B880">
            <w:pPr>
              <w:pStyle w:val="23"/>
              <w:widowControl w:val="0"/>
              <w:spacing w:line="240" w:lineRule="auto"/>
              <w:ind w:firstLine="0"/>
              <w:jc w:val="center"/>
              <w:rPr>
                <w:color w:val="auto"/>
                <w:sz w:val="18"/>
                <w:szCs w:val="18"/>
                <w:lang w:eastAsia="zh-CN"/>
              </w:rPr>
            </w:pPr>
            <w:r>
              <w:rPr>
                <w:color w:val="auto"/>
                <w:sz w:val="18"/>
                <w:szCs w:val="18"/>
                <w:lang w:eastAsia="zh-CN"/>
              </w:rPr>
              <w:t>Yes</w:t>
            </w:r>
          </w:p>
        </w:tc>
      </w:tr>
      <w:tr w14:paraId="1BAE0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restart"/>
          </w:tcPr>
          <w:p w14:paraId="507885E2">
            <w:pPr>
              <w:pStyle w:val="23"/>
              <w:widowControl w:val="0"/>
              <w:spacing w:line="240" w:lineRule="auto"/>
              <w:ind w:firstLine="0"/>
              <w:rPr>
                <w:color w:val="auto"/>
                <w:sz w:val="18"/>
                <w:szCs w:val="18"/>
                <w:lang w:eastAsia="zh-CN"/>
              </w:rPr>
            </w:pPr>
            <w:r>
              <w:rPr>
                <w:color w:val="auto"/>
                <w:sz w:val="18"/>
                <w:szCs w:val="18"/>
                <w:lang w:eastAsia="zh-CN"/>
              </w:rPr>
              <w:t>4</w:t>
            </w:r>
          </w:p>
        </w:tc>
        <w:tc>
          <w:tcPr>
            <w:tcW w:w="1142" w:type="dxa"/>
            <w:vMerge w:val="restart"/>
          </w:tcPr>
          <w:p w14:paraId="3AB50126">
            <w:pPr>
              <w:pStyle w:val="23"/>
              <w:widowControl w:val="0"/>
              <w:spacing w:line="240" w:lineRule="auto"/>
              <w:ind w:firstLine="0"/>
              <w:jc w:val="center"/>
              <w:rPr>
                <w:color w:val="auto"/>
                <w:sz w:val="18"/>
                <w:szCs w:val="18"/>
                <w:lang w:eastAsia="zh-CN"/>
              </w:rPr>
            </w:pPr>
            <w:r>
              <w:rPr>
                <w:color w:val="auto"/>
                <w:sz w:val="18"/>
                <w:szCs w:val="18"/>
                <w:lang w:eastAsia="zh-CN"/>
              </w:rPr>
              <w:t>Tuition fees up to date</w:t>
            </w:r>
          </w:p>
        </w:tc>
        <w:tc>
          <w:tcPr>
            <w:tcW w:w="1468" w:type="dxa"/>
          </w:tcPr>
          <w:p w14:paraId="4CF9E4AC">
            <w:pPr>
              <w:pStyle w:val="23"/>
              <w:widowControl w:val="0"/>
              <w:spacing w:line="240" w:lineRule="auto"/>
              <w:ind w:firstLine="0"/>
              <w:rPr>
                <w:color w:val="auto"/>
                <w:sz w:val="18"/>
                <w:szCs w:val="18"/>
                <w:lang w:eastAsia="pl-PL"/>
              </w:rPr>
            </w:pPr>
            <w:r>
              <w:rPr>
                <w:color w:val="auto"/>
                <w:sz w:val="18"/>
                <w:szCs w:val="18"/>
                <w:lang w:eastAsia="zh-CN"/>
              </w:rPr>
              <w:t xml:space="preserve">Enrolled </w:t>
            </w:r>
          </w:p>
        </w:tc>
        <w:tc>
          <w:tcPr>
            <w:tcW w:w="640" w:type="dxa"/>
            <w:vAlign w:val="center"/>
          </w:tcPr>
          <w:p w14:paraId="29C67A78">
            <w:pPr>
              <w:pStyle w:val="23"/>
              <w:widowControl w:val="0"/>
              <w:spacing w:line="240" w:lineRule="auto"/>
              <w:ind w:firstLine="0"/>
              <w:jc w:val="center"/>
              <w:rPr>
                <w:color w:val="auto"/>
                <w:sz w:val="18"/>
                <w:szCs w:val="18"/>
                <w:lang w:eastAsia="zh-CN"/>
              </w:rPr>
            </w:pPr>
            <w:r>
              <w:rPr>
                <w:color w:val="auto"/>
                <w:sz w:val="18"/>
                <w:szCs w:val="18"/>
                <w:lang w:eastAsia="zh-CN"/>
              </w:rPr>
              <w:t>2.159</w:t>
            </w:r>
          </w:p>
        </w:tc>
        <w:tc>
          <w:tcPr>
            <w:tcW w:w="629" w:type="dxa"/>
            <w:vAlign w:val="center"/>
          </w:tcPr>
          <w:p w14:paraId="3E551B38">
            <w:pPr>
              <w:pStyle w:val="23"/>
              <w:widowControl w:val="0"/>
              <w:spacing w:line="240" w:lineRule="auto"/>
              <w:ind w:firstLine="0"/>
              <w:jc w:val="center"/>
              <w:rPr>
                <w:color w:val="auto"/>
                <w:sz w:val="18"/>
                <w:szCs w:val="18"/>
                <w:lang w:eastAsia="zh-CN"/>
              </w:rPr>
            </w:pPr>
            <w:r>
              <w:rPr>
                <w:color w:val="auto"/>
                <w:sz w:val="18"/>
                <w:szCs w:val="18"/>
                <w:lang w:eastAsia="zh-CN"/>
              </w:rPr>
              <w:t>0.237</w:t>
            </w:r>
          </w:p>
        </w:tc>
        <w:tc>
          <w:tcPr>
            <w:tcW w:w="781" w:type="dxa"/>
            <w:vAlign w:val="center"/>
          </w:tcPr>
          <w:p w14:paraId="62021413">
            <w:pPr>
              <w:pStyle w:val="23"/>
              <w:widowControl w:val="0"/>
              <w:spacing w:line="240" w:lineRule="auto"/>
              <w:ind w:firstLine="0"/>
              <w:jc w:val="center"/>
              <w:rPr>
                <w:color w:val="auto"/>
                <w:sz w:val="18"/>
                <w:szCs w:val="18"/>
                <w:lang w:eastAsia="zh-CN"/>
              </w:rPr>
            </w:pPr>
            <w:r>
              <w:rPr>
                <w:color w:val="auto"/>
                <w:sz w:val="18"/>
                <w:szCs w:val="18"/>
                <w:lang w:eastAsia="zh-CN"/>
              </w:rPr>
              <w:t>9.10</w:t>
            </w:r>
          </w:p>
        </w:tc>
        <w:tc>
          <w:tcPr>
            <w:tcW w:w="862" w:type="dxa"/>
            <w:vAlign w:val="center"/>
          </w:tcPr>
          <w:p w14:paraId="04C909DA">
            <w:pPr>
              <w:pStyle w:val="23"/>
              <w:widowControl w:val="0"/>
              <w:spacing w:line="240" w:lineRule="auto"/>
              <w:ind w:firstLine="0"/>
              <w:jc w:val="center"/>
              <w:rPr>
                <w:color w:val="auto"/>
                <w:sz w:val="18"/>
                <w:szCs w:val="18"/>
                <w:lang w:eastAsia="zh-CN"/>
              </w:rPr>
            </w:pPr>
            <w:r>
              <w:rPr>
                <w:color w:val="auto"/>
                <w:sz w:val="18"/>
                <w:szCs w:val="18"/>
                <w:lang w:eastAsia="zh-CN"/>
              </w:rPr>
              <w:t>&lt;0.0001</w:t>
            </w:r>
          </w:p>
        </w:tc>
        <w:tc>
          <w:tcPr>
            <w:tcW w:w="1154" w:type="dxa"/>
            <w:vAlign w:val="center"/>
          </w:tcPr>
          <w:p w14:paraId="2F8BA7B8">
            <w:pPr>
              <w:pStyle w:val="23"/>
              <w:widowControl w:val="0"/>
              <w:spacing w:line="240" w:lineRule="auto"/>
              <w:ind w:firstLine="0"/>
              <w:jc w:val="center"/>
              <w:rPr>
                <w:color w:val="auto"/>
                <w:sz w:val="18"/>
                <w:szCs w:val="18"/>
                <w:lang w:eastAsia="zh-CN"/>
              </w:rPr>
            </w:pPr>
            <w:r>
              <w:rPr>
                <w:color w:val="auto"/>
                <w:sz w:val="18"/>
                <w:szCs w:val="18"/>
                <w:lang w:eastAsia="zh-CN"/>
              </w:rPr>
              <w:t>Yes</w:t>
            </w:r>
          </w:p>
        </w:tc>
      </w:tr>
      <w:tr w14:paraId="53A5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continue"/>
          </w:tcPr>
          <w:p w14:paraId="7E7C6103">
            <w:pPr>
              <w:pStyle w:val="23"/>
              <w:widowControl w:val="0"/>
              <w:spacing w:line="240" w:lineRule="auto"/>
              <w:jc w:val="center"/>
              <w:rPr>
                <w:color w:val="auto"/>
                <w:sz w:val="18"/>
                <w:szCs w:val="18"/>
                <w:lang w:eastAsia="zh-CN"/>
              </w:rPr>
            </w:pPr>
          </w:p>
        </w:tc>
        <w:tc>
          <w:tcPr>
            <w:tcW w:w="1142" w:type="dxa"/>
            <w:vMerge w:val="continue"/>
          </w:tcPr>
          <w:p w14:paraId="04A2B8EA">
            <w:pPr>
              <w:pStyle w:val="23"/>
              <w:widowControl w:val="0"/>
              <w:spacing w:line="240" w:lineRule="auto"/>
              <w:jc w:val="center"/>
              <w:rPr>
                <w:color w:val="auto"/>
                <w:sz w:val="18"/>
                <w:szCs w:val="18"/>
                <w:lang w:eastAsia="zh-CN"/>
              </w:rPr>
            </w:pPr>
          </w:p>
        </w:tc>
        <w:tc>
          <w:tcPr>
            <w:tcW w:w="1468" w:type="dxa"/>
          </w:tcPr>
          <w:p w14:paraId="719C9031">
            <w:pPr>
              <w:pStyle w:val="23"/>
              <w:widowControl w:val="0"/>
              <w:spacing w:line="240" w:lineRule="auto"/>
              <w:ind w:firstLine="0"/>
              <w:rPr>
                <w:color w:val="auto"/>
                <w:sz w:val="18"/>
                <w:szCs w:val="18"/>
                <w:lang w:eastAsia="pl-PL"/>
              </w:rPr>
            </w:pPr>
            <w:r>
              <w:rPr>
                <w:color w:val="auto"/>
                <w:sz w:val="18"/>
                <w:szCs w:val="18"/>
                <w:lang w:eastAsia="zh-CN"/>
              </w:rPr>
              <w:t xml:space="preserve">Graduate </w:t>
            </w:r>
          </w:p>
        </w:tc>
        <w:tc>
          <w:tcPr>
            <w:tcW w:w="640" w:type="dxa"/>
            <w:vAlign w:val="center"/>
          </w:tcPr>
          <w:p w14:paraId="1E54A7EE">
            <w:pPr>
              <w:pStyle w:val="23"/>
              <w:widowControl w:val="0"/>
              <w:spacing w:line="240" w:lineRule="auto"/>
              <w:ind w:firstLine="0"/>
              <w:jc w:val="center"/>
              <w:rPr>
                <w:color w:val="auto"/>
                <w:sz w:val="18"/>
                <w:szCs w:val="18"/>
                <w:lang w:eastAsia="zh-CN"/>
              </w:rPr>
            </w:pPr>
            <w:r>
              <w:rPr>
                <w:color w:val="auto"/>
                <w:sz w:val="18"/>
                <w:szCs w:val="18"/>
                <w:lang w:eastAsia="zh-CN"/>
              </w:rPr>
              <w:t>2.939</w:t>
            </w:r>
          </w:p>
        </w:tc>
        <w:tc>
          <w:tcPr>
            <w:tcW w:w="629" w:type="dxa"/>
            <w:vAlign w:val="center"/>
          </w:tcPr>
          <w:p w14:paraId="30BB2051">
            <w:pPr>
              <w:pStyle w:val="23"/>
              <w:widowControl w:val="0"/>
              <w:spacing w:line="240" w:lineRule="auto"/>
              <w:ind w:firstLine="0"/>
              <w:jc w:val="center"/>
              <w:rPr>
                <w:color w:val="auto"/>
                <w:sz w:val="18"/>
                <w:szCs w:val="18"/>
                <w:lang w:eastAsia="zh-CN"/>
              </w:rPr>
            </w:pPr>
            <w:r>
              <w:rPr>
                <w:color w:val="auto"/>
                <w:sz w:val="18"/>
                <w:szCs w:val="18"/>
                <w:lang w:eastAsia="zh-CN"/>
              </w:rPr>
              <w:t>0.277</w:t>
            </w:r>
          </w:p>
        </w:tc>
        <w:tc>
          <w:tcPr>
            <w:tcW w:w="781" w:type="dxa"/>
            <w:vAlign w:val="center"/>
          </w:tcPr>
          <w:p w14:paraId="15D38883">
            <w:pPr>
              <w:pStyle w:val="23"/>
              <w:widowControl w:val="0"/>
              <w:spacing w:line="240" w:lineRule="auto"/>
              <w:ind w:firstLine="0"/>
              <w:jc w:val="center"/>
              <w:rPr>
                <w:color w:val="auto"/>
                <w:sz w:val="18"/>
                <w:szCs w:val="18"/>
                <w:lang w:eastAsia="zh-CN"/>
              </w:rPr>
            </w:pPr>
            <w:r>
              <w:rPr>
                <w:color w:val="auto"/>
                <w:sz w:val="18"/>
                <w:szCs w:val="18"/>
                <w:lang w:eastAsia="zh-CN"/>
              </w:rPr>
              <w:t>10.61</w:t>
            </w:r>
          </w:p>
        </w:tc>
        <w:tc>
          <w:tcPr>
            <w:tcW w:w="862" w:type="dxa"/>
            <w:vAlign w:val="center"/>
          </w:tcPr>
          <w:p w14:paraId="6F28CF32">
            <w:pPr>
              <w:pStyle w:val="23"/>
              <w:widowControl w:val="0"/>
              <w:spacing w:line="240" w:lineRule="auto"/>
              <w:ind w:firstLine="0"/>
              <w:jc w:val="center"/>
              <w:rPr>
                <w:color w:val="auto"/>
                <w:sz w:val="18"/>
                <w:szCs w:val="18"/>
                <w:lang w:eastAsia="zh-CN"/>
              </w:rPr>
            </w:pPr>
            <w:r>
              <w:rPr>
                <w:color w:val="auto"/>
                <w:sz w:val="18"/>
                <w:szCs w:val="18"/>
                <w:lang w:eastAsia="zh-CN"/>
              </w:rPr>
              <w:t>&lt;0.0001</w:t>
            </w:r>
          </w:p>
        </w:tc>
        <w:tc>
          <w:tcPr>
            <w:tcW w:w="1154" w:type="dxa"/>
            <w:vAlign w:val="center"/>
          </w:tcPr>
          <w:p w14:paraId="0BA1A78E">
            <w:pPr>
              <w:pStyle w:val="23"/>
              <w:widowControl w:val="0"/>
              <w:spacing w:line="240" w:lineRule="auto"/>
              <w:ind w:firstLine="0"/>
              <w:jc w:val="center"/>
              <w:rPr>
                <w:color w:val="auto"/>
                <w:sz w:val="18"/>
                <w:szCs w:val="18"/>
                <w:lang w:eastAsia="zh-CN"/>
              </w:rPr>
            </w:pPr>
            <w:r>
              <w:rPr>
                <w:color w:val="auto"/>
                <w:sz w:val="18"/>
                <w:szCs w:val="18"/>
                <w:lang w:eastAsia="zh-CN"/>
              </w:rPr>
              <w:t>Yes</w:t>
            </w:r>
          </w:p>
        </w:tc>
      </w:tr>
      <w:tr w14:paraId="167B8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restart"/>
          </w:tcPr>
          <w:p w14:paraId="14D50601">
            <w:pPr>
              <w:pStyle w:val="23"/>
              <w:widowControl w:val="0"/>
              <w:spacing w:line="240" w:lineRule="auto"/>
              <w:ind w:firstLine="0"/>
              <w:rPr>
                <w:color w:val="auto"/>
                <w:sz w:val="18"/>
                <w:szCs w:val="18"/>
                <w:lang w:eastAsia="zh-CN"/>
              </w:rPr>
            </w:pPr>
            <w:r>
              <w:rPr>
                <w:color w:val="auto"/>
                <w:sz w:val="18"/>
                <w:szCs w:val="18"/>
                <w:lang w:eastAsia="zh-CN"/>
              </w:rPr>
              <w:t>5</w:t>
            </w:r>
          </w:p>
        </w:tc>
        <w:tc>
          <w:tcPr>
            <w:tcW w:w="1142" w:type="dxa"/>
            <w:vMerge w:val="restart"/>
          </w:tcPr>
          <w:p w14:paraId="4B5417E0">
            <w:pPr>
              <w:pStyle w:val="23"/>
              <w:widowControl w:val="0"/>
              <w:spacing w:line="240" w:lineRule="auto"/>
              <w:ind w:firstLine="0"/>
              <w:jc w:val="center"/>
              <w:rPr>
                <w:color w:val="auto"/>
                <w:sz w:val="18"/>
                <w:szCs w:val="18"/>
                <w:lang w:eastAsia="zh-CN"/>
              </w:rPr>
            </w:pPr>
            <w:r>
              <w:rPr>
                <w:color w:val="auto"/>
                <w:sz w:val="18"/>
                <w:szCs w:val="18"/>
                <w:lang w:eastAsia="zh-CN"/>
              </w:rPr>
              <w:t>Scholarship holder</w:t>
            </w:r>
          </w:p>
        </w:tc>
        <w:tc>
          <w:tcPr>
            <w:tcW w:w="1468" w:type="dxa"/>
          </w:tcPr>
          <w:p w14:paraId="7424B919">
            <w:pPr>
              <w:pStyle w:val="23"/>
              <w:widowControl w:val="0"/>
              <w:spacing w:line="240" w:lineRule="auto"/>
              <w:ind w:firstLine="0"/>
              <w:rPr>
                <w:color w:val="auto"/>
                <w:sz w:val="18"/>
                <w:szCs w:val="18"/>
                <w:lang w:eastAsia="pl-PL"/>
              </w:rPr>
            </w:pPr>
            <w:r>
              <w:rPr>
                <w:color w:val="auto"/>
                <w:sz w:val="18"/>
                <w:szCs w:val="18"/>
                <w:lang w:eastAsia="zh-CN"/>
              </w:rPr>
              <w:t xml:space="preserve">Enrolled </w:t>
            </w:r>
          </w:p>
        </w:tc>
        <w:tc>
          <w:tcPr>
            <w:tcW w:w="640" w:type="dxa"/>
            <w:vAlign w:val="center"/>
          </w:tcPr>
          <w:p w14:paraId="3FDDF449">
            <w:pPr>
              <w:pStyle w:val="23"/>
              <w:widowControl w:val="0"/>
              <w:spacing w:line="240" w:lineRule="auto"/>
              <w:ind w:firstLine="0"/>
              <w:jc w:val="center"/>
              <w:rPr>
                <w:color w:val="auto"/>
                <w:sz w:val="18"/>
                <w:szCs w:val="18"/>
                <w:lang w:eastAsia="zh-CN"/>
              </w:rPr>
            </w:pPr>
            <w:r>
              <w:rPr>
                <w:color w:val="auto"/>
                <w:sz w:val="18"/>
                <w:szCs w:val="18"/>
                <w:lang w:eastAsia="zh-CN"/>
              </w:rPr>
              <w:t>0.278</w:t>
            </w:r>
          </w:p>
        </w:tc>
        <w:tc>
          <w:tcPr>
            <w:tcW w:w="629" w:type="dxa"/>
            <w:vAlign w:val="center"/>
          </w:tcPr>
          <w:p w14:paraId="40F16644">
            <w:pPr>
              <w:pStyle w:val="23"/>
              <w:widowControl w:val="0"/>
              <w:spacing w:line="240" w:lineRule="auto"/>
              <w:ind w:firstLine="0"/>
              <w:jc w:val="center"/>
              <w:rPr>
                <w:color w:val="auto"/>
                <w:sz w:val="18"/>
                <w:szCs w:val="18"/>
                <w:lang w:eastAsia="zh-CN"/>
              </w:rPr>
            </w:pPr>
            <w:r>
              <w:rPr>
                <w:color w:val="auto"/>
                <w:sz w:val="18"/>
                <w:szCs w:val="18"/>
                <w:lang w:eastAsia="zh-CN"/>
              </w:rPr>
              <w:t>0.180</w:t>
            </w:r>
          </w:p>
        </w:tc>
        <w:tc>
          <w:tcPr>
            <w:tcW w:w="781" w:type="dxa"/>
            <w:vAlign w:val="center"/>
          </w:tcPr>
          <w:p w14:paraId="07ED1F11">
            <w:pPr>
              <w:pStyle w:val="23"/>
              <w:widowControl w:val="0"/>
              <w:spacing w:line="240" w:lineRule="auto"/>
              <w:ind w:firstLine="0"/>
              <w:jc w:val="center"/>
              <w:rPr>
                <w:color w:val="auto"/>
                <w:sz w:val="18"/>
                <w:szCs w:val="18"/>
                <w:lang w:eastAsia="zh-CN"/>
              </w:rPr>
            </w:pPr>
            <w:r>
              <w:rPr>
                <w:color w:val="auto"/>
                <w:sz w:val="18"/>
                <w:szCs w:val="18"/>
                <w:lang w:eastAsia="zh-CN"/>
              </w:rPr>
              <w:t>1.55</w:t>
            </w:r>
          </w:p>
        </w:tc>
        <w:tc>
          <w:tcPr>
            <w:tcW w:w="862" w:type="dxa"/>
            <w:vAlign w:val="center"/>
          </w:tcPr>
          <w:p w14:paraId="2ECD72EB">
            <w:pPr>
              <w:pStyle w:val="23"/>
              <w:widowControl w:val="0"/>
              <w:spacing w:line="240" w:lineRule="auto"/>
              <w:ind w:firstLine="0"/>
              <w:jc w:val="center"/>
              <w:rPr>
                <w:color w:val="auto"/>
                <w:sz w:val="18"/>
                <w:szCs w:val="18"/>
                <w:lang w:eastAsia="zh-CN"/>
              </w:rPr>
            </w:pPr>
            <w:r>
              <w:rPr>
                <w:color w:val="auto"/>
                <w:sz w:val="18"/>
                <w:szCs w:val="18"/>
                <w:lang w:eastAsia="zh-CN"/>
              </w:rPr>
              <w:t>0.12</w:t>
            </w:r>
          </w:p>
        </w:tc>
        <w:tc>
          <w:tcPr>
            <w:tcW w:w="1154" w:type="dxa"/>
            <w:vAlign w:val="center"/>
          </w:tcPr>
          <w:p w14:paraId="1ABE6D80">
            <w:pPr>
              <w:pStyle w:val="23"/>
              <w:widowControl w:val="0"/>
              <w:spacing w:line="240" w:lineRule="auto"/>
              <w:ind w:firstLine="0"/>
              <w:jc w:val="center"/>
              <w:rPr>
                <w:color w:val="auto"/>
                <w:sz w:val="18"/>
                <w:szCs w:val="18"/>
                <w:lang w:eastAsia="zh-CN"/>
              </w:rPr>
            </w:pPr>
            <w:r>
              <w:rPr>
                <w:color w:val="auto"/>
                <w:sz w:val="18"/>
                <w:szCs w:val="18"/>
                <w:lang w:eastAsia="zh-CN"/>
              </w:rPr>
              <w:t>No</w:t>
            </w:r>
          </w:p>
        </w:tc>
      </w:tr>
      <w:tr w14:paraId="66B72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continue"/>
          </w:tcPr>
          <w:p w14:paraId="1D4E7649">
            <w:pPr>
              <w:pStyle w:val="23"/>
              <w:widowControl w:val="0"/>
              <w:spacing w:line="240" w:lineRule="auto"/>
              <w:jc w:val="center"/>
              <w:rPr>
                <w:color w:val="auto"/>
                <w:sz w:val="18"/>
                <w:szCs w:val="18"/>
                <w:lang w:eastAsia="zh-CN"/>
              </w:rPr>
            </w:pPr>
          </w:p>
        </w:tc>
        <w:tc>
          <w:tcPr>
            <w:tcW w:w="1142" w:type="dxa"/>
            <w:vMerge w:val="continue"/>
          </w:tcPr>
          <w:p w14:paraId="661C7E8C">
            <w:pPr>
              <w:pStyle w:val="23"/>
              <w:widowControl w:val="0"/>
              <w:spacing w:line="240" w:lineRule="auto"/>
              <w:jc w:val="center"/>
              <w:rPr>
                <w:color w:val="auto"/>
                <w:sz w:val="18"/>
                <w:szCs w:val="18"/>
                <w:lang w:eastAsia="zh-CN"/>
              </w:rPr>
            </w:pPr>
          </w:p>
        </w:tc>
        <w:tc>
          <w:tcPr>
            <w:tcW w:w="1468" w:type="dxa"/>
          </w:tcPr>
          <w:p w14:paraId="6E2FAB41">
            <w:pPr>
              <w:pStyle w:val="23"/>
              <w:widowControl w:val="0"/>
              <w:spacing w:line="240" w:lineRule="auto"/>
              <w:ind w:firstLine="0"/>
              <w:rPr>
                <w:color w:val="auto"/>
                <w:sz w:val="18"/>
                <w:szCs w:val="18"/>
                <w:lang w:eastAsia="pl-PL"/>
              </w:rPr>
            </w:pPr>
            <w:r>
              <w:rPr>
                <w:color w:val="auto"/>
                <w:sz w:val="18"/>
                <w:szCs w:val="18"/>
                <w:lang w:eastAsia="zh-CN"/>
              </w:rPr>
              <w:t xml:space="preserve">Graduate </w:t>
            </w:r>
          </w:p>
        </w:tc>
        <w:tc>
          <w:tcPr>
            <w:tcW w:w="640" w:type="dxa"/>
            <w:vAlign w:val="center"/>
          </w:tcPr>
          <w:p w14:paraId="35C9DA1E">
            <w:pPr>
              <w:pStyle w:val="23"/>
              <w:widowControl w:val="0"/>
              <w:spacing w:line="240" w:lineRule="auto"/>
              <w:ind w:firstLine="0"/>
              <w:jc w:val="center"/>
              <w:rPr>
                <w:color w:val="auto"/>
                <w:sz w:val="18"/>
                <w:szCs w:val="18"/>
                <w:lang w:eastAsia="zh-CN"/>
              </w:rPr>
            </w:pPr>
            <w:r>
              <w:rPr>
                <w:color w:val="auto"/>
                <w:sz w:val="18"/>
                <w:szCs w:val="18"/>
                <w:lang w:eastAsia="zh-CN"/>
              </w:rPr>
              <w:t>1.101</w:t>
            </w:r>
          </w:p>
        </w:tc>
        <w:tc>
          <w:tcPr>
            <w:tcW w:w="629" w:type="dxa"/>
            <w:vAlign w:val="center"/>
          </w:tcPr>
          <w:p w14:paraId="1BC19455">
            <w:pPr>
              <w:pStyle w:val="23"/>
              <w:widowControl w:val="0"/>
              <w:spacing w:line="240" w:lineRule="auto"/>
              <w:ind w:firstLine="0"/>
              <w:jc w:val="center"/>
              <w:rPr>
                <w:color w:val="auto"/>
                <w:sz w:val="18"/>
                <w:szCs w:val="18"/>
                <w:lang w:eastAsia="zh-CN"/>
              </w:rPr>
            </w:pPr>
            <w:r>
              <w:rPr>
                <w:color w:val="auto"/>
                <w:sz w:val="18"/>
                <w:szCs w:val="18"/>
                <w:lang w:eastAsia="zh-CN"/>
              </w:rPr>
              <w:t>0.159</w:t>
            </w:r>
          </w:p>
        </w:tc>
        <w:tc>
          <w:tcPr>
            <w:tcW w:w="781" w:type="dxa"/>
            <w:vAlign w:val="center"/>
          </w:tcPr>
          <w:p w14:paraId="6C6435C7">
            <w:pPr>
              <w:pStyle w:val="23"/>
              <w:widowControl w:val="0"/>
              <w:spacing w:line="240" w:lineRule="auto"/>
              <w:ind w:firstLine="0"/>
              <w:jc w:val="center"/>
              <w:rPr>
                <w:color w:val="auto"/>
                <w:sz w:val="18"/>
                <w:szCs w:val="18"/>
                <w:lang w:eastAsia="zh-CN"/>
              </w:rPr>
            </w:pPr>
            <w:r>
              <w:rPr>
                <w:color w:val="auto"/>
                <w:sz w:val="18"/>
                <w:szCs w:val="18"/>
                <w:lang w:eastAsia="zh-CN"/>
              </w:rPr>
              <w:t>6.92</w:t>
            </w:r>
          </w:p>
        </w:tc>
        <w:tc>
          <w:tcPr>
            <w:tcW w:w="862" w:type="dxa"/>
            <w:vAlign w:val="center"/>
          </w:tcPr>
          <w:p w14:paraId="5B6FF646">
            <w:pPr>
              <w:pStyle w:val="23"/>
              <w:widowControl w:val="0"/>
              <w:spacing w:line="240" w:lineRule="auto"/>
              <w:ind w:firstLine="0"/>
              <w:jc w:val="center"/>
              <w:rPr>
                <w:color w:val="auto"/>
                <w:sz w:val="18"/>
                <w:szCs w:val="18"/>
                <w:lang w:eastAsia="zh-CN"/>
              </w:rPr>
            </w:pPr>
            <w:r>
              <w:rPr>
                <w:color w:val="auto"/>
                <w:sz w:val="18"/>
                <w:szCs w:val="18"/>
                <w:lang w:eastAsia="zh-CN"/>
              </w:rPr>
              <w:t>&lt;0.0001</w:t>
            </w:r>
          </w:p>
        </w:tc>
        <w:tc>
          <w:tcPr>
            <w:tcW w:w="1154" w:type="dxa"/>
            <w:vAlign w:val="center"/>
          </w:tcPr>
          <w:p w14:paraId="7147B351">
            <w:pPr>
              <w:pStyle w:val="23"/>
              <w:widowControl w:val="0"/>
              <w:spacing w:line="240" w:lineRule="auto"/>
              <w:ind w:firstLine="0"/>
              <w:jc w:val="center"/>
              <w:rPr>
                <w:color w:val="auto"/>
                <w:sz w:val="18"/>
                <w:szCs w:val="18"/>
                <w:lang w:eastAsia="zh-CN"/>
              </w:rPr>
            </w:pPr>
            <w:r>
              <w:rPr>
                <w:color w:val="auto"/>
                <w:sz w:val="18"/>
                <w:szCs w:val="18"/>
                <w:lang w:eastAsia="zh-CN"/>
              </w:rPr>
              <w:t>Yes</w:t>
            </w:r>
          </w:p>
        </w:tc>
      </w:tr>
      <w:tr w14:paraId="5CDE1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restart"/>
          </w:tcPr>
          <w:p w14:paraId="1C4A0FE5">
            <w:pPr>
              <w:pStyle w:val="23"/>
              <w:widowControl w:val="0"/>
              <w:spacing w:line="240" w:lineRule="auto"/>
              <w:ind w:firstLine="0"/>
              <w:rPr>
                <w:color w:val="auto"/>
                <w:sz w:val="18"/>
                <w:szCs w:val="18"/>
                <w:lang w:eastAsia="zh-CN"/>
              </w:rPr>
            </w:pPr>
            <w:r>
              <w:rPr>
                <w:color w:val="auto"/>
                <w:sz w:val="18"/>
                <w:szCs w:val="18"/>
                <w:lang w:eastAsia="zh-CN"/>
              </w:rPr>
              <w:t>6</w:t>
            </w:r>
          </w:p>
        </w:tc>
        <w:tc>
          <w:tcPr>
            <w:tcW w:w="1142" w:type="dxa"/>
            <w:vMerge w:val="restart"/>
          </w:tcPr>
          <w:p w14:paraId="605088AD">
            <w:pPr>
              <w:pStyle w:val="23"/>
              <w:widowControl w:val="0"/>
              <w:spacing w:line="240" w:lineRule="auto"/>
              <w:ind w:firstLine="0"/>
              <w:jc w:val="center"/>
              <w:rPr>
                <w:color w:val="auto"/>
                <w:sz w:val="18"/>
                <w:szCs w:val="18"/>
                <w:lang w:eastAsia="zh-CN"/>
              </w:rPr>
            </w:pPr>
            <w:r>
              <w:rPr>
                <w:color w:val="auto"/>
                <w:sz w:val="18"/>
                <w:szCs w:val="18"/>
                <w:lang w:eastAsia="zh-CN"/>
              </w:rPr>
              <w:t>Mother’s qualification</w:t>
            </w:r>
          </w:p>
        </w:tc>
        <w:tc>
          <w:tcPr>
            <w:tcW w:w="1468" w:type="dxa"/>
          </w:tcPr>
          <w:p w14:paraId="0C982F70">
            <w:pPr>
              <w:pStyle w:val="23"/>
              <w:widowControl w:val="0"/>
              <w:spacing w:line="240" w:lineRule="auto"/>
              <w:ind w:firstLine="0"/>
              <w:rPr>
                <w:color w:val="auto"/>
                <w:sz w:val="18"/>
                <w:szCs w:val="18"/>
                <w:lang w:eastAsia="pl-PL"/>
              </w:rPr>
            </w:pPr>
            <w:r>
              <w:rPr>
                <w:color w:val="auto"/>
                <w:sz w:val="18"/>
                <w:szCs w:val="18"/>
                <w:lang w:eastAsia="zh-CN"/>
              </w:rPr>
              <w:t xml:space="preserve">Enrolled </w:t>
            </w:r>
          </w:p>
        </w:tc>
        <w:tc>
          <w:tcPr>
            <w:tcW w:w="640" w:type="dxa"/>
            <w:vAlign w:val="center"/>
          </w:tcPr>
          <w:p w14:paraId="4560A651">
            <w:pPr>
              <w:pStyle w:val="23"/>
              <w:widowControl w:val="0"/>
              <w:spacing w:line="240" w:lineRule="auto"/>
              <w:ind w:firstLine="0"/>
              <w:jc w:val="center"/>
              <w:rPr>
                <w:color w:val="auto"/>
                <w:sz w:val="18"/>
                <w:szCs w:val="18"/>
                <w:lang w:eastAsia="zh-CN"/>
              </w:rPr>
            </w:pPr>
            <w:r>
              <w:rPr>
                <w:color w:val="auto"/>
                <w:sz w:val="18"/>
                <w:szCs w:val="18"/>
                <w:lang w:eastAsia="zh-CN"/>
              </w:rPr>
              <w:t>–0.027</w:t>
            </w:r>
          </w:p>
        </w:tc>
        <w:tc>
          <w:tcPr>
            <w:tcW w:w="629" w:type="dxa"/>
            <w:vAlign w:val="center"/>
          </w:tcPr>
          <w:p w14:paraId="27D947F8">
            <w:pPr>
              <w:pStyle w:val="23"/>
              <w:widowControl w:val="0"/>
              <w:spacing w:line="240" w:lineRule="auto"/>
              <w:ind w:firstLine="0"/>
              <w:jc w:val="center"/>
              <w:rPr>
                <w:color w:val="auto"/>
                <w:sz w:val="18"/>
                <w:szCs w:val="18"/>
                <w:lang w:eastAsia="zh-CN"/>
              </w:rPr>
            </w:pPr>
            <w:r>
              <w:rPr>
                <w:color w:val="auto"/>
                <w:sz w:val="18"/>
                <w:szCs w:val="18"/>
                <w:lang w:eastAsia="zh-CN"/>
              </w:rPr>
              <w:t>0.009</w:t>
            </w:r>
          </w:p>
        </w:tc>
        <w:tc>
          <w:tcPr>
            <w:tcW w:w="781" w:type="dxa"/>
            <w:vAlign w:val="center"/>
          </w:tcPr>
          <w:p w14:paraId="55AAC710">
            <w:pPr>
              <w:pStyle w:val="23"/>
              <w:widowControl w:val="0"/>
              <w:spacing w:line="240" w:lineRule="auto"/>
              <w:ind w:firstLine="0"/>
              <w:jc w:val="center"/>
              <w:rPr>
                <w:color w:val="auto"/>
                <w:sz w:val="18"/>
                <w:szCs w:val="18"/>
                <w:lang w:eastAsia="zh-CN"/>
              </w:rPr>
            </w:pPr>
            <w:r>
              <w:rPr>
                <w:color w:val="auto"/>
                <w:sz w:val="18"/>
                <w:szCs w:val="18"/>
                <w:lang w:eastAsia="zh-CN"/>
              </w:rPr>
              <w:t>–2.84</w:t>
            </w:r>
          </w:p>
        </w:tc>
        <w:tc>
          <w:tcPr>
            <w:tcW w:w="862" w:type="dxa"/>
            <w:vAlign w:val="center"/>
          </w:tcPr>
          <w:p w14:paraId="13A3A614">
            <w:pPr>
              <w:pStyle w:val="23"/>
              <w:widowControl w:val="0"/>
              <w:spacing w:line="240" w:lineRule="auto"/>
              <w:ind w:firstLine="0"/>
              <w:jc w:val="center"/>
              <w:rPr>
                <w:color w:val="auto"/>
                <w:sz w:val="18"/>
                <w:szCs w:val="18"/>
                <w:lang w:eastAsia="zh-CN"/>
              </w:rPr>
            </w:pPr>
            <w:r>
              <w:rPr>
                <w:color w:val="auto"/>
                <w:sz w:val="18"/>
                <w:szCs w:val="18"/>
                <w:lang w:eastAsia="zh-CN"/>
              </w:rPr>
              <w:t>0.0045</w:t>
            </w:r>
          </w:p>
        </w:tc>
        <w:tc>
          <w:tcPr>
            <w:tcW w:w="1154" w:type="dxa"/>
            <w:vAlign w:val="center"/>
          </w:tcPr>
          <w:p w14:paraId="08270B03">
            <w:pPr>
              <w:pStyle w:val="23"/>
              <w:widowControl w:val="0"/>
              <w:spacing w:line="240" w:lineRule="auto"/>
              <w:ind w:firstLine="0"/>
              <w:jc w:val="center"/>
              <w:rPr>
                <w:color w:val="auto"/>
                <w:sz w:val="18"/>
                <w:szCs w:val="18"/>
                <w:lang w:eastAsia="zh-CN"/>
              </w:rPr>
            </w:pPr>
            <w:r>
              <w:rPr>
                <w:color w:val="auto"/>
                <w:sz w:val="18"/>
                <w:szCs w:val="18"/>
                <w:lang w:eastAsia="zh-CN"/>
              </w:rPr>
              <w:t>Yes</w:t>
            </w:r>
          </w:p>
        </w:tc>
      </w:tr>
      <w:tr w14:paraId="77A19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continue"/>
          </w:tcPr>
          <w:p w14:paraId="4F711313">
            <w:pPr>
              <w:pStyle w:val="23"/>
              <w:widowControl w:val="0"/>
              <w:spacing w:line="240" w:lineRule="auto"/>
              <w:jc w:val="center"/>
              <w:rPr>
                <w:color w:val="auto"/>
                <w:sz w:val="18"/>
                <w:szCs w:val="18"/>
                <w:lang w:eastAsia="zh-CN"/>
              </w:rPr>
            </w:pPr>
          </w:p>
        </w:tc>
        <w:tc>
          <w:tcPr>
            <w:tcW w:w="1142" w:type="dxa"/>
            <w:vMerge w:val="continue"/>
          </w:tcPr>
          <w:p w14:paraId="3FF59B17">
            <w:pPr>
              <w:pStyle w:val="23"/>
              <w:widowControl w:val="0"/>
              <w:spacing w:line="240" w:lineRule="auto"/>
              <w:jc w:val="center"/>
              <w:rPr>
                <w:color w:val="auto"/>
                <w:sz w:val="18"/>
                <w:szCs w:val="18"/>
                <w:lang w:eastAsia="zh-CN"/>
              </w:rPr>
            </w:pPr>
          </w:p>
        </w:tc>
        <w:tc>
          <w:tcPr>
            <w:tcW w:w="1468" w:type="dxa"/>
          </w:tcPr>
          <w:p w14:paraId="4C4B9D5E">
            <w:pPr>
              <w:pStyle w:val="23"/>
              <w:widowControl w:val="0"/>
              <w:spacing w:line="240" w:lineRule="auto"/>
              <w:ind w:firstLine="0"/>
              <w:rPr>
                <w:color w:val="auto"/>
                <w:sz w:val="18"/>
                <w:szCs w:val="18"/>
                <w:lang w:eastAsia="pl-PL"/>
              </w:rPr>
            </w:pPr>
            <w:r>
              <w:rPr>
                <w:color w:val="auto"/>
                <w:sz w:val="18"/>
                <w:szCs w:val="18"/>
                <w:lang w:eastAsia="zh-CN"/>
              </w:rPr>
              <w:t xml:space="preserve">Graduate </w:t>
            </w:r>
          </w:p>
        </w:tc>
        <w:tc>
          <w:tcPr>
            <w:tcW w:w="640" w:type="dxa"/>
            <w:vAlign w:val="center"/>
          </w:tcPr>
          <w:p w14:paraId="0BE0FB17">
            <w:pPr>
              <w:pStyle w:val="23"/>
              <w:widowControl w:val="0"/>
              <w:spacing w:line="240" w:lineRule="auto"/>
              <w:ind w:firstLine="0"/>
              <w:jc w:val="center"/>
              <w:rPr>
                <w:color w:val="auto"/>
                <w:sz w:val="18"/>
                <w:szCs w:val="18"/>
                <w:lang w:eastAsia="zh-CN"/>
              </w:rPr>
            </w:pPr>
            <w:r>
              <w:rPr>
                <w:color w:val="auto"/>
                <w:sz w:val="18"/>
                <w:szCs w:val="18"/>
                <w:lang w:eastAsia="zh-CN"/>
              </w:rPr>
              <w:t>–0.015</w:t>
            </w:r>
          </w:p>
        </w:tc>
        <w:tc>
          <w:tcPr>
            <w:tcW w:w="629" w:type="dxa"/>
            <w:vAlign w:val="center"/>
          </w:tcPr>
          <w:p w14:paraId="510D4FF6">
            <w:pPr>
              <w:pStyle w:val="23"/>
              <w:widowControl w:val="0"/>
              <w:spacing w:line="240" w:lineRule="auto"/>
              <w:ind w:firstLine="0"/>
              <w:jc w:val="center"/>
              <w:rPr>
                <w:color w:val="auto"/>
                <w:sz w:val="18"/>
                <w:szCs w:val="18"/>
                <w:lang w:eastAsia="zh-CN"/>
              </w:rPr>
            </w:pPr>
            <w:r>
              <w:rPr>
                <w:color w:val="auto"/>
                <w:sz w:val="18"/>
                <w:szCs w:val="18"/>
                <w:lang w:eastAsia="zh-CN"/>
              </w:rPr>
              <w:t>0.009</w:t>
            </w:r>
          </w:p>
        </w:tc>
        <w:tc>
          <w:tcPr>
            <w:tcW w:w="781" w:type="dxa"/>
            <w:vAlign w:val="center"/>
          </w:tcPr>
          <w:p w14:paraId="06C16976">
            <w:pPr>
              <w:pStyle w:val="23"/>
              <w:widowControl w:val="0"/>
              <w:spacing w:line="240" w:lineRule="auto"/>
              <w:ind w:firstLine="0"/>
              <w:jc w:val="center"/>
              <w:rPr>
                <w:color w:val="auto"/>
                <w:sz w:val="18"/>
                <w:szCs w:val="18"/>
                <w:lang w:eastAsia="zh-CN"/>
              </w:rPr>
            </w:pPr>
            <w:r>
              <w:rPr>
                <w:color w:val="auto"/>
                <w:sz w:val="18"/>
                <w:szCs w:val="18"/>
                <w:lang w:eastAsia="zh-CN"/>
              </w:rPr>
              <w:t>–1.69</w:t>
            </w:r>
          </w:p>
        </w:tc>
        <w:tc>
          <w:tcPr>
            <w:tcW w:w="862" w:type="dxa"/>
            <w:vAlign w:val="center"/>
          </w:tcPr>
          <w:p w14:paraId="44F78638">
            <w:pPr>
              <w:pStyle w:val="23"/>
              <w:widowControl w:val="0"/>
              <w:spacing w:line="240" w:lineRule="auto"/>
              <w:ind w:firstLine="0"/>
              <w:jc w:val="center"/>
              <w:rPr>
                <w:color w:val="auto"/>
                <w:sz w:val="18"/>
                <w:szCs w:val="18"/>
                <w:lang w:eastAsia="zh-CN"/>
              </w:rPr>
            </w:pPr>
            <w:r>
              <w:rPr>
                <w:color w:val="auto"/>
                <w:sz w:val="18"/>
                <w:szCs w:val="18"/>
                <w:lang w:eastAsia="zh-CN"/>
              </w:rPr>
              <w:t>0.09</w:t>
            </w:r>
          </w:p>
        </w:tc>
        <w:tc>
          <w:tcPr>
            <w:tcW w:w="1154" w:type="dxa"/>
            <w:vAlign w:val="center"/>
          </w:tcPr>
          <w:p w14:paraId="66E4EE94">
            <w:pPr>
              <w:pStyle w:val="23"/>
              <w:widowControl w:val="0"/>
              <w:spacing w:line="240" w:lineRule="auto"/>
              <w:ind w:firstLine="0"/>
              <w:jc w:val="center"/>
              <w:rPr>
                <w:color w:val="auto"/>
                <w:sz w:val="18"/>
                <w:szCs w:val="18"/>
                <w:lang w:eastAsia="zh-CN"/>
              </w:rPr>
            </w:pPr>
            <w:r>
              <w:rPr>
                <w:color w:val="auto"/>
                <w:sz w:val="18"/>
                <w:szCs w:val="18"/>
                <w:lang w:eastAsia="zh-CN"/>
              </w:rPr>
              <w:t>No</w:t>
            </w:r>
          </w:p>
        </w:tc>
      </w:tr>
      <w:tr w14:paraId="631B9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restart"/>
          </w:tcPr>
          <w:p w14:paraId="0CCEED48">
            <w:pPr>
              <w:pStyle w:val="23"/>
              <w:widowControl w:val="0"/>
              <w:spacing w:line="240" w:lineRule="auto"/>
              <w:ind w:firstLine="0"/>
              <w:rPr>
                <w:color w:val="auto"/>
                <w:sz w:val="18"/>
                <w:szCs w:val="18"/>
                <w:lang w:eastAsia="zh-CN"/>
              </w:rPr>
            </w:pPr>
            <w:r>
              <w:rPr>
                <w:color w:val="auto"/>
                <w:sz w:val="18"/>
                <w:szCs w:val="18"/>
                <w:lang w:eastAsia="zh-CN"/>
              </w:rPr>
              <w:t>7</w:t>
            </w:r>
          </w:p>
        </w:tc>
        <w:tc>
          <w:tcPr>
            <w:tcW w:w="1142" w:type="dxa"/>
            <w:vMerge w:val="restart"/>
          </w:tcPr>
          <w:p w14:paraId="79719714">
            <w:pPr>
              <w:pStyle w:val="23"/>
              <w:widowControl w:val="0"/>
              <w:spacing w:line="240" w:lineRule="auto"/>
              <w:ind w:firstLine="0"/>
              <w:jc w:val="center"/>
              <w:rPr>
                <w:color w:val="auto"/>
                <w:sz w:val="18"/>
                <w:szCs w:val="18"/>
                <w:lang w:eastAsia="zh-CN"/>
              </w:rPr>
            </w:pPr>
            <w:r>
              <w:rPr>
                <w:color w:val="auto"/>
                <w:sz w:val="18"/>
                <w:szCs w:val="18"/>
                <w:lang w:eastAsia="zh-CN"/>
              </w:rPr>
              <w:t>Father’s qualification</w:t>
            </w:r>
          </w:p>
        </w:tc>
        <w:tc>
          <w:tcPr>
            <w:tcW w:w="1468" w:type="dxa"/>
          </w:tcPr>
          <w:p w14:paraId="15BDD5C0">
            <w:pPr>
              <w:pStyle w:val="23"/>
              <w:widowControl w:val="0"/>
              <w:spacing w:line="240" w:lineRule="auto"/>
              <w:ind w:firstLine="0"/>
              <w:rPr>
                <w:color w:val="auto"/>
                <w:sz w:val="18"/>
                <w:szCs w:val="18"/>
                <w:lang w:eastAsia="pl-PL"/>
              </w:rPr>
            </w:pPr>
            <w:r>
              <w:rPr>
                <w:color w:val="auto"/>
                <w:sz w:val="18"/>
                <w:szCs w:val="18"/>
                <w:lang w:eastAsia="zh-CN"/>
              </w:rPr>
              <w:t xml:space="preserve">Enrolled </w:t>
            </w:r>
          </w:p>
        </w:tc>
        <w:tc>
          <w:tcPr>
            <w:tcW w:w="640" w:type="dxa"/>
            <w:vAlign w:val="center"/>
          </w:tcPr>
          <w:p w14:paraId="2EBDE76A">
            <w:pPr>
              <w:pStyle w:val="23"/>
              <w:widowControl w:val="0"/>
              <w:spacing w:line="240" w:lineRule="auto"/>
              <w:ind w:firstLine="0"/>
              <w:jc w:val="center"/>
              <w:rPr>
                <w:color w:val="auto"/>
                <w:sz w:val="18"/>
                <w:szCs w:val="18"/>
                <w:lang w:eastAsia="zh-CN"/>
              </w:rPr>
            </w:pPr>
            <w:r>
              <w:rPr>
                <w:color w:val="auto"/>
                <w:sz w:val="18"/>
                <w:szCs w:val="18"/>
                <w:lang w:eastAsia="zh-CN"/>
              </w:rPr>
              <w:t>0.001</w:t>
            </w:r>
          </w:p>
        </w:tc>
        <w:tc>
          <w:tcPr>
            <w:tcW w:w="629" w:type="dxa"/>
            <w:vAlign w:val="center"/>
          </w:tcPr>
          <w:p w14:paraId="46639DFB">
            <w:pPr>
              <w:pStyle w:val="23"/>
              <w:widowControl w:val="0"/>
              <w:spacing w:line="240" w:lineRule="auto"/>
              <w:jc w:val="center"/>
              <w:rPr>
                <w:color w:val="auto"/>
                <w:sz w:val="18"/>
                <w:szCs w:val="18"/>
                <w:lang w:eastAsia="zh-CN"/>
              </w:rPr>
            </w:pPr>
            <w:r>
              <w:rPr>
                <w:color w:val="auto"/>
                <w:sz w:val="18"/>
                <w:szCs w:val="18"/>
                <w:lang w:eastAsia="zh-CN"/>
              </w:rPr>
              <w:t>0.008</w:t>
            </w:r>
          </w:p>
        </w:tc>
        <w:tc>
          <w:tcPr>
            <w:tcW w:w="781" w:type="dxa"/>
            <w:vAlign w:val="center"/>
          </w:tcPr>
          <w:p w14:paraId="76B0832B">
            <w:pPr>
              <w:pStyle w:val="23"/>
              <w:widowControl w:val="0"/>
              <w:spacing w:line="240" w:lineRule="auto"/>
              <w:ind w:firstLine="0"/>
              <w:jc w:val="center"/>
              <w:rPr>
                <w:color w:val="auto"/>
                <w:sz w:val="18"/>
                <w:szCs w:val="18"/>
                <w:lang w:eastAsia="zh-CN"/>
              </w:rPr>
            </w:pPr>
            <w:r>
              <w:rPr>
                <w:color w:val="auto"/>
                <w:sz w:val="18"/>
                <w:szCs w:val="18"/>
                <w:lang w:eastAsia="zh-CN"/>
              </w:rPr>
              <w:t>0.10</w:t>
            </w:r>
          </w:p>
        </w:tc>
        <w:tc>
          <w:tcPr>
            <w:tcW w:w="862" w:type="dxa"/>
            <w:vAlign w:val="center"/>
          </w:tcPr>
          <w:p w14:paraId="6CA4F26B">
            <w:pPr>
              <w:pStyle w:val="23"/>
              <w:widowControl w:val="0"/>
              <w:spacing w:line="240" w:lineRule="auto"/>
              <w:ind w:firstLine="0"/>
              <w:jc w:val="center"/>
              <w:rPr>
                <w:color w:val="auto"/>
                <w:sz w:val="18"/>
                <w:szCs w:val="18"/>
                <w:lang w:eastAsia="zh-CN"/>
              </w:rPr>
            </w:pPr>
            <w:r>
              <w:rPr>
                <w:color w:val="auto"/>
                <w:sz w:val="18"/>
                <w:szCs w:val="18"/>
                <w:lang w:eastAsia="zh-CN"/>
              </w:rPr>
              <w:t>0.92</w:t>
            </w:r>
          </w:p>
        </w:tc>
        <w:tc>
          <w:tcPr>
            <w:tcW w:w="1154" w:type="dxa"/>
            <w:vAlign w:val="center"/>
          </w:tcPr>
          <w:p w14:paraId="0EF4DEFF">
            <w:pPr>
              <w:pStyle w:val="23"/>
              <w:widowControl w:val="0"/>
              <w:spacing w:line="240" w:lineRule="auto"/>
              <w:ind w:firstLine="0"/>
              <w:jc w:val="center"/>
              <w:rPr>
                <w:color w:val="auto"/>
                <w:sz w:val="18"/>
                <w:szCs w:val="18"/>
                <w:lang w:eastAsia="zh-CN"/>
              </w:rPr>
            </w:pPr>
            <w:r>
              <w:rPr>
                <w:color w:val="auto"/>
                <w:sz w:val="18"/>
                <w:szCs w:val="18"/>
                <w:lang w:eastAsia="zh-CN"/>
              </w:rPr>
              <w:t>No</w:t>
            </w:r>
          </w:p>
        </w:tc>
      </w:tr>
      <w:tr w14:paraId="07AB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continue"/>
          </w:tcPr>
          <w:p w14:paraId="341572F7">
            <w:pPr>
              <w:pStyle w:val="23"/>
              <w:widowControl w:val="0"/>
              <w:spacing w:line="240" w:lineRule="auto"/>
              <w:jc w:val="center"/>
              <w:rPr>
                <w:color w:val="auto"/>
                <w:sz w:val="18"/>
                <w:szCs w:val="18"/>
                <w:lang w:eastAsia="zh-CN"/>
              </w:rPr>
            </w:pPr>
          </w:p>
        </w:tc>
        <w:tc>
          <w:tcPr>
            <w:tcW w:w="1142" w:type="dxa"/>
            <w:vMerge w:val="continue"/>
          </w:tcPr>
          <w:p w14:paraId="35E84685">
            <w:pPr>
              <w:pStyle w:val="23"/>
              <w:widowControl w:val="0"/>
              <w:spacing w:line="240" w:lineRule="auto"/>
              <w:jc w:val="center"/>
              <w:rPr>
                <w:color w:val="auto"/>
                <w:sz w:val="18"/>
                <w:szCs w:val="18"/>
                <w:lang w:eastAsia="zh-CN"/>
              </w:rPr>
            </w:pPr>
          </w:p>
        </w:tc>
        <w:tc>
          <w:tcPr>
            <w:tcW w:w="1468" w:type="dxa"/>
          </w:tcPr>
          <w:p w14:paraId="2AE63F86">
            <w:pPr>
              <w:pStyle w:val="23"/>
              <w:widowControl w:val="0"/>
              <w:spacing w:line="240" w:lineRule="auto"/>
              <w:ind w:firstLine="0"/>
              <w:rPr>
                <w:color w:val="auto"/>
                <w:sz w:val="18"/>
                <w:szCs w:val="18"/>
                <w:lang w:eastAsia="pl-PL"/>
              </w:rPr>
            </w:pPr>
            <w:r>
              <w:rPr>
                <w:color w:val="auto"/>
                <w:sz w:val="18"/>
                <w:szCs w:val="18"/>
                <w:lang w:eastAsia="zh-CN"/>
              </w:rPr>
              <w:t xml:space="preserve">Graduate </w:t>
            </w:r>
          </w:p>
        </w:tc>
        <w:tc>
          <w:tcPr>
            <w:tcW w:w="640" w:type="dxa"/>
            <w:vAlign w:val="center"/>
          </w:tcPr>
          <w:p w14:paraId="5E1FBE09">
            <w:pPr>
              <w:pStyle w:val="23"/>
              <w:widowControl w:val="0"/>
              <w:spacing w:line="240" w:lineRule="auto"/>
              <w:ind w:firstLine="0"/>
              <w:jc w:val="center"/>
              <w:rPr>
                <w:color w:val="auto"/>
                <w:sz w:val="18"/>
                <w:szCs w:val="18"/>
                <w:lang w:eastAsia="zh-CN"/>
              </w:rPr>
            </w:pPr>
            <w:r>
              <w:rPr>
                <w:color w:val="auto"/>
                <w:sz w:val="18"/>
                <w:szCs w:val="18"/>
                <w:lang w:eastAsia="zh-CN"/>
              </w:rPr>
              <w:t>0.006</w:t>
            </w:r>
          </w:p>
        </w:tc>
        <w:tc>
          <w:tcPr>
            <w:tcW w:w="629" w:type="dxa"/>
            <w:vAlign w:val="center"/>
          </w:tcPr>
          <w:p w14:paraId="02CA4E9E">
            <w:pPr>
              <w:pStyle w:val="23"/>
              <w:widowControl w:val="0"/>
              <w:spacing w:line="240" w:lineRule="auto"/>
              <w:ind w:firstLine="0"/>
              <w:jc w:val="center"/>
              <w:rPr>
                <w:color w:val="auto"/>
                <w:sz w:val="18"/>
                <w:szCs w:val="18"/>
                <w:lang w:eastAsia="zh-CN"/>
              </w:rPr>
            </w:pPr>
            <w:r>
              <w:rPr>
                <w:color w:val="auto"/>
                <w:sz w:val="18"/>
                <w:szCs w:val="18"/>
                <w:lang w:eastAsia="zh-CN"/>
              </w:rPr>
              <w:t>0.007</w:t>
            </w:r>
          </w:p>
        </w:tc>
        <w:tc>
          <w:tcPr>
            <w:tcW w:w="781" w:type="dxa"/>
            <w:vAlign w:val="center"/>
          </w:tcPr>
          <w:p w14:paraId="2636B3BB">
            <w:pPr>
              <w:pStyle w:val="23"/>
              <w:widowControl w:val="0"/>
              <w:spacing w:line="240" w:lineRule="auto"/>
              <w:ind w:firstLine="0"/>
              <w:jc w:val="center"/>
              <w:rPr>
                <w:color w:val="auto"/>
                <w:sz w:val="18"/>
                <w:szCs w:val="18"/>
                <w:lang w:eastAsia="zh-CN"/>
              </w:rPr>
            </w:pPr>
            <w:r>
              <w:rPr>
                <w:color w:val="auto"/>
                <w:sz w:val="18"/>
                <w:szCs w:val="18"/>
                <w:lang w:eastAsia="zh-CN"/>
              </w:rPr>
              <w:t>0.08</w:t>
            </w:r>
          </w:p>
        </w:tc>
        <w:tc>
          <w:tcPr>
            <w:tcW w:w="862" w:type="dxa"/>
            <w:vAlign w:val="center"/>
          </w:tcPr>
          <w:p w14:paraId="1B99C67C">
            <w:pPr>
              <w:pStyle w:val="23"/>
              <w:widowControl w:val="0"/>
              <w:spacing w:line="240" w:lineRule="auto"/>
              <w:ind w:firstLine="0"/>
              <w:jc w:val="center"/>
              <w:rPr>
                <w:color w:val="auto"/>
                <w:sz w:val="18"/>
                <w:szCs w:val="18"/>
                <w:lang w:eastAsia="zh-CN"/>
              </w:rPr>
            </w:pPr>
            <w:r>
              <w:rPr>
                <w:color w:val="auto"/>
                <w:sz w:val="18"/>
                <w:szCs w:val="18"/>
                <w:lang w:eastAsia="zh-CN"/>
              </w:rPr>
              <w:t>0.94</w:t>
            </w:r>
          </w:p>
        </w:tc>
        <w:tc>
          <w:tcPr>
            <w:tcW w:w="1154" w:type="dxa"/>
            <w:vAlign w:val="center"/>
          </w:tcPr>
          <w:p w14:paraId="75603A57">
            <w:pPr>
              <w:pStyle w:val="23"/>
              <w:widowControl w:val="0"/>
              <w:spacing w:line="240" w:lineRule="auto"/>
              <w:ind w:firstLine="0"/>
              <w:jc w:val="center"/>
              <w:rPr>
                <w:color w:val="auto"/>
                <w:sz w:val="18"/>
                <w:szCs w:val="18"/>
                <w:lang w:eastAsia="zh-CN"/>
              </w:rPr>
            </w:pPr>
            <w:r>
              <w:rPr>
                <w:color w:val="auto"/>
                <w:sz w:val="18"/>
                <w:szCs w:val="18"/>
                <w:lang w:eastAsia="zh-CN"/>
              </w:rPr>
              <w:t>No</w:t>
            </w:r>
          </w:p>
        </w:tc>
      </w:tr>
      <w:tr w14:paraId="66027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restart"/>
          </w:tcPr>
          <w:p w14:paraId="4AA16295">
            <w:pPr>
              <w:pStyle w:val="23"/>
              <w:widowControl w:val="0"/>
              <w:spacing w:line="240" w:lineRule="auto"/>
              <w:ind w:firstLine="0"/>
              <w:rPr>
                <w:color w:val="auto"/>
                <w:sz w:val="18"/>
                <w:szCs w:val="18"/>
                <w:lang w:eastAsia="zh-CN"/>
              </w:rPr>
            </w:pPr>
            <w:r>
              <w:rPr>
                <w:color w:val="auto"/>
                <w:sz w:val="18"/>
                <w:szCs w:val="18"/>
                <w:lang w:eastAsia="zh-CN"/>
              </w:rPr>
              <w:t>8</w:t>
            </w:r>
          </w:p>
        </w:tc>
        <w:tc>
          <w:tcPr>
            <w:tcW w:w="1142" w:type="dxa"/>
            <w:vMerge w:val="restart"/>
          </w:tcPr>
          <w:p w14:paraId="2C4FD66E">
            <w:pPr>
              <w:pStyle w:val="23"/>
              <w:widowControl w:val="0"/>
              <w:spacing w:line="240" w:lineRule="auto"/>
              <w:ind w:firstLine="0"/>
              <w:jc w:val="center"/>
              <w:rPr>
                <w:color w:val="auto"/>
                <w:sz w:val="18"/>
                <w:szCs w:val="18"/>
                <w:lang w:eastAsia="zh-CN"/>
              </w:rPr>
            </w:pPr>
            <w:r>
              <w:rPr>
                <w:color w:val="auto"/>
                <w:sz w:val="18"/>
                <w:szCs w:val="18"/>
                <w:lang w:eastAsia="zh-CN"/>
              </w:rPr>
              <w:t>Age at enrollment</w:t>
            </w:r>
          </w:p>
        </w:tc>
        <w:tc>
          <w:tcPr>
            <w:tcW w:w="1468" w:type="dxa"/>
          </w:tcPr>
          <w:p w14:paraId="0DE20DCF">
            <w:pPr>
              <w:pStyle w:val="23"/>
              <w:widowControl w:val="0"/>
              <w:spacing w:line="240" w:lineRule="auto"/>
              <w:ind w:firstLine="0"/>
              <w:rPr>
                <w:color w:val="auto"/>
                <w:sz w:val="18"/>
                <w:szCs w:val="18"/>
                <w:lang w:eastAsia="pl-PL"/>
              </w:rPr>
            </w:pPr>
            <w:r>
              <w:rPr>
                <w:color w:val="auto"/>
                <w:sz w:val="18"/>
                <w:szCs w:val="18"/>
                <w:lang w:eastAsia="zh-CN"/>
              </w:rPr>
              <w:t xml:space="preserve">Enrolled </w:t>
            </w:r>
          </w:p>
        </w:tc>
        <w:tc>
          <w:tcPr>
            <w:tcW w:w="640" w:type="dxa"/>
            <w:vAlign w:val="center"/>
          </w:tcPr>
          <w:p w14:paraId="34387B7E">
            <w:pPr>
              <w:pStyle w:val="23"/>
              <w:widowControl w:val="0"/>
              <w:spacing w:line="240" w:lineRule="auto"/>
              <w:ind w:firstLine="0"/>
              <w:jc w:val="center"/>
              <w:rPr>
                <w:color w:val="auto"/>
                <w:sz w:val="18"/>
                <w:szCs w:val="18"/>
                <w:lang w:eastAsia="zh-CN"/>
              </w:rPr>
            </w:pPr>
            <w:r>
              <w:rPr>
                <w:color w:val="auto"/>
                <w:sz w:val="18"/>
                <w:szCs w:val="18"/>
                <w:lang w:eastAsia="zh-CN"/>
              </w:rPr>
              <w:t>–0.433</w:t>
            </w:r>
          </w:p>
        </w:tc>
        <w:tc>
          <w:tcPr>
            <w:tcW w:w="629" w:type="dxa"/>
            <w:vAlign w:val="center"/>
          </w:tcPr>
          <w:p w14:paraId="75E65A93">
            <w:pPr>
              <w:pStyle w:val="23"/>
              <w:widowControl w:val="0"/>
              <w:spacing w:line="240" w:lineRule="auto"/>
              <w:ind w:firstLine="0"/>
              <w:jc w:val="center"/>
              <w:rPr>
                <w:color w:val="auto"/>
                <w:sz w:val="18"/>
                <w:szCs w:val="18"/>
                <w:lang w:eastAsia="zh-CN"/>
              </w:rPr>
            </w:pPr>
            <w:r>
              <w:rPr>
                <w:color w:val="auto"/>
                <w:sz w:val="18"/>
                <w:szCs w:val="18"/>
                <w:lang w:eastAsia="zh-CN"/>
              </w:rPr>
              <w:t>0.092</w:t>
            </w:r>
          </w:p>
        </w:tc>
        <w:tc>
          <w:tcPr>
            <w:tcW w:w="781" w:type="dxa"/>
            <w:vAlign w:val="center"/>
          </w:tcPr>
          <w:p w14:paraId="212DB663">
            <w:pPr>
              <w:pStyle w:val="23"/>
              <w:widowControl w:val="0"/>
              <w:spacing w:line="240" w:lineRule="auto"/>
              <w:ind w:firstLine="0"/>
              <w:jc w:val="center"/>
              <w:rPr>
                <w:color w:val="auto"/>
                <w:sz w:val="18"/>
                <w:szCs w:val="18"/>
                <w:lang w:eastAsia="zh-CN"/>
              </w:rPr>
            </w:pPr>
            <w:r>
              <w:rPr>
                <w:color w:val="auto"/>
                <w:sz w:val="18"/>
                <w:szCs w:val="18"/>
                <w:lang w:eastAsia="zh-CN"/>
              </w:rPr>
              <w:t>–4.69</w:t>
            </w:r>
          </w:p>
        </w:tc>
        <w:tc>
          <w:tcPr>
            <w:tcW w:w="862" w:type="dxa"/>
            <w:vAlign w:val="center"/>
          </w:tcPr>
          <w:p w14:paraId="71BAA68A">
            <w:pPr>
              <w:pStyle w:val="23"/>
              <w:widowControl w:val="0"/>
              <w:spacing w:line="240" w:lineRule="auto"/>
              <w:ind w:firstLine="0"/>
              <w:jc w:val="center"/>
              <w:rPr>
                <w:color w:val="auto"/>
                <w:sz w:val="18"/>
                <w:szCs w:val="18"/>
                <w:lang w:eastAsia="zh-CN"/>
              </w:rPr>
            </w:pPr>
            <w:r>
              <w:rPr>
                <w:color w:val="auto"/>
                <w:sz w:val="18"/>
                <w:szCs w:val="18"/>
                <w:lang w:eastAsia="zh-CN"/>
              </w:rPr>
              <w:t>&lt;0.0001</w:t>
            </w:r>
          </w:p>
        </w:tc>
        <w:tc>
          <w:tcPr>
            <w:tcW w:w="1154" w:type="dxa"/>
            <w:vAlign w:val="center"/>
          </w:tcPr>
          <w:p w14:paraId="2093ED47">
            <w:pPr>
              <w:pStyle w:val="23"/>
              <w:widowControl w:val="0"/>
              <w:spacing w:line="240" w:lineRule="auto"/>
              <w:ind w:firstLine="0"/>
              <w:jc w:val="center"/>
              <w:rPr>
                <w:color w:val="auto"/>
                <w:sz w:val="18"/>
                <w:szCs w:val="18"/>
                <w:lang w:eastAsia="zh-CN"/>
              </w:rPr>
            </w:pPr>
            <w:r>
              <w:rPr>
                <w:color w:val="auto"/>
                <w:sz w:val="18"/>
                <w:szCs w:val="18"/>
                <w:lang w:eastAsia="zh-CN"/>
              </w:rPr>
              <w:t>Yes</w:t>
            </w:r>
          </w:p>
        </w:tc>
      </w:tr>
      <w:tr w14:paraId="7F522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continue"/>
          </w:tcPr>
          <w:p w14:paraId="0837C61E">
            <w:pPr>
              <w:pStyle w:val="23"/>
              <w:widowControl w:val="0"/>
              <w:spacing w:line="240" w:lineRule="auto"/>
              <w:jc w:val="center"/>
              <w:rPr>
                <w:color w:val="auto"/>
                <w:sz w:val="18"/>
                <w:szCs w:val="18"/>
                <w:lang w:eastAsia="zh-CN"/>
              </w:rPr>
            </w:pPr>
          </w:p>
        </w:tc>
        <w:tc>
          <w:tcPr>
            <w:tcW w:w="1142" w:type="dxa"/>
            <w:vMerge w:val="continue"/>
          </w:tcPr>
          <w:p w14:paraId="5EB8344E">
            <w:pPr>
              <w:pStyle w:val="23"/>
              <w:widowControl w:val="0"/>
              <w:spacing w:line="240" w:lineRule="auto"/>
              <w:jc w:val="center"/>
              <w:rPr>
                <w:color w:val="auto"/>
                <w:sz w:val="18"/>
                <w:szCs w:val="18"/>
                <w:lang w:eastAsia="zh-CN"/>
              </w:rPr>
            </w:pPr>
          </w:p>
        </w:tc>
        <w:tc>
          <w:tcPr>
            <w:tcW w:w="1468" w:type="dxa"/>
          </w:tcPr>
          <w:p w14:paraId="5BBB7225">
            <w:pPr>
              <w:pStyle w:val="23"/>
              <w:widowControl w:val="0"/>
              <w:spacing w:line="240" w:lineRule="auto"/>
              <w:ind w:firstLine="0"/>
              <w:rPr>
                <w:color w:val="auto"/>
                <w:sz w:val="18"/>
                <w:szCs w:val="18"/>
                <w:lang w:eastAsia="pl-PL"/>
              </w:rPr>
            </w:pPr>
            <w:r>
              <w:rPr>
                <w:color w:val="auto"/>
                <w:sz w:val="18"/>
                <w:szCs w:val="18"/>
                <w:lang w:eastAsia="zh-CN"/>
              </w:rPr>
              <w:t xml:space="preserve">Graduate </w:t>
            </w:r>
          </w:p>
        </w:tc>
        <w:tc>
          <w:tcPr>
            <w:tcW w:w="640" w:type="dxa"/>
            <w:vAlign w:val="center"/>
          </w:tcPr>
          <w:p w14:paraId="4116DF2A">
            <w:pPr>
              <w:pStyle w:val="23"/>
              <w:widowControl w:val="0"/>
              <w:spacing w:line="240" w:lineRule="auto"/>
              <w:ind w:firstLine="0"/>
              <w:jc w:val="center"/>
              <w:rPr>
                <w:color w:val="auto"/>
                <w:sz w:val="18"/>
                <w:szCs w:val="18"/>
                <w:lang w:eastAsia="zh-CN"/>
              </w:rPr>
            </w:pPr>
            <w:r>
              <w:rPr>
                <w:color w:val="auto"/>
                <w:sz w:val="18"/>
                <w:szCs w:val="18"/>
                <w:lang w:eastAsia="zh-CN"/>
              </w:rPr>
              <w:t>–0.388</w:t>
            </w:r>
          </w:p>
        </w:tc>
        <w:tc>
          <w:tcPr>
            <w:tcW w:w="629" w:type="dxa"/>
            <w:vAlign w:val="center"/>
          </w:tcPr>
          <w:p w14:paraId="257C336A">
            <w:pPr>
              <w:pStyle w:val="23"/>
              <w:widowControl w:val="0"/>
              <w:spacing w:line="240" w:lineRule="auto"/>
              <w:ind w:firstLine="0"/>
              <w:jc w:val="center"/>
              <w:rPr>
                <w:color w:val="auto"/>
                <w:sz w:val="18"/>
                <w:szCs w:val="18"/>
                <w:lang w:eastAsia="zh-CN"/>
              </w:rPr>
            </w:pPr>
            <w:r>
              <w:rPr>
                <w:color w:val="auto"/>
                <w:sz w:val="18"/>
                <w:szCs w:val="18"/>
                <w:lang w:eastAsia="zh-CN"/>
              </w:rPr>
              <w:t>0.084</w:t>
            </w:r>
          </w:p>
        </w:tc>
        <w:tc>
          <w:tcPr>
            <w:tcW w:w="781" w:type="dxa"/>
            <w:vAlign w:val="center"/>
          </w:tcPr>
          <w:p w14:paraId="28CD253A">
            <w:pPr>
              <w:pStyle w:val="23"/>
              <w:widowControl w:val="0"/>
              <w:spacing w:line="240" w:lineRule="auto"/>
              <w:ind w:firstLine="0"/>
              <w:jc w:val="center"/>
              <w:rPr>
                <w:color w:val="auto"/>
                <w:sz w:val="18"/>
                <w:szCs w:val="18"/>
                <w:lang w:eastAsia="zh-CN"/>
              </w:rPr>
            </w:pPr>
            <w:r>
              <w:rPr>
                <w:color w:val="auto"/>
                <w:sz w:val="18"/>
                <w:szCs w:val="18"/>
                <w:lang w:eastAsia="zh-CN"/>
              </w:rPr>
              <w:t>–4.62</w:t>
            </w:r>
          </w:p>
        </w:tc>
        <w:tc>
          <w:tcPr>
            <w:tcW w:w="862" w:type="dxa"/>
            <w:vAlign w:val="center"/>
          </w:tcPr>
          <w:p w14:paraId="6119F2FE">
            <w:pPr>
              <w:pStyle w:val="23"/>
              <w:widowControl w:val="0"/>
              <w:spacing w:line="240" w:lineRule="auto"/>
              <w:ind w:firstLine="0"/>
              <w:jc w:val="center"/>
              <w:rPr>
                <w:color w:val="auto"/>
                <w:sz w:val="18"/>
                <w:szCs w:val="18"/>
                <w:lang w:eastAsia="zh-CN"/>
              </w:rPr>
            </w:pPr>
            <w:r>
              <w:rPr>
                <w:color w:val="auto"/>
                <w:sz w:val="18"/>
                <w:szCs w:val="18"/>
                <w:lang w:eastAsia="zh-CN"/>
              </w:rPr>
              <w:t>&lt;0.0001</w:t>
            </w:r>
          </w:p>
        </w:tc>
        <w:tc>
          <w:tcPr>
            <w:tcW w:w="1154" w:type="dxa"/>
            <w:vAlign w:val="center"/>
          </w:tcPr>
          <w:p w14:paraId="3B8BDAB5">
            <w:pPr>
              <w:pStyle w:val="23"/>
              <w:widowControl w:val="0"/>
              <w:spacing w:line="240" w:lineRule="auto"/>
              <w:ind w:firstLine="0"/>
              <w:jc w:val="center"/>
              <w:rPr>
                <w:color w:val="auto"/>
                <w:sz w:val="18"/>
                <w:szCs w:val="18"/>
                <w:lang w:eastAsia="zh-CN"/>
              </w:rPr>
            </w:pPr>
            <w:r>
              <w:rPr>
                <w:color w:val="auto"/>
                <w:sz w:val="18"/>
                <w:szCs w:val="18"/>
                <w:lang w:eastAsia="zh-CN"/>
              </w:rPr>
              <w:t>Yes</w:t>
            </w:r>
          </w:p>
        </w:tc>
      </w:tr>
      <w:tr w14:paraId="74431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restart"/>
          </w:tcPr>
          <w:p w14:paraId="0D0EE706">
            <w:pPr>
              <w:pStyle w:val="23"/>
              <w:widowControl w:val="0"/>
              <w:spacing w:line="240" w:lineRule="auto"/>
              <w:ind w:firstLine="0"/>
              <w:rPr>
                <w:color w:val="auto"/>
                <w:sz w:val="18"/>
                <w:szCs w:val="18"/>
                <w:lang w:eastAsia="zh-CN"/>
              </w:rPr>
            </w:pPr>
            <w:r>
              <w:rPr>
                <w:color w:val="auto"/>
                <w:sz w:val="18"/>
                <w:szCs w:val="18"/>
                <w:lang w:eastAsia="zh-CN"/>
              </w:rPr>
              <w:t>9</w:t>
            </w:r>
          </w:p>
        </w:tc>
        <w:tc>
          <w:tcPr>
            <w:tcW w:w="1142" w:type="dxa"/>
            <w:vMerge w:val="restart"/>
          </w:tcPr>
          <w:p w14:paraId="0FC19A17">
            <w:pPr>
              <w:pStyle w:val="23"/>
              <w:widowControl w:val="0"/>
              <w:spacing w:line="240" w:lineRule="auto"/>
              <w:ind w:firstLine="0"/>
              <w:jc w:val="center"/>
              <w:rPr>
                <w:color w:val="auto"/>
                <w:sz w:val="18"/>
                <w:szCs w:val="18"/>
                <w:lang w:eastAsia="zh-CN"/>
              </w:rPr>
            </w:pPr>
            <w:r>
              <w:rPr>
                <w:color w:val="auto"/>
                <w:sz w:val="18"/>
                <w:szCs w:val="18"/>
                <w:lang w:eastAsia="zh-CN"/>
              </w:rPr>
              <w:t>Unemployment rate (region)</w:t>
            </w:r>
          </w:p>
        </w:tc>
        <w:tc>
          <w:tcPr>
            <w:tcW w:w="1468" w:type="dxa"/>
          </w:tcPr>
          <w:p w14:paraId="11410DB8">
            <w:pPr>
              <w:pStyle w:val="23"/>
              <w:widowControl w:val="0"/>
              <w:spacing w:line="240" w:lineRule="auto"/>
              <w:ind w:firstLine="0"/>
              <w:rPr>
                <w:color w:val="auto"/>
                <w:sz w:val="18"/>
                <w:szCs w:val="18"/>
                <w:lang w:eastAsia="pl-PL"/>
              </w:rPr>
            </w:pPr>
            <w:r>
              <w:rPr>
                <w:color w:val="auto"/>
                <w:sz w:val="18"/>
                <w:szCs w:val="18"/>
                <w:lang w:eastAsia="zh-CN"/>
              </w:rPr>
              <w:t xml:space="preserve">Enrolled </w:t>
            </w:r>
          </w:p>
        </w:tc>
        <w:tc>
          <w:tcPr>
            <w:tcW w:w="640" w:type="dxa"/>
            <w:vAlign w:val="center"/>
          </w:tcPr>
          <w:p w14:paraId="07B80983">
            <w:pPr>
              <w:pStyle w:val="23"/>
              <w:widowControl w:val="0"/>
              <w:spacing w:line="240" w:lineRule="auto"/>
              <w:ind w:firstLine="0"/>
              <w:jc w:val="center"/>
              <w:rPr>
                <w:color w:val="auto"/>
                <w:sz w:val="18"/>
                <w:szCs w:val="18"/>
                <w:lang w:eastAsia="zh-CN"/>
              </w:rPr>
            </w:pPr>
            <w:r>
              <w:rPr>
                <w:color w:val="auto"/>
                <w:sz w:val="18"/>
                <w:szCs w:val="18"/>
                <w:lang w:eastAsia="zh-CN"/>
              </w:rPr>
              <w:t>–0.237</w:t>
            </w:r>
          </w:p>
        </w:tc>
        <w:tc>
          <w:tcPr>
            <w:tcW w:w="629" w:type="dxa"/>
            <w:vAlign w:val="center"/>
          </w:tcPr>
          <w:p w14:paraId="3A51ACE0">
            <w:pPr>
              <w:pStyle w:val="23"/>
              <w:widowControl w:val="0"/>
              <w:spacing w:line="240" w:lineRule="auto"/>
              <w:ind w:firstLine="0"/>
              <w:jc w:val="center"/>
              <w:rPr>
                <w:color w:val="auto"/>
                <w:sz w:val="18"/>
                <w:szCs w:val="18"/>
                <w:lang w:eastAsia="zh-CN"/>
              </w:rPr>
            </w:pPr>
            <w:r>
              <w:rPr>
                <w:color w:val="auto"/>
                <w:sz w:val="18"/>
                <w:szCs w:val="18"/>
                <w:lang w:eastAsia="zh-CN"/>
              </w:rPr>
              <w:t>0.069</w:t>
            </w:r>
          </w:p>
        </w:tc>
        <w:tc>
          <w:tcPr>
            <w:tcW w:w="781" w:type="dxa"/>
            <w:vAlign w:val="center"/>
          </w:tcPr>
          <w:p w14:paraId="6A61CF62">
            <w:pPr>
              <w:pStyle w:val="23"/>
              <w:widowControl w:val="0"/>
              <w:spacing w:line="240" w:lineRule="auto"/>
              <w:ind w:firstLine="0"/>
              <w:jc w:val="center"/>
              <w:rPr>
                <w:color w:val="auto"/>
                <w:sz w:val="18"/>
                <w:szCs w:val="18"/>
                <w:lang w:eastAsia="zh-CN"/>
              </w:rPr>
            </w:pPr>
            <w:r>
              <w:rPr>
                <w:color w:val="auto"/>
                <w:sz w:val="18"/>
                <w:szCs w:val="18"/>
                <w:lang w:eastAsia="zh-CN"/>
              </w:rPr>
              <w:t>–3.42</w:t>
            </w:r>
          </w:p>
        </w:tc>
        <w:tc>
          <w:tcPr>
            <w:tcW w:w="862" w:type="dxa"/>
            <w:vAlign w:val="center"/>
          </w:tcPr>
          <w:p w14:paraId="455DE3C7">
            <w:pPr>
              <w:pStyle w:val="23"/>
              <w:widowControl w:val="0"/>
              <w:spacing w:line="240" w:lineRule="auto"/>
              <w:ind w:firstLine="0"/>
              <w:jc w:val="center"/>
              <w:rPr>
                <w:color w:val="auto"/>
                <w:sz w:val="18"/>
                <w:szCs w:val="18"/>
                <w:lang w:eastAsia="zh-CN"/>
              </w:rPr>
            </w:pPr>
            <w:r>
              <w:rPr>
                <w:color w:val="auto"/>
                <w:sz w:val="18"/>
                <w:szCs w:val="18"/>
                <w:lang w:eastAsia="zh-CN"/>
              </w:rPr>
              <w:t>0.0006</w:t>
            </w:r>
          </w:p>
        </w:tc>
        <w:tc>
          <w:tcPr>
            <w:tcW w:w="1154" w:type="dxa"/>
            <w:vAlign w:val="center"/>
          </w:tcPr>
          <w:p w14:paraId="3DF828D4">
            <w:pPr>
              <w:pStyle w:val="23"/>
              <w:widowControl w:val="0"/>
              <w:spacing w:line="240" w:lineRule="auto"/>
              <w:ind w:firstLine="0"/>
              <w:jc w:val="center"/>
              <w:rPr>
                <w:color w:val="auto"/>
                <w:sz w:val="18"/>
                <w:szCs w:val="18"/>
                <w:lang w:eastAsia="zh-CN"/>
              </w:rPr>
            </w:pPr>
            <w:r>
              <w:rPr>
                <w:color w:val="auto"/>
                <w:sz w:val="18"/>
                <w:szCs w:val="18"/>
                <w:lang w:eastAsia="zh-CN"/>
              </w:rPr>
              <w:t>Yes</w:t>
            </w:r>
          </w:p>
        </w:tc>
      </w:tr>
      <w:tr w14:paraId="6941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Merge w:val="continue"/>
          </w:tcPr>
          <w:p w14:paraId="4CDDAC42">
            <w:pPr>
              <w:pStyle w:val="23"/>
              <w:widowControl w:val="0"/>
              <w:spacing w:line="240" w:lineRule="auto"/>
              <w:jc w:val="center"/>
              <w:rPr>
                <w:color w:val="auto"/>
                <w:sz w:val="18"/>
                <w:szCs w:val="18"/>
                <w:lang w:eastAsia="zh-CN"/>
              </w:rPr>
            </w:pPr>
          </w:p>
        </w:tc>
        <w:tc>
          <w:tcPr>
            <w:tcW w:w="1142" w:type="dxa"/>
            <w:vMerge w:val="continue"/>
          </w:tcPr>
          <w:p w14:paraId="6F264ABF">
            <w:pPr>
              <w:pStyle w:val="23"/>
              <w:widowControl w:val="0"/>
              <w:spacing w:line="240" w:lineRule="auto"/>
              <w:jc w:val="center"/>
              <w:rPr>
                <w:color w:val="auto"/>
                <w:sz w:val="18"/>
                <w:szCs w:val="18"/>
                <w:lang w:eastAsia="zh-CN"/>
              </w:rPr>
            </w:pPr>
          </w:p>
        </w:tc>
        <w:tc>
          <w:tcPr>
            <w:tcW w:w="1468" w:type="dxa"/>
          </w:tcPr>
          <w:p w14:paraId="2B0E7B5F">
            <w:pPr>
              <w:pStyle w:val="23"/>
              <w:widowControl w:val="0"/>
              <w:spacing w:line="240" w:lineRule="auto"/>
              <w:ind w:firstLine="0"/>
              <w:rPr>
                <w:color w:val="auto"/>
                <w:sz w:val="18"/>
                <w:szCs w:val="18"/>
                <w:lang w:eastAsia="pl-PL"/>
              </w:rPr>
            </w:pPr>
            <w:r>
              <w:rPr>
                <w:color w:val="auto"/>
                <w:sz w:val="18"/>
                <w:szCs w:val="18"/>
                <w:lang w:eastAsia="zh-CN"/>
              </w:rPr>
              <w:t xml:space="preserve">Graduate </w:t>
            </w:r>
          </w:p>
        </w:tc>
        <w:tc>
          <w:tcPr>
            <w:tcW w:w="640" w:type="dxa"/>
            <w:vAlign w:val="center"/>
          </w:tcPr>
          <w:p w14:paraId="659FBA42">
            <w:pPr>
              <w:pStyle w:val="23"/>
              <w:widowControl w:val="0"/>
              <w:spacing w:line="240" w:lineRule="auto"/>
              <w:ind w:firstLine="0"/>
              <w:jc w:val="center"/>
              <w:rPr>
                <w:color w:val="auto"/>
                <w:sz w:val="18"/>
                <w:szCs w:val="18"/>
                <w:lang w:eastAsia="zh-CN"/>
              </w:rPr>
            </w:pPr>
            <w:r>
              <w:rPr>
                <w:color w:val="auto"/>
                <w:sz w:val="18"/>
                <w:szCs w:val="18"/>
                <w:lang w:eastAsia="zh-CN"/>
              </w:rPr>
              <w:t>–0.022</w:t>
            </w:r>
          </w:p>
        </w:tc>
        <w:tc>
          <w:tcPr>
            <w:tcW w:w="629" w:type="dxa"/>
            <w:vAlign w:val="center"/>
          </w:tcPr>
          <w:p w14:paraId="3BB97282">
            <w:pPr>
              <w:pStyle w:val="23"/>
              <w:widowControl w:val="0"/>
              <w:spacing w:line="240" w:lineRule="auto"/>
              <w:ind w:firstLine="0"/>
              <w:jc w:val="center"/>
              <w:rPr>
                <w:color w:val="auto"/>
                <w:sz w:val="18"/>
                <w:szCs w:val="18"/>
                <w:lang w:eastAsia="zh-CN"/>
              </w:rPr>
            </w:pPr>
            <w:r>
              <w:rPr>
                <w:color w:val="auto"/>
                <w:sz w:val="18"/>
                <w:szCs w:val="18"/>
                <w:lang w:eastAsia="zh-CN"/>
              </w:rPr>
              <w:t>0.066</w:t>
            </w:r>
          </w:p>
        </w:tc>
        <w:tc>
          <w:tcPr>
            <w:tcW w:w="781" w:type="dxa"/>
            <w:vAlign w:val="center"/>
          </w:tcPr>
          <w:p w14:paraId="546ABAB8">
            <w:pPr>
              <w:pStyle w:val="23"/>
              <w:widowControl w:val="0"/>
              <w:spacing w:line="240" w:lineRule="auto"/>
              <w:ind w:firstLine="0"/>
              <w:jc w:val="center"/>
              <w:rPr>
                <w:color w:val="auto"/>
                <w:sz w:val="18"/>
                <w:szCs w:val="18"/>
                <w:lang w:eastAsia="zh-CN"/>
              </w:rPr>
            </w:pPr>
            <w:r>
              <w:rPr>
                <w:color w:val="auto"/>
                <w:sz w:val="18"/>
                <w:szCs w:val="18"/>
                <w:lang w:eastAsia="zh-CN"/>
              </w:rPr>
              <w:t>–0.32</w:t>
            </w:r>
          </w:p>
        </w:tc>
        <w:tc>
          <w:tcPr>
            <w:tcW w:w="862" w:type="dxa"/>
            <w:vAlign w:val="center"/>
          </w:tcPr>
          <w:p w14:paraId="1D8A085A">
            <w:pPr>
              <w:pStyle w:val="23"/>
              <w:widowControl w:val="0"/>
              <w:spacing w:line="240" w:lineRule="auto"/>
              <w:ind w:firstLine="0"/>
              <w:jc w:val="center"/>
              <w:rPr>
                <w:color w:val="auto"/>
                <w:sz w:val="18"/>
                <w:szCs w:val="18"/>
                <w:lang w:eastAsia="zh-CN"/>
              </w:rPr>
            </w:pPr>
            <w:r>
              <w:rPr>
                <w:color w:val="auto"/>
                <w:sz w:val="18"/>
                <w:szCs w:val="18"/>
                <w:lang w:eastAsia="zh-CN"/>
              </w:rPr>
              <w:t>0.75</w:t>
            </w:r>
          </w:p>
        </w:tc>
        <w:tc>
          <w:tcPr>
            <w:tcW w:w="1154" w:type="dxa"/>
            <w:vAlign w:val="center"/>
          </w:tcPr>
          <w:p w14:paraId="536F2090">
            <w:pPr>
              <w:pStyle w:val="23"/>
              <w:widowControl w:val="0"/>
              <w:spacing w:line="240" w:lineRule="auto"/>
              <w:ind w:firstLine="0"/>
              <w:jc w:val="center"/>
              <w:rPr>
                <w:color w:val="auto"/>
                <w:sz w:val="18"/>
                <w:szCs w:val="18"/>
                <w:lang w:eastAsia="zh-CN"/>
              </w:rPr>
            </w:pPr>
            <w:r>
              <w:rPr>
                <w:color w:val="auto"/>
                <w:sz w:val="18"/>
                <w:szCs w:val="18"/>
                <w:lang w:eastAsia="zh-CN"/>
              </w:rPr>
              <w:t>No</w:t>
            </w:r>
          </w:p>
        </w:tc>
      </w:tr>
    </w:tbl>
    <w:p w14:paraId="0089572E">
      <w:pPr>
        <w:spacing w:before="100" w:after="100" w:line="240" w:lineRule="auto"/>
        <w:ind w:right="-765" w:firstLine="0"/>
        <w:rPr>
          <w:color w:val="auto"/>
          <w:kern w:val="1"/>
          <w:sz w:val="18"/>
          <w:szCs w:val="18"/>
        </w:rPr>
      </w:pPr>
      <w:r>
        <w:rPr>
          <w:b/>
          <w:bCs/>
          <w:color w:val="auto"/>
          <w:kern w:val="1"/>
          <w:sz w:val="18"/>
          <w:szCs w:val="18"/>
        </w:rPr>
        <w:t xml:space="preserve">Source: </w:t>
      </w:r>
      <w:r>
        <w:rPr>
          <w:color w:val="auto"/>
          <w:kern w:val="1"/>
          <w:sz w:val="18"/>
          <w:szCs w:val="18"/>
        </w:rPr>
        <w:t>Own elaboration.</w:t>
      </w:r>
    </w:p>
    <w:p w14:paraId="2FE22B2C">
      <w:pPr>
        <w:pStyle w:val="23"/>
        <w:spacing w:before="0" w:beforeAutospacing="0" w:after="0" w:afterAutospacing="0" w:line="240" w:lineRule="auto"/>
        <w:ind w:firstLine="400" w:firstLineChars="200"/>
        <w:rPr>
          <w:color w:val="auto"/>
          <w:szCs w:val="24"/>
          <w:lang w:eastAsia="zh-CN"/>
        </w:rPr>
      </w:pPr>
      <w:r>
        <w:rPr>
          <w:color w:val="auto"/>
          <w:szCs w:val="24"/>
          <w:lang w:eastAsia="zh-CN"/>
        </w:rPr>
        <w:t>Table 8 describes econometric logistic regression model results where first-semester performance and financial stability are the most important factors in separating dropouts from graduates. First-semester average grades have a crucial role in both comparisons. Students who perform well early in their studies are much more likely to continue and especially to graduate. Financial stability is also a key factor who keeps tuition payments on time has the strongest positive effect for both outcomes. This shows that students who are financially stable and meet administrative requirements are more likely to complete their studies. For long-term success, the number of courses passed in the first semester is significant factor. It matters when comparing graduates to dropouts, but it is not while comparing enrolled students to dropouts. This supports the idea that passing more courses over time helps students move toward completing their degree. Moreover, admission grades are no longer significant after considering first-semester performance. This means that what students achieve after enrolling matters more than how prepared they were at the beginning.</w:t>
      </w:r>
    </w:p>
    <w:p w14:paraId="129EF7F4">
      <w:pPr>
        <w:pStyle w:val="23"/>
        <w:spacing w:before="0" w:beforeAutospacing="0" w:after="0" w:afterAutospacing="0" w:line="240" w:lineRule="auto"/>
        <w:ind w:firstLine="400" w:firstLineChars="200"/>
        <w:rPr>
          <w:color w:val="auto"/>
          <w:szCs w:val="24"/>
          <w:lang w:eastAsia="zh-CN"/>
        </w:rPr>
      </w:pPr>
      <w:r>
        <w:rPr>
          <w:color w:val="auto"/>
          <w:szCs w:val="24"/>
          <w:lang w:eastAsia="zh-CN"/>
        </w:rPr>
        <w:t>In the second part of the analysis we consider how students in the same academic environment can have different levels of vulnerability or risk. We detected that the age at enrollment has a negative effect in both comparisons. It means that older students are more likely to drop out compared to young students. This shows that older students need early support, such as help managing work and studies or access to more flexible study options. Scholarship status does not strongly influence whether students stay enrolled. Nevertheless, it becomes crucial when comparing graduates to dropouts. It suggests that financial support is required more for helping students finish their degree than just helping them stay enrolled at the beginning. Additionally, parental education overall does not have a strong effect. The father’s education is not statistically significant, while the mother’s education shows a small but significant negative effect when comparing enrolled students to dropouts. Therefore, parental education should not be seen as a main cause of dropout. Finally, regional unemployment is only significant when comparing enrolled students to dropouts, and the relationship is negative. This suggests that difficult economic conditions may push students to leave their studies during that time, even though these conditions do not clearly distinguish future graduates from dropouts.</w:t>
      </w:r>
    </w:p>
    <w:p w14:paraId="779AF6C2">
      <w:pPr>
        <w:pStyle w:val="23"/>
        <w:numPr>
          <w:ilvl w:val="1"/>
          <w:numId w:val="6"/>
        </w:numPr>
        <w:overflowPunct/>
        <w:autoSpaceDE/>
        <w:autoSpaceDN/>
        <w:adjustRightInd/>
        <w:spacing w:before="120" w:beforeLines="50" w:beforeAutospacing="0" w:after="120" w:afterLines="50" w:afterAutospacing="0"/>
        <w:textAlignment w:val="auto"/>
        <w:rPr>
          <w:i/>
          <w:iCs/>
          <w:color w:val="auto"/>
          <w:lang w:eastAsia="zh-CN" w:bidi="ar"/>
        </w:rPr>
      </w:pPr>
      <w:r>
        <w:rPr>
          <w:i/>
          <w:iCs/>
          <w:color w:val="auto"/>
          <w:lang w:eastAsia="zh-CN" w:bidi="ar"/>
        </w:rPr>
        <w:t>XGBoost Model</w:t>
      </w:r>
    </w:p>
    <w:p w14:paraId="0EF971FE">
      <w:pPr>
        <w:pStyle w:val="60"/>
        <w:spacing w:after="120" w:line="240" w:lineRule="auto"/>
        <w:jc w:val="both"/>
        <w:rPr>
          <w:color w:val="auto"/>
        </w:rPr>
      </w:pPr>
      <w:r>
        <w:rPr>
          <w:b/>
          <w:color w:val="auto"/>
        </w:rPr>
        <w:t>Fig. 5.</w:t>
      </w:r>
      <w:r>
        <w:rPr>
          <w:color w:val="auto"/>
        </w:rPr>
        <w:t xml:space="preserve">  Top 20 most effective features in XGBoost Model </w:t>
      </w:r>
    </w:p>
    <w:p w14:paraId="1296E2BC">
      <w:pPr>
        <w:spacing w:before="100" w:after="100" w:line="240" w:lineRule="auto"/>
        <w:ind w:right="-766" w:firstLine="0"/>
        <w:rPr>
          <w:color w:val="auto"/>
        </w:rPr>
      </w:pPr>
      <w:r>
        <w:rPr>
          <w:color w:val="auto"/>
        </w:rPr>
        <w:t xml:space="preserve">      </w:t>
      </w:r>
      <w:r>
        <w:rPr>
          <w:color w:val="auto"/>
        </w:rPr>
        <w:drawing>
          <wp:inline distT="0" distB="0" distL="114300" distR="114300">
            <wp:extent cx="3929380" cy="2306955"/>
            <wp:effectExtent l="0" t="0" r="254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rcRect t="5532" r="3560"/>
                    <a:stretch>
                      <a:fillRect/>
                    </a:stretch>
                  </pic:blipFill>
                  <pic:spPr>
                    <a:xfrm>
                      <a:off x="0" y="0"/>
                      <a:ext cx="3929380" cy="2306955"/>
                    </a:xfrm>
                    <a:prstGeom prst="rect">
                      <a:avLst/>
                    </a:prstGeom>
                    <a:noFill/>
                    <a:ln>
                      <a:noFill/>
                    </a:ln>
                  </pic:spPr>
                </pic:pic>
              </a:graphicData>
            </a:graphic>
          </wp:inline>
        </w:drawing>
      </w:r>
    </w:p>
    <w:p w14:paraId="41850862">
      <w:pPr>
        <w:pStyle w:val="23"/>
        <w:spacing w:before="0" w:beforeAutospacing="0" w:after="0" w:afterAutospacing="0" w:line="240" w:lineRule="auto"/>
        <w:ind w:firstLine="400" w:firstLineChars="200"/>
        <w:rPr>
          <w:color w:val="auto"/>
          <w:szCs w:val="24"/>
          <w:lang w:eastAsia="zh-CN"/>
        </w:rPr>
      </w:pPr>
      <w:r>
        <w:rPr>
          <w:color w:val="auto"/>
          <w:szCs w:val="24"/>
          <w:lang w:eastAsia="zh-CN"/>
        </w:rPr>
        <w:t>Figure 5 shows top features in descending order to predict student’s performance by best-performing model (XGBoost). The significant factors are mainly related to academic progress, especially the number of courses passed in the first and second semesters. The grades achieved from those semesters are also essential variables. In general, the model mainly focuses strongly on whether students pass their courses and earn credits. This makes sense, because students who do not make academic progress are more likely to leave. After academic performance, paying tuition fees on time is one of the essential variables. This shows that financial and administrative stability is necessary for staying in the program and successfully graduating.</w:t>
      </w:r>
    </w:p>
    <w:p w14:paraId="279F7963">
      <w:pPr>
        <w:pStyle w:val="23"/>
        <w:spacing w:before="0" w:beforeAutospacing="0" w:after="0" w:afterAutospacing="0" w:line="240" w:lineRule="auto"/>
        <w:ind w:firstLine="400" w:firstLineChars="200"/>
        <w:rPr>
          <w:color w:val="auto"/>
          <w:szCs w:val="24"/>
          <w:lang w:eastAsia="zh-CN"/>
        </w:rPr>
      </w:pPr>
      <w:r>
        <w:rPr>
          <w:color w:val="auto"/>
          <w:szCs w:val="24"/>
          <w:lang w:eastAsia="zh-CN"/>
        </w:rPr>
        <w:t>The results show that students’ grades and performance in the first year are the strongest indicators to predict future outcomes. So, demographic information can not replace the importance of actual academic performance data. Other factors such as course type, enrollment size, age at entry, and previous academic performance are much lower compared to first-year academic results. Broader economic factors like GDP and unemployment, as well as family-related factors such as parents’ jobs, are less important. They give background information, but they do not affect predictions as much as students’ current academic engagement. In summary, the results show that study progress and regular tuition payment is the main signal for predicting their future results. Therefore, universities should focus on helping students who are earning few credits or whose grades are getting worse, especially if they are also facing financial problems.</w:t>
      </w:r>
    </w:p>
    <w:p w14:paraId="6F6E456F">
      <w:pPr>
        <w:pStyle w:val="23"/>
        <w:spacing w:before="0" w:beforeAutospacing="0" w:after="0" w:afterAutospacing="0" w:line="240" w:lineRule="auto"/>
        <w:ind w:firstLine="0"/>
        <w:rPr>
          <w:color w:val="auto"/>
          <w:szCs w:val="24"/>
          <w:lang w:eastAsia="zh-CN"/>
        </w:rPr>
      </w:pPr>
    </w:p>
    <w:p w14:paraId="1E86B222">
      <w:pPr>
        <w:pStyle w:val="60"/>
        <w:spacing w:after="120" w:line="240" w:lineRule="auto"/>
        <w:jc w:val="both"/>
        <w:rPr>
          <w:color w:val="auto"/>
          <w:szCs w:val="24"/>
          <w:highlight w:val="none"/>
          <w:lang w:eastAsia="zh-CN"/>
        </w:rPr>
      </w:pPr>
      <w:r>
        <w:rPr>
          <w:b/>
          <w:color w:val="auto"/>
          <w:highlight w:val="none"/>
        </w:rPr>
        <w:t xml:space="preserve">Fig. </w:t>
      </w:r>
      <w:r>
        <w:rPr>
          <w:b/>
          <w:color w:val="auto"/>
          <w:highlight w:val="none"/>
          <w:lang w:val="tr-TR"/>
        </w:rPr>
        <w:t>6</w:t>
      </w:r>
      <w:r>
        <w:rPr>
          <w:b/>
          <w:color w:val="auto"/>
          <w:highlight w:val="none"/>
        </w:rPr>
        <w:t>.</w:t>
      </w:r>
      <w:r>
        <w:rPr>
          <w:color w:val="auto"/>
          <w:highlight w:val="none"/>
        </w:rPr>
        <w:t xml:space="preserve">  </w:t>
      </w:r>
      <w:r>
        <w:rPr>
          <w:color w:val="auto"/>
          <w:highlight w:val="none"/>
          <w:lang w:val="tr-TR"/>
        </w:rPr>
        <w:t xml:space="preserve">Key Determinants of Predictive Outcomes </w:t>
      </w:r>
    </w:p>
    <w:p w14:paraId="1E886BB9">
      <w:pPr>
        <w:pStyle w:val="23"/>
        <w:spacing w:before="0" w:beforeAutospacing="0" w:after="0" w:afterAutospacing="0" w:line="240" w:lineRule="auto"/>
        <w:ind w:firstLine="400" w:firstLineChars="200"/>
        <w:rPr>
          <w:color w:val="auto"/>
          <w:szCs w:val="24"/>
          <w:lang w:eastAsia="zh-CN"/>
        </w:rPr>
      </w:pPr>
    </w:p>
    <w:p w14:paraId="2310E1C3">
      <w:pPr>
        <w:pStyle w:val="23"/>
        <w:spacing w:before="0" w:beforeAutospacing="0" w:after="0" w:afterAutospacing="0" w:line="240" w:lineRule="auto"/>
        <w:ind w:firstLine="400" w:firstLineChars="200"/>
        <w:jc w:val="center"/>
        <w:rPr>
          <w:color w:val="auto"/>
        </w:rPr>
      </w:pPr>
      <w:r>
        <w:rPr>
          <w:color w:val="auto"/>
        </w:rPr>
        <w:drawing>
          <wp:inline distT="0" distB="0" distL="114300" distR="114300">
            <wp:extent cx="4067175" cy="2650490"/>
            <wp:effectExtent l="0" t="0" r="1905" b="1270"/>
            <wp:docPr id="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1"/>
                    <pic:cNvPicPr>
                      <a:picLocks noChangeAspect="1"/>
                    </pic:cNvPicPr>
                  </pic:nvPicPr>
                  <pic:blipFill>
                    <a:blip r:embed="rId11"/>
                    <a:stretch>
                      <a:fillRect/>
                    </a:stretch>
                  </pic:blipFill>
                  <pic:spPr>
                    <a:xfrm>
                      <a:off x="0" y="0"/>
                      <a:ext cx="4067175" cy="2650490"/>
                    </a:xfrm>
                    <a:prstGeom prst="rect">
                      <a:avLst/>
                    </a:prstGeom>
                    <a:noFill/>
                    <a:ln>
                      <a:noFill/>
                    </a:ln>
                  </pic:spPr>
                </pic:pic>
              </a:graphicData>
            </a:graphic>
          </wp:inline>
        </w:drawing>
      </w:r>
    </w:p>
    <w:p w14:paraId="1F4BBEF8">
      <w:pPr>
        <w:pStyle w:val="23"/>
        <w:rPr>
          <w:color w:val="auto"/>
          <w:highlight w:val="none"/>
          <w:lang w:val="tr-TR"/>
        </w:rPr>
      </w:pPr>
      <w:r>
        <w:rPr>
          <w:color w:val="auto"/>
          <w:highlight w:val="none"/>
          <w:lang w:val="tr-TR"/>
        </w:rPr>
        <w:t xml:space="preserve">Figure 6 above shows the extent to which each predictor contributes to the output of the XGBoost model. Each point in the figure indicates the direction and magnitude of the effect along the horizontal axis. In terms of colour, purple indicates a low raw value, whilst yellow indicates a high raw value. According to the findings shown in the figure, early-stage academic success appears to be the dominant variable group compared to the other groups. The second-term grade point average ranks first with a value of 1.493, followed by tuition fees at 0.678 and the first-term grade point average at 0.546. When the reasons for dropping out of education are examined, it is observed that students with a low grade point average are more likely to drop out than those with a high grade point average. The ability to pay tuition fees is also the strongest non-academic indicator for students to continue their education. This is consistent with the dropout rates shown in Table (8). Differences in parents’ educational levels and the country’s macroeconomic situation are clustered at a value very close to zero. This indicates that, when based on academic signals, marginal contributions are negligible. The SHAP analysis confirms that these factors vary across educational periods and that students’ school attendance and financial conditions provide significant signals in identifying school dropout.  </w:t>
      </w:r>
    </w:p>
    <w:p w14:paraId="685E2115">
      <w:pPr>
        <w:pStyle w:val="23"/>
        <w:rPr>
          <w:color w:val="auto"/>
          <w:lang w:val="tr-TR"/>
        </w:rPr>
      </w:pPr>
    </w:p>
    <w:p w14:paraId="6A501409">
      <w:pPr>
        <w:pStyle w:val="23"/>
        <w:rPr>
          <w:color w:val="auto"/>
          <w:lang w:val="tr-TR"/>
        </w:rPr>
      </w:pPr>
    </w:p>
    <w:p w14:paraId="0685777A">
      <w:pPr>
        <w:pStyle w:val="23"/>
        <w:rPr>
          <w:color w:val="auto"/>
          <w:lang w:val="tr-TR"/>
        </w:rPr>
      </w:pPr>
    </w:p>
    <w:p w14:paraId="56934240">
      <w:pPr>
        <w:pStyle w:val="23"/>
        <w:rPr>
          <w:color w:val="auto"/>
          <w:lang w:val="tr-TR"/>
        </w:rPr>
      </w:pPr>
    </w:p>
    <w:p w14:paraId="5E05512C">
      <w:pPr>
        <w:pStyle w:val="23"/>
        <w:rPr>
          <w:color w:val="auto"/>
          <w:lang w:val="tr-TR"/>
        </w:rPr>
      </w:pPr>
    </w:p>
    <w:p w14:paraId="2C008004">
      <w:pPr>
        <w:pStyle w:val="61"/>
        <w:numPr>
          <w:ilvl w:val="0"/>
          <w:numId w:val="0"/>
        </w:numPr>
        <w:spacing w:line="240" w:lineRule="auto"/>
        <w:rPr>
          <w:color w:val="auto"/>
        </w:rPr>
      </w:pPr>
      <w:r>
        <w:rPr>
          <w:color w:val="auto"/>
        </w:rPr>
        <w:t xml:space="preserve">Concluding remarks </w:t>
      </w:r>
    </w:p>
    <w:p w14:paraId="3DE6A02B">
      <w:pPr>
        <w:pStyle w:val="23"/>
        <w:ind w:firstLine="400" w:firstLineChars="200"/>
        <w:rPr>
          <w:color w:val="auto"/>
          <w:szCs w:val="24"/>
          <w:lang w:eastAsia="zh-CN"/>
        </w:rPr>
      </w:pPr>
      <w:r>
        <w:rPr>
          <w:color w:val="auto"/>
          <w:szCs w:val="24"/>
          <w:lang w:eastAsia="zh-CN"/>
        </w:rPr>
        <w:t xml:space="preserve">This study developed an Early Warning System (EWS) using a multi-class framework to predict student outcomes (dropout, staying enrolled, or graduation) based on the SATDAP higher-education dataset, which includes 4,424 students studied between 2010 and 2018. The dataset incorporated early academic performance, parental education, demographic and financial variables, and regional economic indicators. </w:t>
      </w:r>
    </w:p>
    <w:p w14:paraId="451C88FC">
      <w:pPr>
        <w:pStyle w:val="23"/>
        <w:ind w:firstLine="400" w:firstLineChars="200"/>
        <w:rPr>
          <w:color w:val="auto"/>
          <w:highlight w:val="red"/>
        </w:rPr>
      </w:pPr>
      <w:r>
        <w:rPr>
          <w:color w:val="auto"/>
          <w:szCs w:val="24"/>
          <w:lang w:eastAsia="zh-CN"/>
        </w:rPr>
        <w:t>Our findings clearly address the research questions formulated in the introduction. First, early academic performance is the strongest predictor of student outcomes. In particular, first-semester grades and approved credit units are the primary signals, overshadowing initial admission grades (RQ1).</w:t>
      </w:r>
      <w:r>
        <w:rPr>
          <w:color w:val="auto"/>
          <w:highlight w:val="none"/>
        </w:rPr>
        <w:t>This finding is consistent with the adaptation processes described in Tinto’s (1975, 1993)</w:t>
      </w:r>
      <w:r>
        <w:rPr>
          <w:color w:val="auto"/>
          <w:highlight w:val="none"/>
          <w:lang w:val="tr-TR"/>
        </w:rPr>
        <w:t xml:space="preserve"> and </w:t>
      </w:r>
      <w:r>
        <w:rPr>
          <w:color w:val="auto"/>
          <w:highlight w:val="none"/>
        </w:rPr>
        <w:t xml:space="preserve"> </w:t>
      </w:r>
      <w:r>
        <w:rPr>
          <w:color w:val="auto"/>
          <w:highlight w:val="none"/>
          <w:lang w:val="tr-TR"/>
        </w:rPr>
        <w:t xml:space="preserve">(White et al., 2024) </w:t>
      </w:r>
      <w:r>
        <w:rPr>
          <w:color w:val="auto"/>
          <w:highlight w:val="none"/>
        </w:rPr>
        <w:t xml:space="preserve">work regarding the continuity of educational activities. It is also consistent with the study by Herzog (2005), which found that university students face a higher risk of dropping out in their first year compared to subsequent years. </w:t>
      </w:r>
      <w:r>
        <w:rPr>
          <w:color w:val="auto"/>
        </w:rPr>
        <w:t>Similarly, Akçapınar et al. (2019) and Kustitskaya et al. (2022) confirm that early academic indicators such as credit completion and course grades are reliable signals for identifying at-risk students.</w:t>
      </w:r>
    </w:p>
    <w:p w14:paraId="43AF1ED2">
      <w:pPr>
        <w:pStyle w:val="23"/>
        <w:ind w:firstLine="400" w:firstLineChars="200"/>
        <w:rPr>
          <w:color w:val="auto"/>
          <w:szCs w:val="24"/>
          <w:lang w:val="tr-TR" w:eastAsia="zh-CN"/>
        </w:rPr>
      </w:pPr>
      <w:r>
        <w:rPr>
          <w:color w:val="auto"/>
          <w:szCs w:val="24"/>
          <w:lang w:eastAsia="zh-CN"/>
        </w:rPr>
        <w:t>Second, among non-academic factors, up-to-date tuition fees were the strongest predictor, while age at enrollment showed a significant negative effect on persistence and graduation. In contrast, parental education showed almost no effect and offered no clear separation across outcome groups once early academic performance was accounted for (RQ2).</w:t>
      </w:r>
      <w:r>
        <w:rPr>
          <w:color w:val="auto"/>
          <w:szCs w:val="24"/>
          <w:highlight w:val="none"/>
          <w:lang w:val="tr-TR" w:eastAsia="zh-CN"/>
        </w:rPr>
        <w:t xml:space="preserve"> </w:t>
      </w:r>
      <w:r>
        <w:rPr>
          <w:color w:val="auto"/>
          <w:highlight w:val="none"/>
        </w:rPr>
        <w:t>Consequently, this finding differs from studies highlighting the importance of family background, such as educational attainment (Ishitani &amp; Snider, 2006; Kemper et al., 2020), and indicates that socio-economic status is closely linked to academic performance.</w:t>
      </w:r>
      <w:r>
        <w:rPr>
          <w:color w:val="auto"/>
          <w:szCs w:val="24"/>
          <w:highlight w:val="none"/>
          <w:lang w:eastAsia="zh-CN"/>
        </w:rPr>
        <w:t xml:space="preserve"> </w:t>
      </w:r>
      <w:r>
        <w:rPr>
          <w:color w:val="auto"/>
          <w:szCs w:val="24"/>
          <w:lang w:val="tr-TR" w:eastAsia="zh-CN"/>
        </w:rPr>
        <w:t xml:space="preserve">This is further supported by Villegas-Ch. et al. (2023) and Jokhan et al. (2022), who similarly find that financial stability is a stronger predictor of student persistence than parental education level. </w:t>
      </w:r>
      <w:r>
        <w:rPr>
          <w:color w:val="auto"/>
          <w:szCs w:val="24"/>
          <w:lang w:eastAsia="zh-CN"/>
        </w:rPr>
        <w:t>Taken together, the study demonstrates that the combination of early academic progress and financial stability are the most important predictors of dropout risk and student success.</w:t>
      </w:r>
    </w:p>
    <w:p w14:paraId="645CA46B">
      <w:pPr>
        <w:pStyle w:val="23"/>
        <w:ind w:firstLine="400" w:firstLineChars="200"/>
        <w:rPr>
          <w:color w:val="auto"/>
          <w:szCs w:val="24"/>
          <w:lang w:eastAsia="zh-CN"/>
        </w:rPr>
      </w:pPr>
      <w:r>
        <w:rPr>
          <w:color w:val="auto"/>
          <w:szCs w:val="24"/>
          <w:lang w:eastAsia="zh-CN"/>
        </w:rPr>
        <w:t>Finally, regarding RQ3, non-linear machine learning methods proved most suitable for prediction. XGBoost achieved the best overall performance, demonstrating superior predictive accuracy and reliability across all outcome classes with a Macro-F1 score of 0.7144, balanced accuracy of 0.8887, and a low log loss of 0.5343. This approach is followed by the non-linear (kernel) SVM, showing that non-linear relationships are key in predicting student outcomes. In comparison, traditional econometric models (multinomial logistic regression) and linear ML models (linear SVM) achieved only moderate balanced accuracy, and their significantly lower Macro-F1 scores imply that they are inappropriate for accurately predicting minority classes, such as students who remain enrolled. Furthermore, while Random Forest showed high balanced accuracy, its lower Macro-F1 and higher log loss suggest that its probability predictions are less reliable and consistent across all outcome categories compared to XGBoost. These results are consistent with recent comparative studies showing that non-linear ML models, particularly gradient boosting methods, consistently outperform logistic regression and linear classifiers in multi-class student outcome prediction (Martinez et al., 2024; Alalawi et al., 2024).</w:t>
      </w:r>
    </w:p>
    <w:p w14:paraId="477B6D47">
      <w:pPr>
        <w:pStyle w:val="23"/>
        <w:ind w:firstLine="400" w:firstLineChars="200"/>
        <w:rPr>
          <w:color w:val="auto"/>
          <w:szCs w:val="24"/>
          <w:lang w:eastAsia="zh-CN"/>
        </w:rPr>
      </w:pPr>
      <w:r>
        <w:rPr>
          <w:color w:val="auto"/>
          <w:szCs w:val="24"/>
          <w:lang w:eastAsia="zh-CN"/>
        </w:rPr>
        <w:t>The findings provide a clear basis for targeted university interventions. Given that early academic progress is the strongest signal, higher education institutions could front-load support services by proposing mandatory mid-term academic counseling for students who fail to earn their full first-semester credits. These interventions align with the adaptive systems reported in the literature that have been shown to be effective in improving student outcomes through targeted guidance and feedback (Rodríguez et al., 2022; Guerrero-Roldán et al., 2021; Raffaghelli et al., 2022). Since outstanding tuition fees were the strongest non-academic predictor, universities could implement flexible payment plans or emergency micro-grants to prevent administrative dropouts. Moreover, the negative impact of age at enrollment suggests a need for support dedicated to more mature students, who may have greater difficulties in balancing their external responsibilities.</w:t>
      </w:r>
    </w:p>
    <w:p w14:paraId="5532DB2B">
      <w:pPr>
        <w:pStyle w:val="23"/>
        <w:spacing w:line="240" w:lineRule="auto"/>
        <w:ind w:firstLine="400" w:firstLineChars="200"/>
        <w:rPr>
          <w:color w:val="auto"/>
          <w:szCs w:val="24"/>
          <w:lang w:eastAsia="zh-CN"/>
        </w:rPr>
      </w:pPr>
      <w:r>
        <w:rPr>
          <w:color w:val="auto"/>
          <w:szCs w:val="24"/>
          <w:lang w:eastAsia="zh-CN"/>
        </w:rPr>
        <w:t xml:space="preserve">Future research should validate the framework across other institutions, exploiting much larger datasets to analyze heterogeneity among universities and countries over longer time periods. Such analysis would enable confirming if the predictive power of regional economic factors, such as regional unemployment, remains constant during different national economic cycles and capturing the pace of demographic processes, including the declining overall number of individuals in analyzed age cohorts. Given the limited effect of parental education, future research could investigate some unobserved qualitative factors (e.g., study habits or psychological resilience) to understand better the mechanisms how students from diverse backgrounds succeed in the academia despite initial socioeconomic gaps. An interesting avenue of research is also to incorporate international students in such research. Future work could also conduct intervention efficacy studies. This could involve simulations, for example, predicting how a 10% increase in first-semester grades via tutoring would shift students from the “dropout” class to the remaining classes. </w:t>
      </w:r>
    </w:p>
    <w:p w14:paraId="13A12754">
      <w:pPr>
        <w:pStyle w:val="23"/>
        <w:spacing w:line="240" w:lineRule="auto"/>
        <w:ind w:firstLine="400" w:firstLineChars="200"/>
        <w:rPr>
          <w:color w:val="auto"/>
          <w:szCs w:val="24"/>
          <w:lang w:eastAsia="zh-CN"/>
        </w:rPr>
      </w:pPr>
      <w:r>
        <w:rPr>
          <w:color w:val="auto"/>
          <w:szCs w:val="24"/>
          <w:lang w:eastAsia="zh-CN"/>
        </w:rPr>
        <w:t>To conclude, proposed shows how institutional data from a historical record can be transformed into proactive tools supporting higher education systems.</w:t>
      </w:r>
    </w:p>
    <w:p w14:paraId="5860E84D">
      <w:pPr>
        <w:pStyle w:val="23"/>
        <w:spacing w:line="240" w:lineRule="auto"/>
        <w:ind w:firstLine="400" w:firstLineChars="200"/>
        <w:rPr>
          <w:color w:val="auto"/>
          <w:szCs w:val="24"/>
          <w:lang w:eastAsia="zh-CN"/>
        </w:rPr>
      </w:pPr>
    </w:p>
    <w:p w14:paraId="080DEFBF">
      <w:pPr>
        <w:pStyle w:val="23"/>
        <w:spacing w:line="240" w:lineRule="auto"/>
        <w:ind w:firstLine="400" w:firstLineChars="200"/>
        <w:rPr>
          <w:color w:val="auto"/>
          <w:szCs w:val="24"/>
          <w:lang w:eastAsia="zh-CN"/>
        </w:rPr>
      </w:pPr>
    </w:p>
    <w:p w14:paraId="4326E6F3">
      <w:pPr>
        <w:pStyle w:val="23"/>
        <w:spacing w:line="240" w:lineRule="auto"/>
        <w:ind w:firstLine="400" w:firstLineChars="200"/>
        <w:rPr>
          <w:color w:val="auto"/>
          <w:szCs w:val="24"/>
          <w:lang w:eastAsia="zh-CN"/>
        </w:rPr>
      </w:pPr>
    </w:p>
    <w:p w14:paraId="186CD5DD">
      <w:pPr>
        <w:pStyle w:val="23"/>
        <w:spacing w:line="240" w:lineRule="auto"/>
        <w:ind w:firstLine="400" w:firstLineChars="200"/>
        <w:rPr>
          <w:color w:val="auto"/>
          <w:szCs w:val="24"/>
          <w:lang w:eastAsia="zh-CN"/>
        </w:rPr>
      </w:pPr>
    </w:p>
    <w:p w14:paraId="3D5446D3">
      <w:pPr>
        <w:pStyle w:val="23"/>
        <w:spacing w:line="240" w:lineRule="auto"/>
        <w:ind w:firstLine="400" w:firstLineChars="200"/>
        <w:rPr>
          <w:color w:val="auto"/>
          <w:szCs w:val="24"/>
          <w:lang w:eastAsia="zh-CN"/>
        </w:rPr>
      </w:pPr>
    </w:p>
    <w:p w14:paraId="4712EBD5">
      <w:pPr>
        <w:pStyle w:val="23"/>
        <w:spacing w:line="240" w:lineRule="auto"/>
        <w:ind w:firstLine="400" w:firstLineChars="200"/>
        <w:rPr>
          <w:color w:val="auto"/>
          <w:szCs w:val="24"/>
          <w:lang w:eastAsia="zh-CN"/>
        </w:rPr>
      </w:pPr>
    </w:p>
    <w:p w14:paraId="5CCC5682">
      <w:pPr>
        <w:pStyle w:val="23"/>
        <w:spacing w:line="240" w:lineRule="auto"/>
        <w:ind w:firstLine="400" w:firstLineChars="200"/>
        <w:rPr>
          <w:color w:val="auto"/>
          <w:szCs w:val="24"/>
          <w:lang w:eastAsia="zh-CN"/>
        </w:rPr>
      </w:pPr>
    </w:p>
    <w:p w14:paraId="4512A1F1">
      <w:pPr>
        <w:pStyle w:val="23"/>
        <w:spacing w:line="240" w:lineRule="auto"/>
        <w:ind w:firstLine="400" w:firstLineChars="200"/>
        <w:rPr>
          <w:color w:val="auto"/>
          <w:szCs w:val="24"/>
          <w:lang w:eastAsia="zh-CN"/>
        </w:rPr>
      </w:pPr>
    </w:p>
    <w:p w14:paraId="70AC4ACB">
      <w:pPr>
        <w:pStyle w:val="23"/>
        <w:spacing w:line="240" w:lineRule="auto"/>
        <w:ind w:firstLine="400" w:firstLineChars="200"/>
        <w:rPr>
          <w:color w:val="auto"/>
          <w:szCs w:val="24"/>
          <w:lang w:eastAsia="zh-CN"/>
        </w:rPr>
      </w:pPr>
    </w:p>
    <w:p w14:paraId="268F2018">
      <w:pPr>
        <w:pStyle w:val="23"/>
        <w:spacing w:line="240" w:lineRule="auto"/>
        <w:ind w:firstLine="400" w:firstLineChars="200"/>
        <w:rPr>
          <w:color w:val="auto"/>
          <w:szCs w:val="24"/>
          <w:lang w:eastAsia="zh-CN"/>
        </w:rPr>
      </w:pPr>
    </w:p>
    <w:p w14:paraId="3265FBAB">
      <w:pPr>
        <w:pStyle w:val="23"/>
        <w:spacing w:line="240" w:lineRule="auto"/>
        <w:ind w:firstLine="400" w:firstLineChars="200"/>
        <w:rPr>
          <w:color w:val="auto"/>
          <w:szCs w:val="24"/>
          <w:lang w:eastAsia="zh-CN"/>
        </w:rPr>
      </w:pPr>
    </w:p>
    <w:p w14:paraId="05CE604B">
      <w:pPr>
        <w:pStyle w:val="23"/>
        <w:spacing w:line="240" w:lineRule="auto"/>
        <w:ind w:firstLine="400" w:firstLineChars="200"/>
        <w:rPr>
          <w:color w:val="auto"/>
          <w:szCs w:val="24"/>
          <w:lang w:eastAsia="zh-CN"/>
        </w:rPr>
      </w:pPr>
    </w:p>
    <w:p w14:paraId="710A1D8B">
      <w:pPr>
        <w:pStyle w:val="61"/>
        <w:numPr>
          <w:ilvl w:val="0"/>
          <w:numId w:val="0"/>
        </w:numPr>
        <w:spacing w:line="240" w:lineRule="auto"/>
        <w:rPr>
          <w:color w:val="auto"/>
        </w:rPr>
      </w:pPr>
      <w:r>
        <w:rPr>
          <w:color w:val="auto"/>
        </w:rPr>
        <w:t>References</w:t>
      </w:r>
    </w:p>
    <w:p w14:paraId="6CC8589E">
      <w:pPr>
        <w:pStyle w:val="69"/>
        <w:rPr>
          <w:color w:val="auto"/>
          <w:sz w:val="20"/>
          <w:szCs w:val="21"/>
          <w:lang w:val="tr-TR"/>
        </w:rPr>
      </w:pPr>
      <w:r>
        <w:rPr>
          <w:color w:val="auto"/>
          <w:sz w:val="20"/>
          <w:szCs w:val="21"/>
          <w:lang w:val="tr-TR"/>
        </w:rPr>
        <w:t xml:space="preserve">Akçapınar, G., Altun, A., &amp; Aşkar, P. (2019). Using learning analytics to develop early-warning system for at-risk students. </w:t>
      </w:r>
      <w:r>
        <w:rPr>
          <w:i/>
          <w:iCs/>
          <w:color w:val="auto"/>
          <w:sz w:val="20"/>
          <w:szCs w:val="21"/>
          <w:lang w:val="tr-TR"/>
        </w:rPr>
        <w:t>International Journal of Educational Technology in Higher Education, 16</w:t>
      </w:r>
      <w:r>
        <w:rPr>
          <w:color w:val="auto"/>
          <w:sz w:val="20"/>
          <w:szCs w:val="21"/>
          <w:lang w:val="tr-TR"/>
        </w:rPr>
        <w:t xml:space="preserve">, 1–20. </w:t>
      </w:r>
    </w:p>
    <w:p w14:paraId="5CFC9C02">
      <w:pPr>
        <w:pStyle w:val="69"/>
        <w:rPr>
          <w:color w:val="auto"/>
          <w:sz w:val="20"/>
          <w:szCs w:val="21"/>
          <w:lang w:val="tr-TR"/>
        </w:rPr>
      </w:pPr>
      <w:r>
        <w:rPr>
          <w:color w:val="auto"/>
          <w:sz w:val="20"/>
          <w:szCs w:val="21"/>
          <w:lang w:val="tr-TR"/>
        </w:rPr>
        <w:t xml:space="preserve">Alalawi, K., Athauda, R., &amp; Chiong, R. (2023). Contextualizing the current state of research on the use of machine learning for student performance prediction: A systematic literature review. </w:t>
      </w:r>
      <w:r>
        <w:rPr>
          <w:i/>
          <w:iCs/>
          <w:color w:val="auto"/>
          <w:sz w:val="20"/>
          <w:szCs w:val="21"/>
          <w:lang w:val="tr-TR"/>
        </w:rPr>
        <w:t>Engineering Reports, 5.</w:t>
      </w:r>
      <w:r>
        <w:rPr>
          <w:color w:val="auto"/>
          <w:sz w:val="20"/>
          <w:szCs w:val="21"/>
          <w:lang w:val="tr-TR"/>
        </w:rPr>
        <w:t xml:space="preserve"> </w:t>
      </w:r>
    </w:p>
    <w:p w14:paraId="3BE0CF06">
      <w:pPr>
        <w:pStyle w:val="69"/>
        <w:spacing w:line="240" w:lineRule="auto"/>
        <w:rPr>
          <w:color w:val="auto"/>
          <w:sz w:val="20"/>
          <w:szCs w:val="21"/>
        </w:rPr>
      </w:pPr>
      <w:r>
        <w:rPr>
          <w:color w:val="auto"/>
          <w:sz w:val="20"/>
          <w:szCs w:val="21"/>
          <w:lang w:val="tr-TR"/>
        </w:rPr>
        <w:t xml:space="preserve">Alalawi, K., Athauda, R., Chiong, R., &amp; Renner, I. W. (2024). An extended learning analytics framework integrating machine learning and pedagogical approaches for student performance prediction and intervention. </w:t>
      </w:r>
      <w:r>
        <w:rPr>
          <w:i/>
          <w:iCs/>
          <w:color w:val="auto"/>
          <w:sz w:val="20"/>
          <w:szCs w:val="21"/>
          <w:lang w:val="tr-TR"/>
        </w:rPr>
        <w:t>International Journal of Artificial Intelligence in Education, 35</w:t>
      </w:r>
      <w:r>
        <w:rPr>
          <w:color w:val="auto"/>
          <w:sz w:val="20"/>
          <w:szCs w:val="21"/>
          <w:lang w:val="tr-TR"/>
        </w:rPr>
        <w:t>, 1239–1287.</w:t>
      </w:r>
    </w:p>
    <w:p w14:paraId="2C1C54EF">
      <w:pPr>
        <w:pStyle w:val="69"/>
        <w:spacing w:line="240" w:lineRule="auto"/>
        <w:rPr>
          <w:color w:val="auto"/>
          <w:sz w:val="20"/>
          <w:szCs w:val="21"/>
        </w:rPr>
      </w:pPr>
      <w:r>
        <w:rPr>
          <w:color w:val="auto"/>
          <w:sz w:val="20"/>
          <w:szCs w:val="21"/>
          <w:lang w:val="fr-FR"/>
        </w:rPr>
        <w:t xml:space="preserve">Arias Ortiz, E., &amp; Dehon, C. (2013). </w:t>
      </w:r>
      <w:r>
        <w:rPr>
          <w:color w:val="auto"/>
          <w:sz w:val="20"/>
          <w:szCs w:val="21"/>
        </w:rPr>
        <w:t>Roads to success in the Belgian French community’s higher education system: Predictors of dropout and degree completion at the Université Libre de Bruxelles. Research in Higher Education, 54, 693-723.</w:t>
      </w:r>
    </w:p>
    <w:p w14:paraId="394F4D14">
      <w:pPr>
        <w:pStyle w:val="69"/>
        <w:rPr>
          <w:color w:val="auto"/>
          <w:sz w:val="20"/>
          <w:szCs w:val="21"/>
        </w:rPr>
      </w:pPr>
      <w:r>
        <w:rPr>
          <w:color w:val="auto"/>
          <w:sz w:val="20"/>
          <w:szCs w:val="21"/>
        </w:rPr>
        <w:t>Bañeres, D., Rodríguez, M. E., Guerrero-Roldán, A. E., &amp; Karadeniz, A. (2020). An early warning system to detect at-risk students in online higher education. Applied Sciences.</w:t>
      </w:r>
    </w:p>
    <w:p w14:paraId="20B27599">
      <w:pPr>
        <w:pStyle w:val="69"/>
        <w:rPr>
          <w:color w:val="auto"/>
          <w:sz w:val="20"/>
          <w:szCs w:val="21"/>
        </w:rPr>
      </w:pPr>
      <w:r>
        <w:rPr>
          <w:color w:val="auto"/>
          <w:sz w:val="20"/>
          <w:szCs w:val="21"/>
        </w:rPr>
        <w:t>Bañeres, D., Rodríguez-González, M., Guerrero-Roldán, A. E., &amp; Cortadas, P. (2023). An early warning system to identify and intervene online dropout learners. International Journal of Educational Technology in Higher Education, 20, 1–25.</w:t>
      </w:r>
    </w:p>
    <w:p w14:paraId="55F31CFB">
      <w:pPr>
        <w:pStyle w:val="69"/>
        <w:spacing w:line="240" w:lineRule="auto"/>
        <w:rPr>
          <w:color w:val="auto"/>
          <w:sz w:val="20"/>
          <w:szCs w:val="21"/>
        </w:rPr>
      </w:pPr>
      <w:r>
        <w:rPr>
          <w:color w:val="auto"/>
          <w:sz w:val="20"/>
          <w:szCs w:val="21"/>
        </w:rPr>
        <w:t>Beaulac, C., &amp; Rosenthal, J. S. (2019). Predicting university students’ academic success and major using random forests. Research in Higher Education, 60, 1048-1064.</w:t>
      </w:r>
    </w:p>
    <w:p w14:paraId="6AAB9FF3">
      <w:pPr>
        <w:pStyle w:val="69"/>
        <w:spacing w:line="240" w:lineRule="auto"/>
        <w:rPr>
          <w:color w:val="auto"/>
          <w:sz w:val="20"/>
          <w:szCs w:val="21"/>
        </w:rPr>
      </w:pPr>
      <w:r>
        <w:rPr>
          <w:color w:val="auto"/>
          <w:sz w:val="20"/>
          <w:szCs w:val="21"/>
        </w:rPr>
        <w:t>Belgiu, M., &amp; Drăguţ, L. (2016). Random forest in remote sensing: A review of applications and future directions. ISPRS journal of photogrammetry and remote sensing, 114, 24-31.</w:t>
      </w:r>
    </w:p>
    <w:p w14:paraId="55241427">
      <w:pPr>
        <w:pStyle w:val="69"/>
        <w:spacing w:line="240" w:lineRule="auto"/>
        <w:rPr>
          <w:color w:val="auto"/>
          <w:sz w:val="20"/>
          <w:szCs w:val="21"/>
        </w:rPr>
      </w:pPr>
      <w:r>
        <w:rPr>
          <w:color w:val="auto"/>
          <w:sz w:val="20"/>
          <w:szCs w:val="21"/>
        </w:rPr>
        <w:t>Chen, T. (2016). XGBoost: A Scalable Tree Boosting System. Cornell University.</w:t>
      </w:r>
    </w:p>
    <w:p w14:paraId="64260511">
      <w:pPr>
        <w:pStyle w:val="69"/>
        <w:spacing w:line="240" w:lineRule="auto"/>
        <w:rPr>
          <w:color w:val="auto"/>
          <w:sz w:val="20"/>
          <w:szCs w:val="21"/>
        </w:rPr>
      </w:pPr>
      <w:r>
        <w:rPr>
          <w:color w:val="auto"/>
          <w:sz w:val="20"/>
          <w:szCs w:val="21"/>
          <w:lang w:val="pl-PL"/>
        </w:rPr>
        <w:t xml:space="preserve">Credé, M., Roch, S. G., &amp; Kieszczynka, U. M. (2010). </w:t>
      </w:r>
      <w:r>
        <w:rPr>
          <w:color w:val="auto"/>
          <w:sz w:val="20"/>
          <w:szCs w:val="21"/>
        </w:rPr>
        <w:t xml:space="preserve">Class attendance in college: A meta-analytic review of the relationship of class attendance with grades and student characteristics. </w:t>
      </w:r>
      <w:r>
        <w:rPr>
          <w:rStyle w:val="16"/>
          <w:color w:val="auto"/>
          <w:sz w:val="20"/>
          <w:szCs w:val="21"/>
        </w:rPr>
        <w:t>Review of Educational Research, 80</w:t>
      </w:r>
      <w:r>
        <w:rPr>
          <w:color w:val="auto"/>
          <w:sz w:val="20"/>
          <w:szCs w:val="21"/>
        </w:rPr>
        <w:t xml:space="preserve">(2), 272–295. </w:t>
      </w:r>
      <w:r>
        <w:rPr>
          <w:color w:val="auto"/>
          <w:sz w:val="20"/>
          <w:szCs w:val="21"/>
        </w:rPr>
        <w:fldChar w:fldCharType="begin"/>
      </w:r>
      <w:r>
        <w:rPr>
          <w:color w:val="auto"/>
          <w:sz w:val="20"/>
          <w:szCs w:val="21"/>
        </w:rPr>
        <w:instrText xml:space="preserve"> HYPERLINK "https://doi.org/10.3102/0034654310362998" \t "_new" </w:instrText>
      </w:r>
      <w:r>
        <w:rPr>
          <w:color w:val="auto"/>
          <w:sz w:val="20"/>
          <w:szCs w:val="21"/>
        </w:rPr>
        <w:fldChar w:fldCharType="separate"/>
      </w:r>
      <w:r>
        <w:rPr>
          <w:rStyle w:val="22"/>
          <w:color w:val="auto"/>
          <w:sz w:val="20"/>
          <w:szCs w:val="21"/>
        </w:rPr>
        <w:t>https://doi.org/10.3102/0034654310362998</w:t>
      </w:r>
      <w:r>
        <w:rPr>
          <w:rStyle w:val="22"/>
          <w:color w:val="auto"/>
          <w:sz w:val="20"/>
          <w:szCs w:val="21"/>
        </w:rPr>
        <w:fldChar w:fldCharType="end"/>
      </w:r>
    </w:p>
    <w:p w14:paraId="219D4268">
      <w:pPr>
        <w:pStyle w:val="69"/>
        <w:spacing w:line="240" w:lineRule="auto"/>
        <w:rPr>
          <w:color w:val="auto"/>
          <w:sz w:val="20"/>
          <w:szCs w:val="21"/>
        </w:rPr>
      </w:pPr>
      <w:r>
        <w:rPr>
          <w:color w:val="auto"/>
          <w:sz w:val="20"/>
          <w:szCs w:val="21"/>
        </w:rPr>
        <w:t>Dagher, I. (2008). Quadratic kernel-free non-linear support vector machine. Journal of Global Optimization, 41(1), 15-30.</w:t>
      </w:r>
    </w:p>
    <w:p w14:paraId="4EC407B8">
      <w:pPr>
        <w:pStyle w:val="69"/>
        <w:spacing w:line="240" w:lineRule="auto"/>
        <w:rPr>
          <w:color w:val="auto"/>
          <w:sz w:val="20"/>
          <w:szCs w:val="21"/>
        </w:rPr>
      </w:pPr>
      <w:r>
        <w:rPr>
          <w:rFonts w:hint="default"/>
          <w:color w:val="auto"/>
          <w:sz w:val="20"/>
          <w:szCs w:val="21"/>
        </w:rPr>
        <w:t>Delogu, M., Lagravinese, R., Paolini, D., &amp; Resce, G. (2024). Predicting dropout from higher education: Evidence from Italy. Economic Modelling, 130, 106583.</w:t>
      </w:r>
    </w:p>
    <w:p w14:paraId="29095278">
      <w:pPr>
        <w:pStyle w:val="69"/>
        <w:spacing w:line="240" w:lineRule="auto"/>
        <w:rPr>
          <w:color w:val="auto"/>
          <w:sz w:val="20"/>
          <w:szCs w:val="21"/>
        </w:rPr>
      </w:pPr>
      <w:r>
        <w:rPr>
          <w:color w:val="auto"/>
          <w:sz w:val="20"/>
          <w:szCs w:val="21"/>
          <w:lang w:val="fr-FR"/>
        </w:rPr>
        <w:t xml:space="preserve">Forti, M., Grilli, L., &amp; Rampichini, C. (2025). </w:t>
      </w:r>
      <w:r>
        <w:rPr>
          <w:color w:val="auto"/>
          <w:sz w:val="20"/>
          <w:szCs w:val="21"/>
        </w:rPr>
        <w:t xml:space="preserve">Accounting for unobserved heterogeneity in university dropout: A multinomial finite mixture approach. </w:t>
      </w:r>
      <w:r>
        <w:rPr>
          <w:i/>
          <w:iCs/>
          <w:color w:val="auto"/>
          <w:sz w:val="20"/>
          <w:szCs w:val="21"/>
        </w:rPr>
        <w:t>Journal of Applied Econometrics, 40</w:t>
      </w:r>
      <w:r>
        <w:rPr>
          <w:color w:val="auto"/>
          <w:sz w:val="20"/>
          <w:szCs w:val="21"/>
        </w:rPr>
        <w:t>(1), 98–117.</w:t>
      </w:r>
    </w:p>
    <w:p w14:paraId="65AD9265">
      <w:pPr>
        <w:pStyle w:val="69"/>
        <w:spacing w:line="240" w:lineRule="auto"/>
        <w:rPr>
          <w:color w:val="auto"/>
          <w:sz w:val="20"/>
          <w:szCs w:val="21"/>
        </w:rPr>
      </w:pPr>
      <w:r>
        <w:rPr>
          <w:color w:val="auto"/>
          <w:sz w:val="20"/>
          <w:szCs w:val="21"/>
        </w:rPr>
        <w:t>Ghosh, S., Dasgupta, A., &amp; Swetapadma, A. (2019, February). A study on support vector machine based linear and non-linear pattern classification. In 2019 International conference on intelligent sustainable systems (ICISS) (pp. 24-28). IEEE.</w:t>
      </w:r>
    </w:p>
    <w:p w14:paraId="695FC54C">
      <w:pPr>
        <w:pStyle w:val="69"/>
        <w:spacing w:line="240" w:lineRule="auto"/>
        <w:rPr>
          <w:color w:val="auto"/>
          <w:sz w:val="20"/>
          <w:szCs w:val="21"/>
        </w:rPr>
      </w:pPr>
      <w:r>
        <w:rPr>
          <w:rFonts w:hint="default"/>
          <w:color w:val="auto"/>
          <w:sz w:val="20"/>
          <w:szCs w:val="21"/>
        </w:rPr>
        <w:t>Golding, C. (2019). Discerning student thinking: A practical theoretical framework for recognising or informally assessing different ways of thinking. Teaching in Higher Education, 24(4), 478-492.</w:t>
      </w:r>
    </w:p>
    <w:p w14:paraId="639F8A01">
      <w:pPr>
        <w:pStyle w:val="69"/>
        <w:spacing w:line="240" w:lineRule="auto"/>
        <w:rPr>
          <w:color w:val="auto"/>
          <w:sz w:val="20"/>
          <w:szCs w:val="21"/>
        </w:rPr>
      </w:pPr>
      <w:r>
        <w:rPr>
          <w:color w:val="auto"/>
          <w:sz w:val="20"/>
          <w:szCs w:val="21"/>
        </w:rPr>
        <w:t xml:space="preserve">Guerrero-Roldán, A. E., Rodríguez-González, M., Bañeres, D., Elasri-Ejjaberi, A., &amp; Cortadas, P. (2021). Experiences in the use of an adaptive intelligent system to enhance online learners' performance. </w:t>
      </w:r>
      <w:r>
        <w:rPr>
          <w:i/>
          <w:iCs/>
          <w:color w:val="auto"/>
          <w:sz w:val="20"/>
          <w:szCs w:val="21"/>
        </w:rPr>
        <w:t>International Journal of Educational Technology in Higher Education, 18.</w:t>
      </w:r>
    </w:p>
    <w:p w14:paraId="04D0B50E">
      <w:pPr>
        <w:pStyle w:val="69"/>
        <w:spacing w:line="240" w:lineRule="auto"/>
        <w:rPr>
          <w:color w:val="auto"/>
          <w:sz w:val="20"/>
          <w:szCs w:val="21"/>
        </w:rPr>
      </w:pPr>
      <w:r>
        <w:rPr>
          <w:color w:val="auto"/>
          <w:sz w:val="20"/>
          <w:szCs w:val="21"/>
        </w:rPr>
        <w:t>Herzog, S. (2005). Measuring determinants of student return vs. dropout/stopout vs. transfer: A first-to-second year analysis of new freshmen. Research in higher education, 46, 883-928.</w:t>
      </w:r>
    </w:p>
    <w:p w14:paraId="55BE8D7C">
      <w:pPr>
        <w:pStyle w:val="69"/>
        <w:spacing w:line="240" w:lineRule="auto"/>
        <w:rPr>
          <w:color w:val="auto"/>
          <w:sz w:val="20"/>
          <w:szCs w:val="21"/>
        </w:rPr>
      </w:pPr>
      <w:r>
        <w:rPr>
          <w:color w:val="auto"/>
          <w:sz w:val="20"/>
          <w:szCs w:val="21"/>
          <w:lang w:val="fr-FR"/>
        </w:rPr>
        <w:t xml:space="preserve">Hoffait, A. S., &amp; Schyns, M. (2017). </w:t>
      </w:r>
      <w:r>
        <w:rPr>
          <w:color w:val="auto"/>
          <w:sz w:val="20"/>
          <w:szCs w:val="21"/>
        </w:rPr>
        <w:t>Early detection of university students with potential difficulties. Decision Support Systems, 101, 1-11.</w:t>
      </w:r>
    </w:p>
    <w:p w14:paraId="0A46BF1E">
      <w:pPr>
        <w:pStyle w:val="69"/>
        <w:spacing w:line="240" w:lineRule="auto"/>
        <w:rPr>
          <w:color w:val="auto"/>
          <w:sz w:val="20"/>
          <w:szCs w:val="21"/>
        </w:rPr>
      </w:pPr>
      <w:r>
        <w:rPr>
          <w:color w:val="auto"/>
          <w:sz w:val="20"/>
          <w:szCs w:val="21"/>
        </w:rPr>
        <w:t>Hosmer Jr, D. W., Lemeshow, S., &amp; Sturdivant, R. X. (2013). Applied logistic regression. John Wiley &amp; Sons.</w:t>
      </w:r>
    </w:p>
    <w:p w14:paraId="571E990B">
      <w:pPr>
        <w:pStyle w:val="69"/>
        <w:spacing w:line="240" w:lineRule="auto"/>
        <w:rPr>
          <w:color w:val="auto"/>
          <w:sz w:val="20"/>
          <w:szCs w:val="21"/>
        </w:rPr>
      </w:pPr>
      <w:r>
        <w:rPr>
          <w:color w:val="auto"/>
          <w:sz w:val="20"/>
          <w:szCs w:val="21"/>
          <w:lang w:val="pl-PL"/>
        </w:rPr>
        <w:t xml:space="preserve">Ishitani, T. T., &amp; Snider, K. G. (2006). </w:t>
      </w:r>
      <w:r>
        <w:rPr>
          <w:color w:val="auto"/>
          <w:sz w:val="20"/>
          <w:szCs w:val="21"/>
        </w:rPr>
        <w:t>Longitudinal Effects of College Preparation Programs on College Retention. IR Applications. Volume 9. Association for Institutional Research (NJ1).</w:t>
      </w:r>
    </w:p>
    <w:p w14:paraId="169BAFE8">
      <w:pPr>
        <w:pStyle w:val="69"/>
        <w:spacing w:line="240" w:lineRule="auto"/>
        <w:rPr>
          <w:color w:val="auto"/>
          <w:sz w:val="20"/>
          <w:szCs w:val="21"/>
        </w:rPr>
      </w:pPr>
      <w:r>
        <w:rPr>
          <w:color w:val="auto"/>
          <w:sz w:val="20"/>
          <w:szCs w:val="21"/>
        </w:rPr>
        <w:t xml:space="preserve">Jayaprakash, S. M., Moody, E. W., Lauría, E., Regan, J. R., &amp; Baron, J. D. (2014). Early alert of academically at-risk students: An open source analytics initiative. </w:t>
      </w:r>
      <w:r>
        <w:rPr>
          <w:i/>
          <w:iCs/>
          <w:color w:val="auto"/>
          <w:sz w:val="20"/>
          <w:szCs w:val="21"/>
        </w:rPr>
        <w:t>Journal of Learning Analytics, 1</w:t>
      </w:r>
      <w:r>
        <w:rPr>
          <w:color w:val="auto"/>
          <w:sz w:val="20"/>
          <w:szCs w:val="21"/>
        </w:rPr>
        <w:t>, 6–47.</w:t>
      </w:r>
    </w:p>
    <w:p w14:paraId="3A4512DA">
      <w:pPr>
        <w:pStyle w:val="69"/>
        <w:spacing w:line="240" w:lineRule="auto"/>
        <w:rPr>
          <w:color w:val="auto"/>
          <w:sz w:val="20"/>
          <w:szCs w:val="21"/>
        </w:rPr>
      </w:pPr>
      <w:r>
        <w:rPr>
          <w:color w:val="auto"/>
          <w:sz w:val="20"/>
          <w:szCs w:val="21"/>
        </w:rPr>
        <w:t xml:space="preserve">Jokhan, A., Chand, A. A., Singh, V., &amp; Mamun, K. (2022). Increased digital resource consumption in higher educational institutions and the artificial intelligence role in informing decisions related to student performance. </w:t>
      </w:r>
      <w:r>
        <w:rPr>
          <w:i/>
          <w:iCs/>
          <w:color w:val="auto"/>
          <w:sz w:val="20"/>
          <w:szCs w:val="21"/>
        </w:rPr>
        <w:t>Sustainability.</w:t>
      </w:r>
    </w:p>
    <w:p w14:paraId="7D6F7F13">
      <w:pPr>
        <w:pStyle w:val="69"/>
        <w:spacing w:line="240" w:lineRule="auto"/>
        <w:rPr>
          <w:color w:val="auto"/>
          <w:sz w:val="20"/>
          <w:szCs w:val="21"/>
        </w:rPr>
      </w:pPr>
      <w:r>
        <w:rPr>
          <w:color w:val="auto"/>
          <w:sz w:val="20"/>
          <w:szCs w:val="21"/>
        </w:rPr>
        <w:t xml:space="preserve">Kemper, L., Vorhoff, G., &amp; Wigger, B. U. (2020). Predicting student dropout: A machine learning approach. </w:t>
      </w:r>
      <w:r>
        <w:rPr>
          <w:rStyle w:val="16"/>
          <w:color w:val="auto"/>
          <w:sz w:val="20"/>
          <w:szCs w:val="21"/>
        </w:rPr>
        <w:t>European Journal of Higher Education, 10</w:t>
      </w:r>
      <w:r>
        <w:rPr>
          <w:color w:val="auto"/>
          <w:sz w:val="20"/>
          <w:szCs w:val="21"/>
        </w:rPr>
        <w:t xml:space="preserve">(4), 441–455. </w:t>
      </w:r>
      <w:r>
        <w:rPr>
          <w:color w:val="auto"/>
          <w:sz w:val="20"/>
          <w:szCs w:val="21"/>
        </w:rPr>
        <w:fldChar w:fldCharType="begin"/>
      </w:r>
      <w:r>
        <w:rPr>
          <w:color w:val="auto"/>
          <w:sz w:val="20"/>
          <w:szCs w:val="21"/>
        </w:rPr>
        <w:instrText xml:space="preserve"> HYPERLINK "https://doi.org/10.1080/21568235.2020.1718520" \t "_new" </w:instrText>
      </w:r>
      <w:r>
        <w:rPr>
          <w:color w:val="auto"/>
          <w:sz w:val="20"/>
          <w:szCs w:val="21"/>
        </w:rPr>
        <w:fldChar w:fldCharType="separate"/>
      </w:r>
      <w:r>
        <w:rPr>
          <w:rStyle w:val="22"/>
          <w:color w:val="auto"/>
          <w:sz w:val="20"/>
          <w:szCs w:val="21"/>
        </w:rPr>
        <w:t>https://doi.org/10.1080/21568235.2020.1718520</w:t>
      </w:r>
      <w:r>
        <w:rPr>
          <w:rStyle w:val="22"/>
          <w:color w:val="auto"/>
          <w:sz w:val="20"/>
          <w:szCs w:val="21"/>
        </w:rPr>
        <w:fldChar w:fldCharType="end"/>
      </w:r>
    </w:p>
    <w:p w14:paraId="3F39F9E4">
      <w:pPr>
        <w:pStyle w:val="69"/>
        <w:spacing w:line="240" w:lineRule="auto"/>
        <w:rPr>
          <w:color w:val="auto"/>
          <w:sz w:val="20"/>
          <w:szCs w:val="21"/>
        </w:rPr>
      </w:pPr>
      <w:r>
        <w:rPr>
          <w:color w:val="auto"/>
          <w:sz w:val="20"/>
          <w:szCs w:val="21"/>
        </w:rPr>
        <w:t xml:space="preserve">Kuh, G. D., Kinzie, J., Buckley, J. A., Bridges, B. K., &amp; Hayek, J. C. (2006). </w:t>
      </w:r>
      <w:r>
        <w:rPr>
          <w:rStyle w:val="16"/>
          <w:color w:val="auto"/>
          <w:sz w:val="20"/>
          <w:szCs w:val="21"/>
        </w:rPr>
        <w:t>What matters to student success: A review of the literature</w:t>
      </w:r>
      <w:r>
        <w:rPr>
          <w:color w:val="auto"/>
          <w:sz w:val="20"/>
          <w:szCs w:val="21"/>
        </w:rPr>
        <w:t>. National Postsecondary Education Cooperative.</w:t>
      </w:r>
    </w:p>
    <w:p w14:paraId="7A4F4739">
      <w:pPr>
        <w:pStyle w:val="69"/>
        <w:spacing w:line="240" w:lineRule="auto"/>
        <w:rPr>
          <w:color w:val="auto"/>
          <w:sz w:val="20"/>
          <w:szCs w:val="21"/>
        </w:rPr>
      </w:pPr>
      <w:r>
        <w:rPr>
          <w:color w:val="auto"/>
          <w:sz w:val="20"/>
          <w:szCs w:val="21"/>
        </w:rPr>
        <w:t xml:space="preserve">Kustitskaya, T. A., Kytmanov, A. A., &amp; Noskov, M. (2022). Early student-at-risk detection by current learning performance and learning behavior indicators. </w:t>
      </w:r>
      <w:r>
        <w:rPr>
          <w:i/>
          <w:iCs/>
          <w:color w:val="auto"/>
          <w:sz w:val="20"/>
          <w:szCs w:val="21"/>
        </w:rPr>
        <w:t>Cybernetics and Information Technologies, 22</w:t>
      </w:r>
      <w:r>
        <w:rPr>
          <w:color w:val="auto"/>
          <w:sz w:val="20"/>
          <w:szCs w:val="21"/>
        </w:rPr>
        <w:t>, 117–133.</w:t>
      </w:r>
    </w:p>
    <w:p w14:paraId="2F2F1B28">
      <w:pPr>
        <w:pStyle w:val="69"/>
        <w:spacing w:line="240" w:lineRule="auto"/>
        <w:rPr>
          <w:color w:val="auto"/>
          <w:sz w:val="20"/>
          <w:szCs w:val="21"/>
        </w:rPr>
      </w:pPr>
      <w:r>
        <w:rPr>
          <w:color w:val="auto"/>
          <w:sz w:val="20"/>
          <w:szCs w:val="21"/>
        </w:rPr>
        <w:t>LaValley, M. P. (2008). Logistic regression. Circulation, 117(18), 2395-2399.</w:t>
      </w:r>
    </w:p>
    <w:p w14:paraId="4B201C7B">
      <w:pPr>
        <w:pStyle w:val="69"/>
        <w:rPr>
          <w:color w:val="auto"/>
          <w:sz w:val="20"/>
          <w:szCs w:val="21"/>
        </w:rPr>
      </w:pPr>
      <w:r>
        <w:rPr>
          <w:color w:val="auto"/>
          <w:sz w:val="20"/>
          <w:szCs w:val="21"/>
        </w:rPr>
        <w:t>Liz-Domínguez, M., Caeiro-Rodríguez, M., Llamas-Nistal, M., &amp; Mikic-Fonte, F. A. (2019). Systematic literature review of predictive analysis tools in higher education. Applied Sciences.</w:t>
      </w:r>
    </w:p>
    <w:p w14:paraId="29F17F04">
      <w:pPr>
        <w:pStyle w:val="69"/>
        <w:rPr>
          <w:color w:val="auto"/>
          <w:sz w:val="20"/>
          <w:szCs w:val="21"/>
        </w:rPr>
      </w:pPr>
      <w:r>
        <w:rPr>
          <w:color w:val="auto"/>
          <w:sz w:val="20"/>
          <w:szCs w:val="21"/>
        </w:rPr>
        <w:t>Macfadyen, L. P., &amp; Dawson, S. (2010). Mining LMS data to develop an "early warning system" for educators: A proof of concept. Computers &amp; Education, 54, 588–599.</w:t>
      </w:r>
    </w:p>
    <w:p w14:paraId="36B517A3">
      <w:pPr>
        <w:pStyle w:val="69"/>
        <w:rPr>
          <w:color w:val="auto"/>
          <w:sz w:val="20"/>
          <w:szCs w:val="21"/>
        </w:rPr>
      </w:pPr>
      <w:r>
        <w:rPr>
          <w:color w:val="auto"/>
          <w:sz w:val="20"/>
          <w:szCs w:val="21"/>
        </w:rPr>
        <w:t>Mahboob, K., Asif, R., &amp; Haider, N. (2023). Quality enhancement at higher education institutions by early identifying students at risk using data mining. Mehran University Research Journal of Engineering and Technology.</w:t>
      </w:r>
    </w:p>
    <w:p w14:paraId="3D318D4C">
      <w:pPr>
        <w:pStyle w:val="69"/>
        <w:spacing w:line="240" w:lineRule="auto"/>
        <w:rPr>
          <w:color w:val="auto"/>
          <w:sz w:val="20"/>
          <w:szCs w:val="21"/>
        </w:rPr>
      </w:pPr>
      <w:r>
        <w:rPr>
          <w:color w:val="auto"/>
          <w:sz w:val="20"/>
          <w:szCs w:val="21"/>
        </w:rPr>
        <w:t>Mammone, A., Turchi, M., &amp; Cristianini, N. (2009). Support vector machines. Wiley Interdisciplinary Reviews: Computational Statistics, 1(3), 283-289.</w:t>
      </w:r>
    </w:p>
    <w:p w14:paraId="31066631">
      <w:pPr>
        <w:pStyle w:val="69"/>
        <w:spacing w:line="240" w:lineRule="auto"/>
        <w:rPr>
          <w:color w:val="auto"/>
          <w:sz w:val="20"/>
          <w:szCs w:val="21"/>
        </w:rPr>
      </w:pPr>
      <w:r>
        <w:rPr>
          <w:color w:val="auto"/>
          <w:sz w:val="20"/>
          <w:szCs w:val="21"/>
        </w:rPr>
        <w:t>Martins, M. V., Tolledo, D., Machado, J., Baptista, L. M., &amp; Realinho, V. (2021, March). Early prediction of student’s performance in higher education: A case study. In World Conference on Information Systems and Technologies</w:t>
      </w:r>
      <w:r>
        <w:rPr>
          <w:color w:val="auto"/>
          <w:sz w:val="20"/>
          <w:szCs w:val="21"/>
          <w:lang w:val="tr-TR"/>
        </w:rPr>
        <w:t>,</w:t>
      </w:r>
      <w:r>
        <w:rPr>
          <w:color w:val="auto"/>
          <w:sz w:val="20"/>
          <w:szCs w:val="21"/>
        </w:rPr>
        <w:t xml:space="preserve"> 166-175</w:t>
      </w:r>
      <w:r>
        <w:rPr>
          <w:color w:val="auto"/>
          <w:sz w:val="20"/>
          <w:szCs w:val="21"/>
          <w:lang w:val="tr-TR"/>
        </w:rPr>
        <w:t>.</w:t>
      </w:r>
    </w:p>
    <w:p w14:paraId="3283DD51">
      <w:pPr>
        <w:pStyle w:val="69"/>
        <w:spacing w:line="240" w:lineRule="auto"/>
        <w:rPr>
          <w:color w:val="auto"/>
          <w:sz w:val="20"/>
          <w:szCs w:val="21"/>
        </w:rPr>
      </w:pPr>
      <w:r>
        <w:rPr>
          <w:color w:val="auto"/>
          <w:sz w:val="20"/>
          <w:szCs w:val="21"/>
        </w:rPr>
        <w:t xml:space="preserve">Martinez, A. L. J., Sood, K., &amp; Mahto, R. V. (2024). Early detection of at-risk students using machine learning. </w:t>
      </w:r>
      <w:r>
        <w:rPr>
          <w:i/>
          <w:iCs/>
          <w:color w:val="auto"/>
          <w:sz w:val="20"/>
          <w:szCs w:val="21"/>
        </w:rPr>
        <w:t>ArXiv.</w:t>
      </w:r>
    </w:p>
    <w:p w14:paraId="5D8B2783">
      <w:pPr>
        <w:pStyle w:val="69"/>
        <w:spacing w:line="240" w:lineRule="auto"/>
        <w:rPr>
          <w:rStyle w:val="22"/>
          <w:color w:val="auto"/>
          <w:sz w:val="20"/>
          <w:szCs w:val="21"/>
        </w:rPr>
      </w:pPr>
      <w:r>
        <w:rPr>
          <w:color w:val="auto"/>
          <w:sz w:val="20"/>
          <w:szCs w:val="21"/>
        </w:rPr>
        <w:t xml:space="preserve">OECD. (2019). </w:t>
      </w:r>
      <w:r>
        <w:rPr>
          <w:rStyle w:val="16"/>
          <w:color w:val="auto"/>
          <w:sz w:val="20"/>
          <w:szCs w:val="21"/>
        </w:rPr>
        <w:t>Education at a glance 2019: OECD indicators</w:t>
      </w:r>
      <w:r>
        <w:rPr>
          <w:color w:val="auto"/>
          <w:sz w:val="20"/>
          <w:szCs w:val="21"/>
        </w:rPr>
        <w:t xml:space="preserve">. OECD Publishing. </w:t>
      </w:r>
      <w:r>
        <w:rPr>
          <w:color w:val="auto"/>
          <w:sz w:val="20"/>
          <w:szCs w:val="21"/>
        </w:rPr>
        <w:fldChar w:fldCharType="begin"/>
      </w:r>
      <w:r>
        <w:rPr>
          <w:color w:val="auto"/>
          <w:sz w:val="20"/>
          <w:szCs w:val="21"/>
        </w:rPr>
        <w:instrText xml:space="preserve"> HYPERLINK "https://doi.org/10.1787/f8d7880d-en" \t "_new" </w:instrText>
      </w:r>
      <w:r>
        <w:rPr>
          <w:color w:val="auto"/>
          <w:sz w:val="20"/>
          <w:szCs w:val="21"/>
        </w:rPr>
        <w:fldChar w:fldCharType="separate"/>
      </w:r>
      <w:r>
        <w:rPr>
          <w:rStyle w:val="22"/>
          <w:color w:val="auto"/>
          <w:sz w:val="20"/>
          <w:szCs w:val="21"/>
        </w:rPr>
        <w:t>https://doi.org/10.1787/f8d7880d-en</w:t>
      </w:r>
      <w:r>
        <w:rPr>
          <w:rStyle w:val="22"/>
          <w:color w:val="auto"/>
          <w:sz w:val="20"/>
          <w:szCs w:val="21"/>
        </w:rPr>
        <w:fldChar w:fldCharType="end"/>
      </w:r>
    </w:p>
    <w:p w14:paraId="122BB3B3">
      <w:pPr>
        <w:pStyle w:val="69"/>
        <w:spacing w:line="240" w:lineRule="auto"/>
        <w:rPr>
          <w:color w:val="auto"/>
          <w:sz w:val="20"/>
          <w:szCs w:val="21"/>
        </w:rPr>
      </w:pPr>
      <w:r>
        <w:rPr>
          <w:color w:val="auto"/>
          <w:sz w:val="20"/>
          <w:szCs w:val="21"/>
        </w:rPr>
        <w:t xml:space="preserve">Oliveira, C. F., Sobral, S. R., Ferreira, M. J., &amp; Moreira, F. (2021). How does learning analytics contribute to prevent students' dropout in higher education: A systematic literature review. </w:t>
      </w:r>
      <w:r>
        <w:rPr>
          <w:i/>
          <w:iCs/>
          <w:color w:val="auto"/>
          <w:sz w:val="20"/>
          <w:szCs w:val="21"/>
        </w:rPr>
        <w:t>Big Data and Cognitive Computing, 5</w:t>
      </w:r>
      <w:r>
        <w:rPr>
          <w:color w:val="auto"/>
          <w:sz w:val="20"/>
          <w:szCs w:val="21"/>
        </w:rPr>
        <w:t>, 64.</w:t>
      </w:r>
    </w:p>
    <w:p w14:paraId="3E77B1E5">
      <w:pPr>
        <w:pStyle w:val="69"/>
        <w:spacing w:line="240" w:lineRule="auto"/>
        <w:rPr>
          <w:color w:val="auto"/>
          <w:sz w:val="20"/>
          <w:szCs w:val="21"/>
        </w:rPr>
      </w:pPr>
      <w:r>
        <w:rPr>
          <w:color w:val="auto"/>
          <w:sz w:val="20"/>
          <w:szCs w:val="21"/>
        </w:rPr>
        <w:t>Pal, M. (2005). Random forest classifier for remote sensing classification. International journal of remote sensing, 26(1), 217-222.</w:t>
      </w:r>
    </w:p>
    <w:p w14:paraId="2F47D9B2">
      <w:pPr>
        <w:pStyle w:val="69"/>
        <w:spacing w:line="240" w:lineRule="auto"/>
        <w:rPr>
          <w:color w:val="auto"/>
          <w:sz w:val="20"/>
          <w:szCs w:val="21"/>
        </w:rPr>
      </w:pPr>
      <w:r>
        <w:rPr>
          <w:color w:val="auto"/>
          <w:sz w:val="20"/>
          <w:szCs w:val="21"/>
          <w:lang w:val="pl-PL"/>
        </w:rPr>
        <w:t xml:space="preserve">Prabha, A., Yadav, J., Rani, A., &amp; Singh, V. (2021). </w:t>
      </w:r>
      <w:r>
        <w:rPr>
          <w:color w:val="auto"/>
          <w:sz w:val="20"/>
          <w:szCs w:val="21"/>
        </w:rPr>
        <w:t>Design of intelligent diabetes mellitus detection system using hybrid feature selection based XGBoost classifier. Computers in Biology and Medicine, 136, 104664.</w:t>
      </w:r>
    </w:p>
    <w:p w14:paraId="67CD57BB">
      <w:pPr>
        <w:pStyle w:val="69"/>
        <w:spacing w:line="240" w:lineRule="auto"/>
        <w:rPr>
          <w:color w:val="auto"/>
          <w:sz w:val="20"/>
          <w:szCs w:val="21"/>
        </w:rPr>
      </w:pPr>
      <w:r>
        <w:rPr>
          <w:color w:val="auto"/>
          <w:sz w:val="20"/>
          <w:szCs w:val="21"/>
        </w:rPr>
        <w:t xml:space="preserve">Raffaghelli, J., Rodríguez, M. E., Guerrero-Roldán, A. E., &amp; Bañeres, D. (2022). Applying the UTAUT model to explain the students' acceptance of an early warning system in higher education. </w:t>
      </w:r>
      <w:r>
        <w:rPr>
          <w:i/>
          <w:iCs/>
          <w:color w:val="auto"/>
          <w:sz w:val="20"/>
          <w:szCs w:val="21"/>
        </w:rPr>
        <w:t>Computers &amp; Education, 182</w:t>
      </w:r>
      <w:r>
        <w:rPr>
          <w:color w:val="auto"/>
          <w:sz w:val="20"/>
          <w:szCs w:val="21"/>
        </w:rPr>
        <w:t>, 104468.</w:t>
      </w:r>
    </w:p>
    <w:p w14:paraId="71CCB882">
      <w:pPr>
        <w:pStyle w:val="69"/>
        <w:spacing w:line="240" w:lineRule="auto"/>
        <w:rPr>
          <w:color w:val="auto"/>
          <w:sz w:val="20"/>
          <w:szCs w:val="21"/>
        </w:rPr>
      </w:pPr>
      <w:r>
        <w:rPr>
          <w:color w:val="auto"/>
          <w:sz w:val="20"/>
          <w:szCs w:val="21"/>
        </w:rPr>
        <w:t xml:space="preserve">Realinho, V., Vieira Martins, M., Machado, J., &amp; Baptista, L. (2021). Predict Students’ Dropout and Academic Success [Dataset]. UCI Machine Learning Repository. </w:t>
      </w:r>
      <w:r>
        <w:rPr>
          <w:color w:val="auto"/>
          <w:sz w:val="20"/>
          <w:szCs w:val="21"/>
        </w:rPr>
        <w:fldChar w:fldCharType="begin"/>
      </w:r>
      <w:r>
        <w:rPr>
          <w:color w:val="auto"/>
          <w:sz w:val="20"/>
          <w:szCs w:val="21"/>
        </w:rPr>
        <w:instrText xml:space="preserve"> HYPERLINK "https://doi.org/10.24432/C5MC89." </w:instrText>
      </w:r>
      <w:r>
        <w:rPr>
          <w:color w:val="auto"/>
          <w:sz w:val="20"/>
          <w:szCs w:val="21"/>
        </w:rPr>
        <w:fldChar w:fldCharType="separate"/>
      </w:r>
      <w:r>
        <w:rPr>
          <w:color w:val="auto"/>
          <w:sz w:val="20"/>
          <w:szCs w:val="21"/>
        </w:rPr>
        <w:t>https://doi.org/10.24432/C5MC89.</w:t>
      </w:r>
      <w:r>
        <w:rPr>
          <w:color w:val="auto"/>
          <w:sz w:val="20"/>
          <w:szCs w:val="21"/>
        </w:rPr>
        <w:fldChar w:fldCharType="end"/>
      </w:r>
    </w:p>
    <w:p w14:paraId="2FB9B236">
      <w:pPr>
        <w:pStyle w:val="69"/>
        <w:spacing w:line="240" w:lineRule="auto"/>
        <w:rPr>
          <w:color w:val="auto"/>
          <w:sz w:val="20"/>
          <w:szCs w:val="21"/>
        </w:rPr>
      </w:pPr>
      <w:r>
        <w:rPr>
          <w:color w:val="auto"/>
          <w:sz w:val="20"/>
          <w:szCs w:val="21"/>
        </w:rPr>
        <w:t xml:space="preserve">Rodríguez, M. E., Guerrero-Roldán, A. E., Bañeres, D., &amp; Karadeniz, A. (2022). An intelligent nudging system to guide online learners. </w:t>
      </w:r>
      <w:r>
        <w:rPr>
          <w:i/>
          <w:iCs/>
          <w:color w:val="auto"/>
          <w:sz w:val="20"/>
          <w:szCs w:val="21"/>
        </w:rPr>
        <w:t>The International Review of Research in Open and Distributed Learning.</w:t>
      </w:r>
    </w:p>
    <w:p w14:paraId="55CF5AC5">
      <w:pPr>
        <w:pStyle w:val="69"/>
        <w:spacing w:line="240" w:lineRule="auto"/>
        <w:rPr>
          <w:color w:val="auto"/>
          <w:sz w:val="20"/>
          <w:szCs w:val="21"/>
        </w:rPr>
      </w:pPr>
      <w:r>
        <w:rPr>
          <w:color w:val="auto"/>
          <w:sz w:val="20"/>
          <w:szCs w:val="21"/>
        </w:rPr>
        <w:t>Rodriguez-Galiano, V. F., Ghimire, B., Rogan, J., Chica-Olmo, M., &amp; Rigol-Sanchez, J. P. (2012). An assessment of the effectiveness of a random forest classifier for land-cover classification. ISPRS journal of photogrammetry and remote sensing, 67, 93-104.</w:t>
      </w:r>
    </w:p>
    <w:p w14:paraId="0EDA2809">
      <w:pPr>
        <w:pStyle w:val="69"/>
        <w:spacing w:line="240" w:lineRule="auto"/>
        <w:rPr>
          <w:color w:val="auto"/>
          <w:sz w:val="20"/>
          <w:szCs w:val="21"/>
        </w:rPr>
      </w:pPr>
      <w:r>
        <w:rPr>
          <w:color w:val="auto"/>
          <w:sz w:val="20"/>
          <w:szCs w:val="21"/>
        </w:rPr>
        <w:t xml:space="preserve">Rumberger, R. W. (2011). </w:t>
      </w:r>
      <w:r>
        <w:rPr>
          <w:rStyle w:val="16"/>
          <w:color w:val="auto"/>
          <w:sz w:val="20"/>
          <w:szCs w:val="21"/>
        </w:rPr>
        <w:t>Dropping out: Why students drop out of high school and what can be done about it</w:t>
      </w:r>
      <w:r>
        <w:rPr>
          <w:color w:val="auto"/>
          <w:sz w:val="20"/>
          <w:szCs w:val="21"/>
        </w:rPr>
        <w:t>. Harvard University Press.</w:t>
      </w:r>
    </w:p>
    <w:p w14:paraId="11A0BD92">
      <w:pPr>
        <w:pStyle w:val="69"/>
        <w:spacing w:line="240" w:lineRule="auto"/>
        <w:rPr>
          <w:color w:val="auto"/>
          <w:sz w:val="20"/>
          <w:szCs w:val="21"/>
        </w:rPr>
      </w:pPr>
      <w:r>
        <w:rPr>
          <w:color w:val="auto"/>
          <w:sz w:val="20"/>
          <w:szCs w:val="21"/>
        </w:rPr>
        <w:t>Shiao, Y. T., Chen, C. H., Wu, K. F., Chen, B. L., Chou, Y. H., &amp; Wu, T. N. (2023). Reducing dropout rate through a deep learning model for sustainable education: long-term tracking of learning outcomes of an undergraduate cohort from 2018 to 2021. Smart Learning Environments, 10(1), 55.</w:t>
      </w:r>
    </w:p>
    <w:p w14:paraId="075C4F18">
      <w:pPr>
        <w:pStyle w:val="69"/>
        <w:spacing w:line="240" w:lineRule="auto"/>
        <w:rPr>
          <w:color w:val="auto"/>
          <w:sz w:val="20"/>
          <w:szCs w:val="21"/>
        </w:rPr>
      </w:pPr>
      <w:r>
        <w:rPr>
          <w:color w:val="auto"/>
          <w:sz w:val="20"/>
          <w:szCs w:val="21"/>
        </w:rPr>
        <w:t xml:space="preserve">Skittou, M., Merrouchi, M., &amp; Gadi, T. (2024). Development of an early warning system to support educational planning process by identifying at-risk students. </w:t>
      </w:r>
      <w:r>
        <w:rPr>
          <w:i/>
          <w:iCs/>
          <w:color w:val="auto"/>
          <w:sz w:val="20"/>
          <w:szCs w:val="21"/>
        </w:rPr>
        <w:t>IEEE Access, 12</w:t>
      </w:r>
      <w:r>
        <w:rPr>
          <w:color w:val="auto"/>
          <w:sz w:val="20"/>
          <w:szCs w:val="21"/>
        </w:rPr>
        <w:t>, 2260–2271.</w:t>
      </w:r>
    </w:p>
    <w:p w14:paraId="623EAD65">
      <w:pPr>
        <w:pStyle w:val="69"/>
        <w:spacing w:line="240" w:lineRule="auto"/>
        <w:rPr>
          <w:color w:val="auto"/>
          <w:sz w:val="20"/>
          <w:szCs w:val="21"/>
        </w:rPr>
      </w:pPr>
      <w:r>
        <w:rPr>
          <w:color w:val="auto"/>
          <w:sz w:val="20"/>
          <w:szCs w:val="21"/>
          <w:lang w:eastAsia="zh-CN"/>
        </w:rPr>
        <w:t>Tay R (2017) Correlation, variance inflation and multicollinearity in regression model. J East Asia Soc Transp Stud 12</w:t>
      </w:r>
      <w:r>
        <w:rPr>
          <w:rFonts w:hint="eastAsia"/>
          <w:color w:val="auto"/>
          <w:sz w:val="20"/>
          <w:szCs w:val="21"/>
          <w:lang w:eastAsia="zh-CN"/>
        </w:rPr>
        <w:t>:</w:t>
      </w:r>
      <w:r>
        <w:rPr>
          <w:color w:val="auto"/>
          <w:sz w:val="20"/>
          <w:szCs w:val="21"/>
          <w:lang w:eastAsia="zh-CN"/>
        </w:rPr>
        <w:t xml:space="preserve"> 2006‒2015.</w:t>
      </w:r>
      <w:r>
        <w:rPr>
          <w:color w:val="auto"/>
          <w:sz w:val="20"/>
          <w:szCs w:val="21"/>
        </w:rPr>
        <w:t xml:space="preserve"> </w:t>
      </w:r>
      <w:r>
        <w:rPr>
          <w:color w:val="auto"/>
          <w:sz w:val="20"/>
          <w:szCs w:val="21"/>
          <w:lang w:eastAsia="zh-CN"/>
        </w:rPr>
        <w:t>https://doi.org/10.11175/easts.12.2006</w:t>
      </w:r>
    </w:p>
    <w:p w14:paraId="198EEA83">
      <w:pPr>
        <w:pStyle w:val="69"/>
        <w:spacing w:line="240" w:lineRule="auto"/>
        <w:rPr>
          <w:color w:val="auto"/>
          <w:sz w:val="20"/>
          <w:szCs w:val="21"/>
          <w:lang w:eastAsia="tr-TR"/>
        </w:rPr>
      </w:pPr>
      <w:r>
        <w:rPr>
          <w:color w:val="auto"/>
          <w:sz w:val="20"/>
          <w:szCs w:val="21"/>
        </w:rPr>
        <w:t xml:space="preserve">Tinto, V. (1975). Dropout from higher education: A theoretical synthesis of recent research. </w:t>
      </w:r>
      <w:r>
        <w:rPr>
          <w:rStyle w:val="16"/>
          <w:color w:val="auto"/>
          <w:sz w:val="20"/>
          <w:szCs w:val="21"/>
        </w:rPr>
        <w:t>Review of Educational Research, 45</w:t>
      </w:r>
      <w:r>
        <w:rPr>
          <w:color w:val="auto"/>
          <w:sz w:val="20"/>
          <w:szCs w:val="21"/>
        </w:rPr>
        <w:t xml:space="preserve">(1), 89–125. </w:t>
      </w:r>
      <w:r>
        <w:rPr>
          <w:color w:val="auto"/>
          <w:sz w:val="20"/>
          <w:szCs w:val="21"/>
        </w:rPr>
        <w:fldChar w:fldCharType="begin"/>
      </w:r>
      <w:r>
        <w:rPr>
          <w:color w:val="auto"/>
          <w:sz w:val="20"/>
          <w:szCs w:val="21"/>
        </w:rPr>
        <w:instrText xml:space="preserve"> HYPERLINK "https://doi.org/10.3102/00346543045001089" \t "_new" </w:instrText>
      </w:r>
      <w:r>
        <w:rPr>
          <w:color w:val="auto"/>
          <w:sz w:val="20"/>
          <w:szCs w:val="21"/>
        </w:rPr>
        <w:fldChar w:fldCharType="separate"/>
      </w:r>
      <w:r>
        <w:rPr>
          <w:rStyle w:val="22"/>
          <w:color w:val="auto"/>
          <w:sz w:val="20"/>
          <w:szCs w:val="21"/>
        </w:rPr>
        <w:t>https://doi.org/10.3102/00346543045001089</w:t>
      </w:r>
      <w:r>
        <w:rPr>
          <w:rStyle w:val="22"/>
          <w:color w:val="auto"/>
          <w:sz w:val="20"/>
          <w:szCs w:val="21"/>
        </w:rPr>
        <w:fldChar w:fldCharType="end"/>
      </w:r>
    </w:p>
    <w:p w14:paraId="1AC76FDF">
      <w:pPr>
        <w:pStyle w:val="69"/>
        <w:spacing w:line="240" w:lineRule="auto"/>
        <w:rPr>
          <w:color w:val="auto"/>
          <w:sz w:val="20"/>
          <w:szCs w:val="21"/>
        </w:rPr>
      </w:pPr>
      <w:r>
        <w:rPr>
          <w:color w:val="auto"/>
          <w:sz w:val="20"/>
          <w:szCs w:val="21"/>
        </w:rPr>
        <w:t xml:space="preserve">Tinto, V. (1993). </w:t>
      </w:r>
      <w:r>
        <w:rPr>
          <w:rStyle w:val="16"/>
          <w:color w:val="auto"/>
          <w:sz w:val="20"/>
          <w:szCs w:val="21"/>
        </w:rPr>
        <w:t>Leaving college: Rethinking the causes and cures of student attrition</w:t>
      </w:r>
      <w:r>
        <w:rPr>
          <w:color w:val="auto"/>
          <w:sz w:val="20"/>
          <w:szCs w:val="21"/>
        </w:rPr>
        <w:t xml:space="preserve"> (2nd ed.). University of Chicago Press.</w:t>
      </w:r>
    </w:p>
    <w:p w14:paraId="701B6E0A">
      <w:pPr>
        <w:pStyle w:val="69"/>
        <w:spacing w:line="240" w:lineRule="auto"/>
        <w:rPr>
          <w:color w:val="auto"/>
          <w:sz w:val="20"/>
          <w:szCs w:val="21"/>
        </w:rPr>
      </w:pPr>
      <w:r>
        <w:rPr>
          <w:color w:val="auto"/>
          <w:sz w:val="20"/>
          <w:szCs w:val="21"/>
        </w:rPr>
        <w:t>Valiyev, T., Batrancea, L. M., Aslan, T., &amp; Abasova, U. (2025). A comparative analysis of GDP determinants in Germany and Poland: Integrating econometric and machine learning perspectives. National Accounting Review, 7(4), 501-521.</w:t>
      </w:r>
    </w:p>
    <w:p w14:paraId="6E9CA8E0">
      <w:pPr>
        <w:pStyle w:val="69"/>
        <w:spacing w:line="240" w:lineRule="auto"/>
        <w:rPr>
          <w:color w:val="auto"/>
          <w:sz w:val="20"/>
          <w:szCs w:val="21"/>
        </w:rPr>
      </w:pPr>
      <w:r>
        <w:rPr>
          <w:color w:val="auto"/>
          <w:sz w:val="20"/>
          <w:szCs w:val="21"/>
        </w:rPr>
        <w:t xml:space="preserve">Villegas-Ch., W., Govea, J., &amp; Revelo-Tapia, S. (2023). Improving student retention in institutions of higher education through machine learning: A sustainable approach. </w:t>
      </w:r>
      <w:r>
        <w:rPr>
          <w:i/>
          <w:iCs/>
          <w:color w:val="auto"/>
          <w:sz w:val="20"/>
          <w:szCs w:val="21"/>
        </w:rPr>
        <w:t>Sustainability.</w:t>
      </w:r>
    </w:p>
    <w:p w14:paraId="32AD1D2F">
      <w:pPr>
        <w:pStyle w:val="69"/>
        <w:spacing w:line="240" w:lineRule="auto"/>
        <w:rPr>
          <w:color w:val="auto"/>
          <w:sz w:val="20"/>
          <w:szCs w:val="21"/>
        </w:rPr>
      </w:pPr>
      <w:r>
        <w:rPr>
          <w:color w:val="auto"/>
          <w:sz w:val="20"/>
          <w:szCs w:val="21"/>
        </w:rPr>
        <w:t>White, H. C., Allen, D. M., Buffinton, K., Humphrey, D., Malpiede, M., Miller, R. K., ... &amp; Yortsos, Y. C. (2024). Cultivating long-term well-being through transformative undergraduate education. PNAS nexus, 3(9), pgae372.</w:t>
      </w:r>
    </w:p>
    <w:p w14:paraId="67596007">
      <w:pPr>
        <w:pStyle w:val="69"/>
        <w:spacing w:line="240" w:lineRule="auto"/>
        <w:rPr>
          <w:rStyle w:val="22"/>
          <w:color w:val="auto"/>
          <w:sz w:val="20"/>
          <w:szCs w:val="21"/>
          <w:lang w:eastAsia="tr-TR"/>
        </w:rPr>
      </w:pPr>
      <w:r>
        <w:rPr>
          <w:color w:val="auto"/>
          <w:sz w:val="20"/>
          <w:szCs w:val="21"/>
        </w:rPr>
        <w:t xml:space="preserve">York, T. T., Gibson, C., &amp; Rankin, S. (2015). Defining and measuring academic success. </w:t>
      </w:r>
      <w:r>
        <w:rPr>
          <w:rStyle w:val="16"/>
          <w:color w:val="auto"/>
          <w:sz w:val="20"/>
          <w:szCs w:val="21"/>
        </w:rPr>
        <w:t>Practical Assessment, Research &amp; Evaluation, 20</w:t>
      </w:r>
      <w:r>
        <w:rPr>
          <w:color w:val="auto"/>
          <w:sz w:val="20"/>
          <w:szCs w:val="21"/>
        </w:rPr>
        <w:t xml:space="preserve">(5), 1–20. </w:t>
      </w:r>
      <w:r>
        <w:rPr>
          <w:color w:val="auto"/>
          <w:sz w:val="20"/>
          <w:szCs w:val="21"/>
        </w:rPr>
        <w:fldChar w:fldCharType="begin"/>
      </w:r>
      <w:r>
        <w:rPr>
          <w:color w:val="auto"/>
          <w:sz w:val="20"/>
          <w:szCs w:val="21"/>
        </w:rPr>
        <w:instrText xml:space="preserve"> HYPERLINK "https://doi.org/10.7275/hz5x-tx03" </w:instrText>
      </w:r>
      <w:r>
        <w:rPr>
          <w:color w:val="auto"/>
          <w:sz w:val="20"/>
          <w:szCs w:val="21"/>
        </w:rPr>
        <w:fldChar w:fldCharType="separate"/>
      </w:r>
      <w:r>
        <w:rPr>
          <w:rStyle w:val="22"/>
          <w:color w:val="auto"/>
          <w:sz w:val="20"/>
          <w:szCs w:val="21"/>
        </w:rPr>
        <w:t>https://doi.org/10.7275/hz5x-tx03</w:t>
      </w:r>
      <w:r>
        <w:rPr>
          <w:rStyle w:val="22"/>
          <w:color w:val="auto"/>
          <w:sz w:val="20"/>
          <w:szCs w:val="21"/>
        </w:rPr>
        <w:fldChar w:fldCharType="end"/>
      </w:r>
    </w:p>
    <w:p w14:paraId="7B407758">
      <w:pPr>
        <w:pStyle w:val="69"/>
        <w:spacing w:line="240" w:lineRule="auto"/>
        <w:rPr>
          <w:color w:val="auto"/>
          <w:sz w:val="20"/>
          <w:szCs w:val="21"/>
          <w:lang w:eastAsia="tr-TR"/>
        </w:rPr>
      </w:pPr>
      <w:r>
        <w:rPr>
          <w:color w:val="auto"/>
          <w:sz w:val="20"/>
          <w:szCs w:val="21"/>
          <w:lang w:eastAsia="tr-TR"/>
        </w:rPr>
        <w:t xml:space="preserve">Yu, C. C., &amp; Wu, Y. (2021). Early warning system for online STEM learning — A slimmer approach using recurrent neural networks. </w:t>
      </w:r>
      <w:r>
        <w:rPr>
          <w:i/>
          <w:iCs/>
          <w:color w:val="auto"/>
          <w:sz w:val="20"/>
          <w:szCs w:val="21"/>
          <w:lang w:eastAsia="tr-TR"/>
        </w:rPr>
        <w:t>Sustainability.</w:t>
      </w:r>
    </w:p>
    <w:p w14:paraId="6AC5EA0C">
      <w:pPr>
        <w:pStyle w:val="69"/>
        <w:spacing w:line="240" w:lineRule="auto"/>
        <w:rPr>
          <w:color w:val="auto"/>
          <w:sz w:val="20"/>
          <w:szCs w:val="21"/>
          <w:lang w:eastAsia="tr-TR"/>
        </w:rPr>
      </w:pPr>
      <w:r>
        <w:rPr>
          <w:color w:val="auto"/>
          <w:sz w:val="20"/>
          <w:szCs w:val="21"/>
        </w:rPr>
        <w:t>Zhang, Y. (2008). Fault detection and diagnosis of nonlinear processes using improved kernel independent component analysis (KICA) and support vector machine (SVM). Industrial &amp; Engineering Chemistry Research, 47(18), 6961-6971.</w:t>
      </w:r>
    </w:p>
    <w:p w14:paraId="45B0B1B7">
      <w:pPr>
        <w:pStyle w:val="69"/>
        <w:spacing w:line="240" w:lineRule="auto"/>
        <w:rPr>
          <w:color w:val="auto"/>
          <w:sz w:val="20"/>
          <w:szCs w:val="21"/>
        </w:rPr>
      </w:pPr>
      <w:r>
        <w:rPr>
          <w:color w:val="auto"/>
          <w:sz w:val="20"/>
          <w:szCs w:val="21"/>
        </w:rPr>
        <w:t>Zimmermann, J., Brodersen, K. H., Pellet, J. P., August, E., &amp; Buhmann, J. M. (2011). Predicting Graduate-level Performance from Undergraduate Achievements. In EDM (pp. 357-358).</w:t>
      </w:r>
    </w:p>
    <w:p w14:paraId="269E8DED">
      <w:pPr>
        <w:pStyle w:val="69"/>
        <w:numPr>
          <w:ilvl w:val="0"/>
          <w:numId w:val="0"/>
        </w:numPr>
        <w:spacing w:line="240" w:lineRule="auto"/>
        <w:ind w:left="227"/>
        <w:rPr>
          <w:color w:val="auto"/>
        </w:rPr>
      </w:pPr>
    </w:p>
    <w:p w14:paraId="2BB78BC6">
      <w:pPr>
        <w:rPr>
          <w:color w:val="auto"/>
        </w:rPr>
      </w:pPr>
    </w:p>
    <w:p w14:paraId="3F4788A1">
      <w:pPr>
        <w:rPr>
          <w:color w:val="auto"/>
        </w:rPr>
      </w:pPr>
    </w:p>
    <w:sectPr>
      <w:headerReference r:id="rId5" w:type="even"/>
      <w:pgSz w:w="11906" w:h="16838"/>
      <w:pgMar w:top="1701" w:right="2494" w:bottom="1701" w:left="2494" w:header="2381" w:footer="2324" w:gutter="0"/>
      <w:cols w:space="0"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A2"/>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A2"/>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309020205020404"/>
    <w:charset w:val="00"/>
    <w:family w:val="modern"/>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38507">
    <w:pPr>
      <w:pStyle w:val="20"/>
    </w:pPr>
    <w:r>
      <w:fldChar w:fldCharType="begin"/>
    </w:r>
    <w:r>
      <w:instrText xml:space="preserve">PAGE   \* MERGEFORMAT</w:instrText>
    </w:r>
    <w:r>
      <w:fldChar w:fldCharType="separate"/>
    </w:r>
    <w:r>
      <w:t>22</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56"/>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1">
    <w:nsid w:val="27E690CF"/>
    <w:multiLevelType w:val="multilevel"/>
    <w:tmpl w:val="27E690CF"/>
    <w:lvl w:ilvl="0" w:tentative="0">
      <w:start w:val="1"/>
      <w:numFmt w:val="decimal"/>
      <w:lvlText w:val="%1."/>
      <w:lvlJc w:val="left"/>
      <w:pPr>
        <w:ind w:left="720"/>
      </w:pPr>
      <w:rPr>
        <w:rFonts w:hint="default" w:ascii="Times New Roman" w:hAnsi="Times New Roman" w:cs="Times New Roman"/>
      </w:rPr>
    </w:lvl>
    <w:lvl w:ilvl="1" w:tentative="0">
      <w:start w:val="1"/>
      <w:numFmt w:val="lowerLetter"/>
      <w:lvlText w:val="%2."/>
      <w:lvlJc w:val="left"/>
      <w:pPr>
        <w:ind w:left="1440"/>
      </w:pPr>
      <w:rPr>
        <w:rFonts w:hint="default" w:ascii="Times New Roman" w:hAnsi="Times New Roman" w:cs="Times New Roman"/>
      </w:rPr>
    </w:lvl>
    <w:lvl w:ilvl="2" w:tentative="0">
      <w:start w:val="1"/>
      <w:numFmt w:val="lowerRoman"/>
      <w:lvlText w:val="%3."/>
      <w:lvlJc w:val="right"/>
      <w:pPr>
        <w:ind w:left="2160"/>
      </w:pPr>
      <w:rPr>
        <w:rFonts w:hint="default" w:ascii="Times New Roman" w:hAnsi="Times New Roman" w:cs="Times New Roman"/>
      </w:rPr>
    </w:lvl>
    <w:lvl w:ilvl="3" w:tentative="0">
      <w:start w:val="1"/>
      <w:numFmt w:val="decimal"/>
      <w:lvlText w:val="%4."/>
      <w:lvlJc w:val="left"/>
      <w:pPr>
        <w:ind w:left="2880"/>
      </w:pPr>
      <w:rPr>
        <w:rFonts w:hint="default" w:ascii="Times New Roman" w:hAnsi="Times New Roman" w:cs="Times New Roman"/>
      </w:rPr>
    </w:lvl>
    <w:lvl w:ilvl="4" w:tentative="0">
      <w:start w:val="1"/>
      <w:numFmt w:val="lowerLetter"/>
      <w:lvlText w:val="%5."/>
      <w:lvlJc w:val="left"/>
      <w:pPr>
        <w:ind w:left="3600"/>
      </w:pPr>
      <w:rPr>
        <w:rFonts w:hint="default" w:ascii="Times New Roman" w:hAnsi="Times New Roman" w:cs="Times New Roman"/>
      </w:rPr>
    </w:lvl>
    <w:lvl w:ilvl="5" w:tentative="0">
      <w:start w:val="1"/>
      <w:numFmt w:val="lowerRoman"/>
      <w:lvlText w:val="%6."/>
      <w:lvlJc w:val="right"/>
      <w:pPr>
        <w:ind w:left="4320"/>
      </w:pPr>
      <w:rPr>
        <w:rFonts w:hint="default" w:ascii="Times New Roman" w:hAnsi="Times New Roman" w:cs="Times New Roman"/>
      </w:rPr>
    </w:lvl>
    <w:lvl w:ilvl="6" w:tentative="0">
      <w:start w:val="1"/>
      <w:numFmt w:val="decimal"/>
      <w:lvlText w:val="%7."/>
      <w:lvlJc w:val="left"/>
      <w:pPr>
        <w:ind w:left="5040"/>
      </w:pPr>
      <w:rPr>
        <w:rFonts w:hint="default" w:ascii="Times New Roman" w:hAnsi="Times New Roman" w:cs="Times New Roman"/>
      </w:rPr>
    </w:lvl>
    <w:lvl w:ilvl="7" w:tentative="0">
      <w:start w:val="1"/>
      <w:numFmt w:val="lowerLetter"/>
      <w:lvlText w:val="%8."/>
      <w:lvlJc w:val="left"/>
      <w:pPr>
        <w:ind w:left="5760"/>
      </w:pPr>
      <w:rPr>
        <w:rFonts w:hint="default" w:ascii="Times New Roman" w:hAnsi="Times New Roman" w:cs="Times New Roman"/>
      </w:rPr>
    </w:lvl>
    <w:lvl w:ilvl="8" w:tentative="0">
      <w:start w:val="1"/>
      <w:numFmt w:val="lowerRoman"/>
      <w:lvlText w:val="%9."/>
      <w:lvlJc w:val="right"/>
      <w:pPr>
        <w:ind w:left="6480"/>
      </w:pPr>
      <w:rPr>
        <w:rFonts w:hint="default" w:ascii="Times New Roman" w:hAnsi="Times New Roman" w:cs="Times New Roman"/>
      </w:rPr>
    </w:lvl>
  </w:abstractNum>
  <w:abstractNum w:abstractNumId="2">
    <w:nsid w:val="3F956E85"/>
    <w:multiLevelType w:val="multilevel"/>
    <w:tmpl w:val="3F956E85"/>
    <w:lvl w:ilvl="0" w:tentative="0">
      <w:start w:val="1"/>
      <w:numFmt w:val="decimal"/>
      <w:lvlText w:val="%1."/>
      <w:lvlJc w:val="left"/>
      <w:pPr>
        <w:ind w:left="587" w:hanging="360"/>
      </w:pPr>
      <w:rPr>
        <w:rFonts w:hint="default"/>
      </w:rPr>
    </w:lvl>
    <w:lvl w:ilvl="1" w:tentative="0">
      <w:start w:val="1"/>
      <w:numFmt w:val="lowerLetter"/>
      <w:lvlText w:val="%2."/>
      <w:lvlJc w:val="left"/>
      <w:pPr>
        <w:ind w:left="1307" w:hanging="360"/>
      </w:pPr>
    </w:lvl>
    <w:lvl w:ilvl="2" w:tentative="0">
      <w:start w:val="1"/>
      <w:numFmt w:val="lowerRoman"/>
      <w:lvlText w:val="%3."/>
      <w:lvlJc w:val="right"/>
      <w:pPr>
        <w:ind w:left="2027" w:hanging="180"/>
      </w:pPr>
    </w:lvl>
    <w:lvl w:ilvl="3" w:tentative="0">
      <w:start w:val="1"/>
      <w:numFmt w:val="decimal"/>
      <w:lvlText w:val="%4."/>
      <w:lvlJc w:val="left"/>
      <w:pPr>
        <w:ind w:left="2747" w:hanging="360"/>
      </w:pPr>
    </w:lvl>
    <w:lvl w:ilvl="4" w:tentative="0">
      <w:start w:val="1"/>
      <w:numFmt w:val="lowerLetter"/>
      <w:lvlText w:val="%5."/>
      <w:lvlJc w:val="left"/>
      <w:pPr>
        <w:ind w:left="3467" w:hanging="360"/>
      </w:pPr>
    </w:lvl>
    <w:lvl w:ilvl="5" w:tentative="0">
      <w:start w:val="1"/>
      <w:numFmt w:val="lowerRoman"/>
      <w:lvlText w:val="%6."/>
      <w:lvlJc w:val="right"/>
      <w:pPr>
        <w:ind w:left="4187" w:hanging="180"/>
      </w:pPr>
    </w:lvl>
    <w:lvl w:ilvl="6" w:tentative="0">
      <w:start w:val="1"/>
      <w:numFmt w:val="decimal"/>
      <w:lvlText w:val="%7."/>
      <w:lvlJc w:val="left"/>
      <w:pPr>
        <w:ind w:left="4907" w:hanging="360"/>
      </w:pPr>
    </w:lvl>
    <w:lvl w:ilvl="7" w:tentative="0">
      <w:start w:val="1"/>
      <w:numFmt w:val="lowerLetter"/>
      <w:lvlText w:val="%8."/>
      <w:lvlJc w:val="left"/>
      <w:pPr>
        <w:ind w:left="5627" w:hanging="360"/>
      </w:pPr>
    </w:lvl>
    <w:lvl w:ilvl="8" w:tentative="0">
      <w:start w:val="1"/>
      <w:numFmt w:val="lowerRoman"/>
      <w:lvlText w:val="%9."/>
      <w:lvlJc w:val="right"/>
      <w:pPr>
        <w:ind w:left="6347" w:hanging="180"/>
      </w:pPr>
    </w:lvl>
  </w:abstractNum>
  <w:abstractNum w:abstractNumId="3">
    <w:nsid w:val="6F404C9F"/>
    <w:multiLevelType w:val="multilevel"/>
    <w:tmpl w:val="6F404C9F"/>
    <w:lvl w:ilvl="0" w:tentative="0">
      <w:start w:val="1"/>
      <w:numFmt w:val="bullet"/>
      <w:pStyle w:val="57"/>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4">
    <w:nsid w:val="7738779A"/>
    <w:multiLevelType w:val="multilevel"/>
    <w:tmpl w:val="7738779A"/>
    <w:lvl w:ilvl="0" w:tentative="0">
      <w:start w:val="1"/>
      <w:numFmt w:val="decimal"/>
      <w:pStyle w:val="61"/>
      <w:lvlText w:val="%1"/>
      <w:lvlJc w:val="left"/>
      <w:pPr>
        <w:tabs>
          <w:tab w:val="left" w:pos="567"/>
        </w:tabs>
        <w:ind w:left="567" w:hanging="567"/>
      </w:pPr>
      <w:rPr>
        <w:rFonts w:hint="default"/>
      </w:rPr>
    </w:lvl>
    <w:lvl w:ilvl="1" w:tentative="0">
      <w:start w:val="1"/>
      <w:numFmt w:val="decimal"/>
      <w:pStyle w:val="62"/>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5">
    <w:nsid w:val="7B274BC8"/>
    <w:multiLevelType w:val="multilevel"/>
    <w:tmpl w:val="7B274BC8"/>
    <w:lvl w:ilvl="0" w:tentative="0">
      <w:start w:val="1"/>
      <w:numFmt w:val="decimal"/>
      <w:pStyle w:val="67"/>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7D9521C8"/>
    <w:multiLevelType w:val="multilevel"/>
    <w:tmpl w:val="7D9521C8"/>
    <w:lvl w:ilvl="0" w:tentative="0">
      <w:start w:val="1"/>
      <w:numFmt w:val="decimal"/>
      <w:pStyle w:val="69"/>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abstractNum w:abstractNumId="7">
    <w:nsid w:val="7DC9D739"/>
    <w:multiLevelType w:val="singleLevel"/>
    <w:tmpl w:val="7DC9D739"/>
    <w:lvl w:ilvl="0" w:tentative="0">
      <w:start w:val="1"/>
      <w:numFmt w:val="bullet"/>
      <w:lvlText w:val=""/>
      <w:lvlJc w:val="left"/>
      <w:pPr>
        <w:tabs>
          <w:tab w:val="left" w:pos="420"/>
        </w:tabs>
        <w:ind w:left="420" w:hanging="420"/>
      </w:pPr>
      <w:rPr>
        <w:rFonts w:hint="default" w:ascii="Wingdings" w:hAnsi="Wingdings"/>
      </w:rPr>
    </w:lvl>
  </w:abstractNum>
  <w:num w:numId="1">
    <w:abstractNumId w:val="0"/>
  </w:num>
  <w:num w:numId="2">
    <w:abstractNumId w:val="3"/>
  </w:num>
  <w:num w:numId="3">
    <w:abstractNumId w:val="4"/>
  </w:num>
  <w:num w:numId="4">
    <w:abstractNumId w:val="5"/>
  </w:num>
  <w:num w:numId="5">
    <w:abstractNumId w:val="6"/>
  </w:num>
  <w:num w:numId="6">
    <w:abstractNumId w:val="2"/>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hyphenationZone w:val="425"/>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7FA"/>
    <w:rsid w:val="00025ECC"/>
    <w:rsid w:val="00044537"/>
    <w:rsid w:val="00057C79"/>
    <w:rsid w:val="00081100"/>
    <w:rsid w:val="000A2BBA"/>
    <w:rsid w:val="0019414B"/>
    <w:rsid w:val="001A6A3F"/>
    <w:rsid w:val="001F2D7B"/>
    <w:rsid w:val="0024472F"/>
    <w:rsid w:val="002E20FA"/>
    <w:rsid w:val="002E4FC3"/>
    <w:rsid w:val="002F707A"/>
    <w:rsid w:val="00320A4E"/>
    <w:rsid w:val="00366CEE"/>
    <w:rsid w:val="00397FCF"/>
    <w:rsid w:val="003D0D98"/>
    <w:rsid w:val="003E3A01"/>
    <w:rsid w:val="0044611B"/>
    <w:rsid w:val="00447836"/>
    <w:rsid w:val="004A1801"/>
    <w:rsid w:val="004D4A51"/>
    <w:rsid w:val="005612DB"/>
    <w:rsid w:val="005738FC"/>
    <w:rsid w:val="006070D3"/>
    <w:rsid w:val="00614CC9"/>
    <w:rsid w:val="0068428E"/>
    <w:rsid w:val="006F10E3"/>
    <w:rsid w:val="00737BF7"/>
    <w:rsid w:val="00794BE8"/>
    <w:rsid w:val="007E69E9"/>
    <w:rsid w:val="00831112"/>
    <w:rsid w:val="0084409D"/>
    <w:rsid w:val="008D23CF"/>
    <w:rsid w:val="00924274"/>
    <w:rsid w:val="00A846E1"/>
    <w:rsid w:val="00AF559F"/>
    <w:rsid w:val="00B03444"/>
    <w:rsid w:val="00BD31CD"/>
    <w:rsid w:val="00C37575"/>
    <w:rsid w:val="00CF25A8"/>
    <w:rsid w:val="00CF53D5"/>
    <w:rsid w:val="00D10DEB"/>
    <w:rsid w:val="00D358EE"/>
    <w:rsid w:val="00D4022B"/>
    <w:rsid w:val="00D72A6A"/>
    <w:rsid w:val="00D87474"/>
    <w:rsid w:val="00DA18CB"/>
    <w:rsid w:val="00E45341"/>
    <w:rsid w:val="00E457FA"/>
    <w:rsid w:val="00ED671F"/>
    <w:rsid w:val="00EE1C99"/>
    <w:rsid w:val="014C132E"/>
    <w:rsid w:val="04F36DAF"/>
    <w:rsid w:val="0EA55D13"/>
    <w:rsid w:val="10BD6382"/>
    <w:rsid w:val="16D316D8"/>
    <w:rsid w:val="19954887"/>
    <w:rsid w:val="1A1F2CAE"/>
    <w:rsid w:val="1AEC6857"/>
    <w:rsid w:val="1B400146"/>
    <w:rsid w:val="1B784A1C"/>
    <w:rsid w:val="201C12BD"/>
    <w:rsid w:val="24051BA8"/>
    <w:rsid w:val="300C7EE4"/>
    <w:rsid w:val="338219F1"/>
    <w:rsid w:val="3CA96714"/>
    <w:rsid w:val="3DAD509A"/>
    <w:rsid w:val="3EAE00E3"/>
    <w:rsid w:val="3F0E1401"/>
    <w:rsid w:val="3FF83F16"/>
    <w:rsid w:val="4351636B"/>
    <w:rsid w:val="44FA23B6"/>
    <w:rsid w:val="49EA64C2"/>
    <w:rsid w:val="4B347153"/>
    <w:rsid w:val="53C3157B"/>
    <w:rsid w:val="57747180"/>
    <w:rsid w:val="577B076B"/>
    <w:rsid w:val="5DDB4B89"/>
    <w:rsid w:val="634C1A77"/>
    <w:rsid w:val="65F0554E"/>
    <w:rsid w:val="66A34FF2"/>
    <w:rsid w:val="66E97CE4"/>
    <w:rsid w:val="6E701D92"/>
    <w:rsid w:val="6EC05342"/>
    <w:rsid w:val="74666E87"/>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name="annotation text"/>
    <w:lsdException w:qFormat="1" w:uiPriority="0" w:name="header"/>
    <w:lsdException w:qFormat="1"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name="footnote reference"/>
    <w:lsdException w:qFormat="1" w:uiPriority="99" w:name="annotation reference"/>
    <w:lsdException w:uiPriority="99" w:name="line number"/>
    <w:lsdException w:qFormat="1"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Times New Roman" w:cs="Times New Roman"/>
      <w:lang w:val="en-US" w:eastAsia="en-US" w:bidi="ar-SA"/>
    </w:rPr>
  </w:style>
  <w:style w:type="paragraph" w:styleId="2">
    <w:name w:val="heading 1"/>
    <w:basedOn w:val="1"/>
    <w:next w:val="1"/>
    <w:link w:val="30"/>
    <w:qFormat/>
    <w:uiPriority w:val="0"/>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31"/>
    <w:semiHidden/>
    <w:unhideWhenUsed/>
    <w:qFormat/>
    <w:uiPriority w:val="0"/>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32"/>
    <w:unhideWhenUsed/>
    <w:qFormat/>
    <w:uiPriority w:val="0"/>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33"/>
    <w:unhideWhenUsed/>
    <w:qFormat/>
    <w:uiPriority w:val="0"/>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5"/>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6"/>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7"/>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paragraph" w:styleId="14">
    <w:name w:val="annotation text"/>
    <w:basedOn w:val="1"/>
    <w:link w:val="84"/>
    <w:semiHidden/>
    <w:unhideWhenUsed/>
    <w:qFormat/>
    <w:uiPriority w:val="99"/>
    <w:pPr>
      <w:spacing w:line="240" w:lineRule="auto"/>
    </w:pPr>
  </w:style>
  <w:style w:type="paragraph" w:styleId="15">
    <w:name w:val="annotation subject"/>
    <w:basedOn w:val="14"/>
    <w:next w:val="14"/>
    <w:link w:val="85"/>
    <w:semiHidden/>
    <w:unhideWhenUsed/>
    <w:qFormat/>
    <w:uiPriority w:val="99"/>
    <w:rPr>
      <w:b/>
      <w:bCs/>
    </w:rPr>
  </w:style>
  <w:style w:type="character" w:styleId="16">
    <w:name w:val="Emphasis"/>
    <w:basedOn w:val="11"/>
    <w:qFormat/>
    <w:uiPriority w:val="20"/>
    <w:rPr>
      <w:i/>
      <w:iCs/>
    </w:rPr>
  </w:style>
  <w:style w:type="paragraph" w:styleId="17">
    <w:name w:val="footer"/>
    <w:basedOn w:val="1"/>
    <w:link w:val="49"/>
    <w:semiHidden/>
    <w:unhideWhenUsed/>
    <w:qFormat/>
    <w:uiPriority w:val="0"/>
  </w:style>
  <w:style w:type="character" w:styleId="18">
    <w:name w:val="footnote reference"/>
    <w:basedOn w:val="11"/>
    <w:semiHidden/>
    <w:unhideWhenUsed/>
    <w:qFormat/>
    <w:uiPriority w:val="0"/>
    <w:rPr>
      <w:position w:val="0"/>
      <w:vertAlign w:val="superscript"/>
    </w:rPr>
  </w:style>
  <w:style w:type="paragraph" w:styleId="19">
    <w:name w:val="footnote text"/>
    <w:basedOn w:val="1"/>
    <w:link w:val="50"/>
    <w:semiHidden/>
    <w:qFormat/>
    <w:uiPriority w:val="0"/>
    <w:pPr>
      <w:spacing w:line="220" w:lineRule="atLeast"/>
      <w:ind w:left="227" w:hanging="227"/>
    </w:pPr>
    <w:rPr>
      <w:sz w:val="18"/>
    </w:rPr>
  </w:style>
  <w:style w:type="paragraph" w:styleId="20">
    <w:name w:val="header"/>
    <w:basedOn w:val="1"/>
    <w:link w:val="51"/>
    <w:semiHidden/>
    <w:unhideWhenUsed/>
    <w:qFormat/>
    <w:uiPriority w:val="0"/>
    <w:pPr>
      <w:tabs>
        <w:tab w:val="center" w:pos="4536"/>
        <w:tab w:val="right" w:pos="9072"/>
      </w:tabs>
      <w:ind w:firstLine="0"/>
    </w:pPr>
    <w:rPr>
      <w:sz w:val="18"/>
      <w:szCs w:val="18"/>
    </w:rPr>
  </w:style>
  <w:style w:type="paragraph" w:styleId="21">
    <w:name w:val="HTML Preformatted"/>
    <w:basedOn w:val="1"/>
    <w:link w:val="52"/>
    <w:semiHidden/>
    <w:qFormat/>
    <w:uiPriority w:val="0"/>
    <w:pPr>
      <w:spacing w:line="240" w:lineRule="auto"/>
    </w:pPr>
    <w:rPr>
      <w:rFonts w:ascii="Consolas" w:hAnsi="Consolas"/>
    </w:rPr>
  </w:style>
  <w:style w:type="character" w:styleId="22">
    <w:name w:val="Hyperlink"/>
    <w:basedOn w:val="11"/>
    <w:unhideWhenUsed/>
    <w:qFormat/>
    <w:uiPriority w:val="0"/>
    <w:rPr>
      <w:color w:val="auto"/>
      <w:u w:val="none"/>
    </w:rPr>
  </w:style>
  <w:style w:type="paragraph" w:styleId="23">
    <w:name w:val="Normal (Web)"/>
    <w:basedOn w:val="1"/>
    <w:unhideWhenUsed/>
    <w:qFormat/>
    <w:uiPriority w:val="99"/>
    <w:pPr>
      <w:spacing w:before="100" w:beforeAutospacing="1" w:after="100" w:afterAutospacing="1"/>
    </w:pPr>
  </w:style>
  <w:style w:type="character" w:styleId="24">
    <w:name w:val="page number"/>
    <w:basedOn w:val="11"/>
    <w:semiHidden/>
    <w:unhideWhenUsed/>
    <w:qFormat/>
    <w:uiPriority w:val="0"/>
    <w:rPr>
      <w:sz w:val="18"/>
    </w:rPr>
  </w:style>
  <w:style w:type="character" w:styleId="25">
    <w:name w:val="Strong"/>
    <w:basedOn w:val="11"/>
    <w:qFormat/>
    <w:uiPriority w:val="22"/>
    <w:rPr>
      <w:b/>
      <w:bCs/>
    </w:rPr>
  </w:style>
  <w:style w:type="paragraph" w:styleId="26">
    <w:name w:val="Subtitle"/>
    <w:basedOn w:val="1"/>
    <w:next w:val="1"/>
    <w:link w:val="4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7">
    <w:name w:val="Table Grid"/>
    <w:basedOn w:val="12"/>
    <w:qFormat/>
    <w:uiPriority w:val="39"/>
    <w:pPr>
      <w:widowControl w:val="0"/>
      <w:jc w:val="both"/>
    </w:pPr>
    <w:rPr>
      <w:lang w:eastAsia="pl-P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itle"/>
    <w:basedOn w:val="1"/>
    <w:next w:val="1"/>
    <w:link w:val="3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customStyle="1" w:styleId="29">
    <w:name w:val="Default"/>
    <w:basedOn w:val="1"/>
    <w:qFormat/>
    <w:uiPriority w:val="0"/>
    <w:pPr>
      <w:spacing w:line="240" w:lineRule="auto"/>
    </w:pPr>
    <w:rPr>
      <w:sz w:val="24"/>
      <w:szCs w:val="24"/>
    </w:rPr>
  </w:style>
  <w:style w:type="character" w:customStyle="1" w:styleId="30">
    <w:name w:val="Başlık 1 Char"/>
    <w:basedOn w:val="11"/>
    <w:link w:val="2"/>
    <w:qFormat/>
    <w:uiPriority w:val="0"/>
    <w:rPr>
      <w:rFonts w:asciiTheme="majorHAnsi" w:hAnsiTheme="majorHAnsi" w:eastAsiaTheme="majorEastAsia" w:cstheme="majorBidi"/>
      <w:color w:val="2F5597" w:themeColor="accent1" w:themeShade="BF"/>
      <w:sz w:val="40"/>
      <w:szCs w:val="40"/>
    </w:rPr>
  </w:style>
  <w:style w:type="character" w:customStyle="1" w:styleId="31">
    <w:name w:val="Başlık 2 Char"/>
    <w:basedOn w:val="11"/>
    <w:link w:val="3"/>
    <w:semiHidden/>
    <w:qFormat/>
    <w:uiPriority w:val="0"/>
    <w:rPr>
      <w:rFonts w:asciiTheme="majorHAnsi" w:hAnsiTheme="majorHAnsi" w:eastAsiaTheme="majorEastAsia" w:cstheme="majorBidi"/>
      <w:color w:val="2F5597" w:themeColor="accent1" w:themeShade="BF"/>
      <w:sz w:val="32"/>
      <w:szCs w:val="32"/>
    </w:rPr>
  </w:style>
  <w:style w:type="character" w:customStyle="1" w:styleId="32">
    <w:name w:val="Başlık 3 Char"/>
    <w:basedOn w:val="11"/>
    <w:link w:val="4"/>
    <w:qFormat/>
    <w:uiPriority w:val="0"/>
    <w:rPr>
      <w:rFonts w:eastAsiaTheme="majorEastAsia" w:cstheme="majorBidi"/>
      <w:color w:val="2F5597" w:themeColor="accent1" w:themeShade="BF"/>
      <w:sz w:val="28"/>
      <w:szCs w:val="28"/>
    </w:rPr>
  </w:style>
  <w:style w:type="character" w:customStyle="1" w:styleId="33">
    <w:name w:val="Başlık 4 Char"/>
    <w:basedOn w:val="11"/>
    <w:link w:val="5"/>
    <w:qFormat/>
    <w:uiPriority w:val="0"/>
    <w:rPr>
      <w:rFonts w:eastAsiaTheme="majorEastAsia" w:cstheme="majorBidi"/>
      <w:i/>
      <w:iCs/>
      <w:color w:val="2F5597" w:themeColor="accent1" w:themeShade="BF"/>
    </w:rPr>
  </w:style>
  <w:style w:type="character" w:customStyle="1" w:styleId="34">
    <w:name w:val="Başlık 5 Char"/>
    <w:basedOn w:val="11"/>
    <w:link w:val="6"/>
    <w:semiHidden/>
    <w:qFormat/>
    <w:uiPriority w:val="9"/>
    <w:rPr>
      <w:rFonts w:eastAsiaTheme="majorEastAsia" w:cstheme="majorBidi"/>
      <w:color w:val="2F5597" w:themeColor="accent1" w:themeShade="BF"/>
    </w:rPr>
  </w:style>
  <w:style w:type="character" w:customStyle="1" w:styleId="35">
    <w:name w:val="Başlık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6">
    <w:name w:val="Başlık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Başlık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8">
    <w:name w:val="Başlık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9">
    <w:name w:val="Konu Başlığı Char"/>
    <w:basedOn w:val="11"/>
    <w:link w:val="28"/>
    <w:qFormat/>
    <w:uiPriority w:val="10"/>
    <w:rPr>
      <w:rFonts w:asciiTheme="majorHAnsi" w:hAnsiTheme="majorHAnsi" w:eastAsiaTheme="majorEastAsia" w:cstheme="majorBidi"/>
      <w:spacing w:val="-10"/>
      <w:kern w:val="28"/>
      <w:sz w:val="56"/>
      <w:szCs w:val="56"/>
    </w:rPr>
  </w:style>
  <w:style w:type="character" w:customStyle="1" w:styleId="40">
    <w:name w:val="Altyazı Char"/>
    <w:basedOn w:val="11"/>
    <w:link w:val="2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1">
    <w:name w:val="Quote"/>
    <w:basedOn w:val="1"/>
    <w:next w:val="1"/>
    <w:link w:val="4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2">
    <w:name w:val="Alıntı Char"/>
    <w:basedOn w:val="11"/>
    <w:link w:val="41"/>
    <w:qFormat/>
    <w:uiPriority w:val="29"/>
    <w:rPr>
      <w:i/>
      <w:iCs/>
      <w:color w:val="404040" w:themeColor="text1" w:themeTint="BF"/>
      <w14:textFill>
        <w14:solidFill>
          <w14:schemeClr w14:val="tx1">
            <w14:lumMod w14:val="75000"/>
            <w14:lumOff w14:val="25000"/>
          </w14:schemeClr>
        </w14:solidFill>
      </w14:textFill>
    </w:rPr>
  </w:style>
  <w:style w:type="paragraph" w:styleId="43">
    <w:name w:val="List Paragraph"/>
    <w:basedOn w:val="1"/>
    <w:qFormat/>
    <w:uiPriority w:val="34"/>
    <w:pPr>
      <w:ind w:left="720"/>
      <w:contextualSpacing/>
    </w:pPr>
  </w:style>
  <w:style w:type="character" w:customStyle="1" w:styleId="44">
    <w:name w:val="Güçlü Vurgulama1"/>
    <w:basedOn w:val="11"/>
    <w:qFormat/>
    <w:uiPriority w:val="21"/>
    <w:rPr>
      <w:i/>
      <w:iCs/>
      <w:color w:val="2F5597" w:themeColor="accent1" w:themeShade="BF"/>
    </w:rPr>
  </w:style>
  <w:style w:type="paragraph" w:styleId="45">
    <w:name w:val="Intense Quote"/>
    <w:basedOn w:val="1"/>
    <w:next w:val="1"/>
    <w:link w:val="4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6">
    <w:name w:val="Güçlü Alıntı Char"/>
    <w:basedOn w:val="11"/>
    <w:link w:val="45"/>
    <w:qFormat/>
    <w:uiPriority w:val="30"/>
    <w:rPr>
      <w:i/>
      <w:iCs/>
      <w:color w:val="2F5597" w:themeColor="accent1" w:themeShade="BF"/>
    </w:rPr>
  </w:style>
  <w:style w:type="character" w:customStyle="1" w:styleId="47">
    <w:name w:val="Güçlü Başvuru1"/>
    <w:basedOn w:val="11"/>
    <w:qFormat/>
    <w:uiPriority w:val="32"/>
    <w:rPr>
      <w:b/>
      <w:bCs/>
      <w:smallCaps/>
      <w:color w:val="2F5597" w:themeColor="accent1" w:themeShade="BF"/>
      <w:spacing w:val="5"/>
    </w:rPr>
  </w:style>
  <w:style w:type="paragraph" w:customStyle="1" w:styleId="48">
    <w:name w:val="p1a"/>
    <w:basedOn w:val="1"/>
    <w:next w:val="1"/>
    <w:qFormat/>
    <w:uiPriority w:val="0"/>
    <w:pPr>
      <w:ind w:firstLine="0"/>
    </w:pPr>
  </w:style>
  <w:style w:type="character" w:customStyle="1" w:styleId="49">
    <w:name w:val="Alt Bilgi Char"/>
    <w:basedOn w:val="11"/>
    <w:link w:val="17"/>
    <w:semiHidden/>
    <w:qFormat/>
    <w:uiPriority w:val="0"/>
    <w:rPr>
      <w:rFonts w:ascii="Times New Roman" w:hAnsi="Times New Roman" w:eastAsia="Times New Roman" w:cs="Times New Roman"/>
      <w:kern w:val="0"/>
      <w:sz w:val="20"/>
      <w:szCs w:val="20"/>
      <w:lang w:val="en-US"/>
      <w14:ligatures w14:val="none"/>
    </w:rPr>
  </w:style>
  <w:style w:type="character" w:customStyle="1" w:styleId="50">
    <w:name w:val="Dipnot Metni Char"/>
    <w:basedOn w:val="11"/>
    <w:link w:val="19"/>
    <w:semiHidden/>
    <w:qFormat/>
    <w:uiPriority w:val="0"/>
    <w:rPr>
      <w:rFonts w:ascii="Times New Roman" w:hAnsi="Times New Roman" w:eastAsia="Times New Roman" w:cs="Times New Roman"/>
      <w:kern w:val="0"/>
      <w:sz w:val="18"/>
      <w:szCs w:val="20"/>
      <w:lang w:val="en-US"/>
      <w14:ligatures w14:val="none"/>
    </w:rPr>
  </w:style>
  <w:style w:type="character" w:customStyle="1" w:styleId="51">
    <w:name w:val="Üst Bilgi Char"/>
    <w:basedOn w:val="11"/>
    <w:link w:val="20"/>
    <w:semiHidden/>
    <w:qFormat/>
    <w:uiPriority w:val="0"/>
    <w:rPr>
      <w:rFonts w:ascii="Times New Roman" w:hAnsi="Times New Roman" w:eastAsia="Times New Roman" w:cs="Times New Roman"/>
      <w:kern w:val="0"/>
      <w:sz w:val="18"/>
      <w:szCs w:val="18"/>
      <w:lang w:val="en-US"/>
      <w14:ligatures w14:val="none"/>
    </w:rPr>
  </w:style>
  <w:style w:type="character" w:customStyle="1" w:styleId="52">
    <w:name w:val="HTML Önceden Biçimlendirilmiş Char"/>
    <w:basedOn w:val="11"/>
    <w:link w:val="21"/>
    <w:semiHidden/>
    <w:qFormat/>
    <w:uiPriority w:val="0"/>
    <w:rPr>
      <w:rFonts w:ascii="Consolas" w:hAnsi="Consolas" w:eastAsia="Times New Roman" w:cs="Times New Roman"/>
      <w:kern w:val="0"/>
      <w:sz w:val="20"/>
      <w:szCs w:val="20"/>
      <w:lang w:val="en-US"/>
      <w14:ligatures w14:val="none"/>
    </w:rPr>
  </w:style>
  <w:style w:type="paragraph" w:customStyle="1" w:styleId="53">
    <w:name w:val="abstract"/>
    <w:basedOn w:val="1"/>
    <w:qFormat/>
    <w:uiPriority w:val="0"/>
    <w:pPr>
      <w:spacing w:before="600" w:after="360" w:line="220" w:lineRule="atLeast"/>
      <w:ind w:left="567" w:right="567"/>
      <w:contextualSpacing/>
    </w:pPr>
    <w:rPr>
      <w:sz w:val="18"/>
    </w:rPr>
  </w:style>
  <w:style w:type="paragraph" w:customStyle="1" w:styleId="54">
    <w:name w:val="address"/>
    <w:basedOn w:val="1"/>
    <w:qFormat/>
    <w:uiPriority w:val="0"/>
    <w:pPr>
      <w:spacing w:after="200" w:line="220" w:lineRule="atLeast"/>
      <w:ind w:firstLine="0"/>
      <w:contextualSpacing/>
      <w:jc w:val="center"/>
    </w:pPr>
    <w:rPr>
      <w:sz w:val="18"/>
    </w:rPr>
  </w:style>
  <w:style w:type="paragraph" w:customStyle="1" w:styleId="55">
    <w:name w:val="author"/>
    <w:basedOn w:val="1"/>
    <w:next w:val="54"/>
    <w:qFormat/>
    <w:uiPriority w:val="0"/>
    <w:pPr>
      <w:spacing w:after="200" w:line="220" w:lineRule="atLeast"/>
      <w:ind w:firstLine="0"/>
      <w:jc w:val="center"/>
    </w:pPr>
  </w:style>
  <w:style w:type="paragraph" w:customStyle="1" w:styleId="56">
    <w:name w:val="bulletitem"/>
    <w:basedOn w:val="1"/>
    <w:qFormat/>
    <w:uiPriority w:val="0"/>
    <w:pPr>
      <w:numPr>
        <w:ilvl w:val="0"/>
        <w:numId w:val="1"/>
      </w:numPr>
      <w:spacing w:before="160" w:after="160"/>
      <w:contextualSpacing/>
    </w:pPr>
  </w:style>
  <w:style w:type="paragraph" w:customStyle="1" w:styleId="57">
    <w:name w:val="dashitem"/>
    <w:basedOn w:val="1"/>
    <w:qFormat/>
    <w:uiPriority w:val="0"/>
    <w:pPr>
      <w:numPr>
        <w:ilvl w:val="0"/>
        <w:numId w:val="2"/>
      </w:numPr>
      <w:spacing w:before="160" w:after="160"/>
      <w:contextualSpacing/>
    </w:pPr>
  </w:style>
  <w:style w:type="character" w:customStyle="1" w:styleId="58">
    <w:name w:val="e-mail"/>
    <w:basedOn w:val="11"/>
    <w:qFormat/>
    <w:uiPriority w:val="0"/>
    <w:rPr>
      <w:rFonts w:ascii="Courier" w:hAnsi="Courier"/>
    </w:rPr>
  </w:style>
  <w:style w:type="paragraph" w:customStyle="1" w:styleId="59">
    <w:name w:val="equation"/>
    <w:basedOn w:val="1"/>
    <w:next w:val="1"/>
    <w:qFormat/>
    <w:uiPriority w:val="0"/>
    <w:pPr>
      <w:tabs>
        <w:tab w:val="center" w:pos="3289"/>
        <w:tab w:val="right" w:pos="6917"/>
      </w:tabs>
      <w:spacing w:before="160" w:after="160"/>
      <w:ind w:firstLine="0"/>
    </w:pPr>
  </w:style>
  <w:style w:type="paragraph" w:customStyle="1" w:styleId="60">
    <w:name w:val="figurecaption"/>
    <w:basedOn w:val="1"/>
    <w:next w:val="1"/>
    <w:qFormat/>
    <w:uiPriority w:val="0"/>
    <w:pPr>
      <w:keepLines/>
      <w:spacing w:before="120" w:after="240" w:line="220" w:lineRule="atLeast"/>
      <w:ind w:firstLine="0"/>
      <w:jc w:val="center"/>
    </w:pPr>
    <w:rPr>
      <w:sz w:val="18"/>
    </w:rPr>
  </w:style>
  <w:style w:type="paragraph" w:customStyle="1" w:styleId="61">
    <w:name w:val="heading1"/>
    <w:basedOn w:val="1"/>
    <w:next w:val="48"/>
    <w:qFormat/>
    <w:uiPriority w:val="0"/>
    <w:pPr>
      <w:keepNext/>
      <w:keepLines/>
      <w:numPr>
        <w:ilvl w:val="0"/>
        <w:numId w:val="3"/>
      </w:numPr>
      <w:suppressAutoHyphens/>
      <w:spacing w:before="360" w:after="240" w:line="300" w:lineRule="atLeast"/>
      <w:jc w:val="left"/>
      <w:outlineLvl w:val="0"/>
    </w:pPr>
    <w:rPr>
      <w:b/>
      <w:sz w:val="24"/>
    </w:rPr>
  </w:style>
  <w:style w:type="paragraph" w:customStyle="1" w:styleId="62">
    <w:name w:val="heading2"/>
    <w:basedOn w:val="1"/>
    <w:next w:val="48"/>
    <w:qFormat/>
    <w:uiPriority w:val="0"/>
    <w:pPr>
      <w:keepNext/>
      <w:keepLines/>
      <w:numPr>
        <w:ilvl w:val="1"/>
        <w:numId w:val="3"/>
      </w:numPr>
      <w:suppressAutoHyphens/>
      <w:spacing w:before="360" w:after="160"/>
      <w:jc w:val="left"/>
      <w:outlineLvl w:val="1"/>
    </w:pPr>
    <w:rPr>
      <w:b/>
    </w:rPr>
  </w:style>
  <w:style w:type="character" w:customStyle="1" w:styleId="63">
    <w:name w:val="heading3"/>
    <w:basedOn w:val="11"/>
    <w:qFormat/>
    <w:uiPriority w:val="0"/>
    <w:rPr>
      <w:b/>
    </w:rPr>
  </w:style>
  <w:style w:type="character" w:customStyle="1" w:styleId="64">
    <w:name w:val="heading4"/>
    <w:basedOn w:val="11"/>
    <w:qFormat/>
    <w:uiPriority w:val="0"/>
    <w:rPr>
      <w:i/>
    </w:rPr>
  </w:style>
  <w:style w:type="paragraph" w:customStyle="1" w:styleId="65">
    <w:name w:val="image"/>
    <w:basedOn w:val="1"/>
    <w:next w:val="1"/>
    <w:qFormat/>
    <w:uiPriority w:val="0"/>
    <w:pPr>
      <w:spacing w:before="240" w:after="120"/>
      <w:ind w:firstLine="0"/>
      <w:jc w:val="center"/>
    </w:pPr>
  </w:style>
  <w:style w:type="paragraph" w:customStyle="1" w:styleId="66">
    <w:name w:val="keywords"/>
    <w:basedOn w:val="53"/>
    <w:next w:val="61"/>
    <w:qFormat/>
    <w:uiPriority w:val="0"/>
    <w:pPr>
      <w:spacing w:before="220"/>
      <w:ind w:firstLine="0"/>
      <w:contextualSpacing w:val="0"/>
      <w:jc w:val="left"/>
    </w:pPr>
  </w:style>
  <w:style w:type="paragraph" w:customStyle="1" w:styleId="67">
    <w:name w:val="numitem"/>
    <w:basedOn w:val="1"/>
    <w:qFormat/>
    <w:uiPriority w:val="0"/>
    <w:pPr>
      <w:numPr>
        <w:ilvl w:val="0"/>
        <w:numId w:val="4"/>
      </w:numPr>
      <w:spacing w:before="160" w:after="160"/>
      <w:contextualSpacing/>
    </w:pPr>
  </w:style>
  <w:style w:type="paragraph" w:customStyle="1" w:styleId="68">
    <w:name w:val="programcode"/>
    <w:basedOn w:val="1"/>
    <w:qFormat/>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69">
    <w:name w:val="referenceitem"/>
    <w:basedOn w:val="1"/>
    <w:qFormat/>
    <w:uiPriority w:val="0"/>
    <w:pPr>
      <w:numPr>
        <w:ilvl w:val="0"/>
        <w:numId w:val="5"/>
      </w:numPr>
      <w:spacing w:line="220" w:lineRule="atLeast"/>
    </w:pPr>
    <w:rPr>
      <w:sz w:val="18"/>
    </w:rPr>
  </w:style>
  <w:style w:type="paragraph" w:customStyle="1" w:styleId="70">
    <w:name w:val="running head - left"/>
    <w:basedOn w:val="1"/>
    <w:qFormat/>
    <w:uiPriority w:val="0"/>
    <w:pPr>
      <w:ind w:firstLine="0"/>
      <w:jc w:val="left"/>
    </w:pPr>
    <w:rPr>
      <w:sz w:val="18"/>
      <w:szCs w:val="18"/>
    </w:rPr>
  </w:style>
  <w:style w:type="paragraph" w:customStyle="1" w:styleId="71">
    <w:name w:val="running head - right"/>
    <w:basedOn w:val="1"/>
    <w:qFormat/>
    <w:uiPriority w:val="0"/>
    <w:pPr>
      <w:ind w:firstLine="0"/>
      <w:jc w:val="right"/>
    </w:pPr>
    <w:rPr>
      <w:bCs/>
      <w:sz w:val="18"/>
      <w:szCs w:val="18"/>
    </w:rPr>
  </w:style>
  <w:style w:type="paragraph" w:customStyle="1" w:styleId="72">
    <w:name w:val="papertitle"/>
    <w:basedOn w:val="1"/>
    <w:next w:val="55"/>
    <w:qFormat/>
    <w:uiPriority w:val="0"/>
    <w:pPr>
      <w:keepNext/>
      <w:keepLines/>
      <w:suppressAutoHyphens/>
      <w:spacing w:after="480" w:line="360" w:lineRule="atLeast"/>
      <w:ind w:firstLine="0"/>
      <w:jc w:val="center"/>
    </w:pPr>
    <w:rPr>
      <w:b/>
      <w:sz w:val="28"/>
    </w:rPr>
  </w:style>
  <w:style w:type="paragraph" w:customStyle="1" w:styleId="73">
    <w:name w:val="papersubtitle"/>
    <w:basedOn w:val="72"/>
    <w:next w:val="55"/>
    <w:qFormat/>
    <w:uiPriority w:val="0"/>
    <w:pPr>
      <w:spacing w:before="120" w:line="280" w:lineRule="atLeast"/>
    </w:pPr>
    <w:rPr>
      <w:sz w:val="24"/>
    </w:rPr>
  </w:style>
  <w:style w:type="paragraph" w:customStyle="1" w:styleId="74">
    <w:name w:val="tablecaption"/>
    <w:basedOn w:val="1"/>
    <w:next w:val="1"/>
    <w:qFormat/>
    <w:uiPriority w:val="0"/>
    <w:pPr>
      <w:keepNext/>
      <w:keepLines/>
      <w:spacing w:before="240" w:after="120" w:line="220" w:lineRule="atLeast"/>
      <w:ind w:firstLine="0"/>
      <w:jc w:val="center"/>
    </w:pPr>
    <w:rPr>
      <w:sz w:val="18"/>
    </w:rPr>
  </w:style>
  <w:style w:type="character" w:customStyle="1" w:styleId="75">
    <w:name w:val="url"/>
    <w:basedOn w:val="11"/>
    <w:qFormat/>
    <w:uiPriority w:val="0"/>
    <w:rPr>
      <w:rFonts w:ascii="Courier" w:hAnsi="Courier"/>
    </w:rPr>
  </w:style>
  <w:style w:type="character" w:customStyle="1" w:styleId="76">
    <w:name w:val="ORCID"/>
    <w:basedOn w:val="11"/>
    <w:qFormat/>
    <w:uiPriority w:val="0"/>
    <w:rPr>
      <w:position w:val="0"/>
      <w:vertAlign w:val="superscript"/>
    </w:rPr>
  </w:style>
  <w:style w:type="paragraph" w:customStyle="1" w:styleId="77">
    <w:name w:val="ReferenceLine"/>
    <w:basedOn w:val="48"/>
    <w:semiHidden/>
    <w:unhideWhenUsed/>
    <w:qFormat/>
    <w:uiPriority w:val="0"/>
    <w:pPr>
      <w:spacing w:line="200" w:lineRule="exact"/>
    </w:pPr>
    <w:rPr>
      <w:sz w:val="16"/>
    </w:rPr>
  </w:style>
  <w:style w:type="character" w:customStyle="1" w:styleId="78">
    <w:name w:val="ms-1"/>
    <w:basedOn w:val="11"/>
    <w:qFormat/>
    <w:uiPriority w:val="0"/>
  </w:style>
  <w:style w:type="character" w:customStyle="1" w:styleId="79">
    <w:name w:val="max-w-[15ch]"/>
    <w:basedOn w:val="11"/>
    <w:qFormat/>
    <w:uiPriority w:val="0"/>
  </w:style>
  <w:style w:type="paragraph" w:customStyle="1" w:styleId="80">
    <w:name w:val="reference"/>
    <w:basedOn w:val="81"/>
    <w:qFormat/>
    <w:uiPriority w:val="6"/>
    <w:pPr>
      <w:ind w:left="1411" w:hanging="1411"/>
    </w:pPr>
    <w:rPr>
      <w:rFonts w:cs="Arial"/>
    </w:rPr>
  </w:style>
  <w:style w:type="paragraph" w:customStyle="1" w:styleId="81">
    <w:name w:val="Body Text1"/>
    <w:basedOn w:val="1"/>
    <w:qFormat/>
    <w:uiPriority w:val="6"/>
    <w:pPr>
      <w:overflowPunct/>
      <w:autoSpaceDE/>
      <w:autoSpaceDN/>
      <w:adjustRightInd/>
      <w:spacing w:after="40"/>
      <w:textAlignment w:val="auto"/>
    </w:pPr>
    <w:rPr>
      <w:rFonts w:ascii="Arial" w:hAnsi="Arial"/>
      <w:lang w:val="pl-PL" w:eastAsia="pl-PL"/>
    </w:rPr>
  </w:style>
  <w:style w:type="character" w:customStyle="1" w:styleId="82">
    <w:name w:val="15"/>
    <w:qFormat/>
    <w:uiPriority w:val="0"/>
    <w:rPr>
      <w:rFonts w:hint="default" w:ascii="Times New Roman" w:hAnsi="Times New Roman" w:cs="Times New Roman"/>
      <w:b/>
      <w:bCs/>
    </w:rPr>
  </w:style>
  <w:style w:type="character" w:customStyle="1" w:styleId="83">
    <w:name w:val="10"/>
    <w:qFormat/>
    <w:uiPriority w:val="0"/>
    <w:rPr>
      <w:rFonts w:hint="default" w:ascii="Times New Roman" w:hAnsi="Times New Roman" w:cs="Times New Roman"/>
    </w:rPr>
  </w:style>
  <w:style w:type="character" w:customStyle="1" w:styleId="84">
    <w:name w:val="Açıklama Metni Char"/>
    <w:basedOn w:val="11"/>
    <w:link w:val="14"/>
    <w:semiHidden/>
    <w:qFormat/>
    <w:uiPriority w:val="99"/>
    <w:rPr>
      <w:rFonts w:ascii="Times New Roman" w:hAnsi="Times New Roman" w:eastAsia="Times New Roman" w:cs="Times New Roman"/>
      <w:kern w:val="0"/>
      <w:sz w:val="20"/>
      <w:szCs w:val="20"/>
      <w:lang w:val="en-US"/>
      <w14:ligatures w14:val="none"/>
    </w:rPr>
  </w:style>
  <w:style w:type="character" w:customStyle="1" w:styleId="85">
    <w:name w:val="Açıklama Konusu Char"/>
    <w:basedOn w:val="84"/>
    <w:link w:val="15"/>
    <w:semiHidden/>
    <w:qFormat/>
    <w:uiPriority w:val="99"/>
    <w:rPr>
      <w:rFonts w:ascii="Times New Roman" w:hAnsi="Times New Roman" w:eastAsia="Times New Roman" w:cs="Times New Roman"/>
      <w:b/>
      <w:bCs/>
      <w:kern w:val="0"/>
      <w:sz w:val="20"/>
      <w:szCs w:val="20"/>
      <w:lang w:val="en-US"/>
      <w14:ligatures w14:val="none"/>
    </w:rPr>
  </w:style>
  <w:style w:type="character" w:customStyle="1" w:styleId="86">
    <w:name w:val="Çözümlenmeyen Bahsetme1"/>
    <w:basedOn w:val="11"/>
    <w:semiHidden/>
    <w:unhideWhenUsed/>
    <w:uiPriority w:val="99"/>
    <w:rPr>
      <w:color w:val="605E5C"/>
      <w:shd w:val="clear" w:color="auto" w:fill="E1DFDD"/>
    </w:rPr>
  </w:style>
  <w:style w:type="character" w:customStyle="1" w:styleId="87">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6261</Words>
  <Characters>38295</Characters>
  <Lines>367</Lines>
  <Paragraphs>103</Paragraphs>
  <TotalTime>5</TotalTime>
  <ScaleCrop>false</ScaleCrop>
  <LinksUpToDate>false</LinksUpToDate>
  <CharactersWithSpaces>44083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2026-05-13T20:04:00Z</dcterms:created>
  <dc:creator>Julia Włodarczyk</dc:creator>
  <cp:lastModifiedBy>Tunahan Aslan</cp:lastModifiedBy>
  <cp:lastPrinted>2026-05-13T20:35:00Z</cp:lastPrinted>
  <dcterms:modified xsi:type="dcterms:W3CDTF">2026-06-03T10:59:56Z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eyJoZGlkIjoiNDBjOTA5NjJhZGQ4NmMyMGRlMjkxOTkwZjRhZmJlZGIiLCJ1c2VySWQiOiI4ODEzODg1OTUyMDMyIn0=</vt:lpwstr>
  </property>
  <property fmtid="{D5CDD505-2E9C-101B-9397-08002B2CF9AE}" pid="3" name="KSOProductBuildVer">
    <vt:lpwstr>1055-12.1.0.26372</vt:lpwstr>
  </property>
  <property fmtid="{D5CDD505-2E9C-101B-9397-08002B2CF9AE}" pid="4" name="ICV">
    <vt:lpwstr>B8941498110D489BA678D29B87F28CAC_13</vt:lpwstr>
  </property>
</Properties>
</file>