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2F6F4E"/>
          <w:sz w:val="36"/>
        </w:rPr>
        <w:t>Experiments and Results Section</w:t>
      </w:r>
    </w:p>
    <w:p>
      <w:pPr>
        <w:jc w:val="center"/>
      </w:pPr>
      <w:r>
        <w:rPr>
          <w:rFonts w:ascii="Times New Roman" w:hAnsi="Times New Roman"/>
          <w:i/>
          <w:sz w:val="24"/>
        </w:rPr>
        <w:t>Paper-ready tables, figures, and interpretations</w:t>
      </w:r>
    </w:p>
    <w:p/>
    <w:p>
      <w:pPr>
        <w:pStyle w:val="Heading1"/>
      </w:pPr>
      <w:r>
        <w:t>1. Exploratory Findings</w:t>
      </w:r>
    </w:p>
    <w:p>
      <w:pPr>
        <w:spacing w:after="120" w:line="276" w:lineRule="auto"/>
      </w:pPr>
      <w:r>
        <w:rPr>
          <w:rFonts w:ascii="Times New Roman" w:hAnsi="Times New Roman"/>
          <w:sz w:val="24"/>
        </w:rPr>
        <w:t>The exploratory analysis showed that dropout risk is strongly associated with financial stress and academic progression. These patterns motivated the later staged modeling, ablation, SHAP, clustering, and graph analyses.</w:t>
      </w:r>
    </w:p>
    <w:p>
      <w:pPr>
        <w:spacing w:before="80" w:after="80"/>
      </w:pPr>
      <w:r>
        <w:rPr>
          <w:rFonts w:ascii="Times New Roman" w:hAnsi="Times New Roman"/>
          <w:b/>
          <w:color w:val="2F6F4E"/>
          <w:sz w:val="20"/>
        </w:rPr>
        <w:t>Figure 2. Financial-risk indicators and dropout rate.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07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EDA_Financial_Risk_Pan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Times New Roman" w:hAnsi="Times New Roman"/>
          <w:b/>
          <w:sz w:val="24"/>
        </w:rPr>
        <w:t xml:space="preserve">Interpretation: </w:t>
      </w:r>
      <w:r>
        <w:rPr>
          <w:rFonts w:ascii="Times New Roman" w:hAnsi="Times New Roman"/>
          <w:sz w:val="24"/>
        </w:rPr>
        <w:t>Students with unpaid tuition, debtor status, and no scholarship show much higher dropout risk. These variables are practical because universities can act on them.</w:t>
      </w:r>
    </w:p>
    <w:p>
      <w:pPr>
        <w:spacing w:before="80" w:after="80"/>
      </w:pPr>
      <w:r>
        <w:rPr>
          <w:rFonts w:ascii="Times New Roman" w:hAnsi="Times New Roman"/>
          <w:b/>
          <w:color w:val="2F6F4E"/>
          <w:sz w:val="20"/>
        </w:rPr>
        <w:t>Figure 3. Academic progression and dropout rate.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7922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EDA_Academic_Progress_Pa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2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Times New Roman" w:hAnsi="Times New Roman"/>
          <w:b/>
          <w:sz w:val="24"/>
        </w:rPr>
        <w:t xml:space="preserve">Interpretation: </w:t>
      </w:r>
      <w:r>
        <w:rPr>
          <w:rFonts w:ascii="Times New Roman" w:hAnsi="Times New Roman"/>
          <w:sz w:val="24"/>
        </w:rPr>
        <w:t>Low approved curricular units in the first and second semesters are among the strongest dropout signals.</w:t>
      </w:r>
    </w:p>
    <w:p>
      <w:pPr>
        <w:pStyle w:val="Heading1"/>
      </w:pPr>
      <w:r>
        <w:t>2. Staged Early-Warning Models</w:t>
      </w:r>
    </w:p>
    <w:p>
      <w:pPr>
        <w:spacing w:after="120" w:line="276" w:lineRule="auto"/>
      </w:pPr>
      <w:r>
        <w:rPr>
          <w:rFonts w:ascii="Times New Roman" w:hAnsi="Times New Roman"/>
          <w:sz w:val="24"/>
        </w:rPr>
        <w:t>The staged models show how predictive performance changes as more information becomes available. Stage A uses only pre-enrollment variables, Stage B adds first-semester academic information, and Stage C adds second-semester information.</w:t>
      </w:r>
    </w:p>
    <w:p>
      <w:pPr>
        <w:spacing w:before="80" w:after="80"/>
      </w:pPr>
      <w:r>
        <w:rPr>
          <w:rFonts w:ascii="Times New Roman" w:hAnsi="Times New Roman"/>
          <w:b/>
          <w:color w:val="2F6F4E"/>
          <w:sz w:val="20"/>
        </w:rPr>
        <w:t>Table 3. Best tuned model by early-warning stage.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DDEBDD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Stage</w:t>
            </w:r>
          </w:p>
        </w:tc>
        <w:tc>
          <w:tcPr>
            <w:tcW w:type="dxa" w:w="1170"/>
            <w:shd w:fill="DDEBDD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Best model</w:t>
            </w:r>
          </w:p>
        </w:tc>
        <w:tc>
          <w:tcPr>
            <w:tcW w:type="dxa" w:w="1170"/>
            <w:shd w:fill="DDEBDD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14"/>
              </w:rPr>
              <w:t>Validation Macro-F1</w:t>
            </w:r>
          </w:p>
        </w:tc>
        <w:tc>
          <w:tcPr>
            <w:tcW w:type="dxa" w:w="1170"/>
            <w:shd w:fill="DDEBDD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14"/>
              </w:rPr>
              <w:t>Validation Balanced Acc.</w:t>
            </w:r>
          </w:p>
        </w:tc>
        <w:tc>
          <w:tcPr>
            <w:tcW w:type="dxa" w:w="1170"/>
            <w:shd w:fill="DDEBDD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14"/>
              </w:rPr>
              <w:t>Validation Log-loss</w:t>
            </w:r>
          </w:p>
        </w:tc>
        <w:tc>
          <w:tcPr>
            <w:tcW w:type="dxa" w:w="1170"/>
            <w:shd w:fill="DDEBDD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Test Macro-F1</w:t>
            </w:r>
          </w:p>
        </w:tc>
        <w:tc>
          <w:tcPr>
            <w:tcW w:type="dxa" w:w="1170"/>
            <w:shd w:fill="DDEBDD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14"/>
              </w:rPr>
              <w:t>Test Balanced Acc.</w:t>
            </w:r>
          </w:p>
        </w:tc>
        <w:tc>
          <w:tcPr>
            <w:tcW w:type="dxa" w:w="1170"/>
            <w:shd w:fill="DDEBDD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Test Log-loss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A_pre_enrollment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LightGBM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0.583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0.700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0.849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0.571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0.689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0.849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B_first_semester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LightGBM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0.679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0.772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0.659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0.680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0.773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0.647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C_second_semester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LightGBM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0.712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0.797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0.595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0.698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0.784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0.597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/>
          <w:b/>
          <w:sz w:val="24"/>
        </w:rPr>
        <w:t xml:space="preserve">Interpretation: </w:t>
      </w:r>
      <w:r>
        <w:rPr>
          <w:rFonts w:ascii="Times New Roman" w:hAnsi="Times New Roman"/>
          <w:sz w:val="24"/>
        </w:rPr>
        <w:t>Performance improves from Stage A to Stage C. This supports the early-warning argument: useful risk signals exist before enrollment, but academic progress sharply improves prediction.</w:t>
      </w:r>
    </w:p>
    <w:p>
      <w:pPr>
        <w:spacing w:before="80" w:after="80"/>
      </w:pPr>
      <w:r>
        <w:rPr>
          <w:rFonts w:ascii="Times New Roman" w:hAnsi="Times New Roman"/>
          <w:b/>
          <w:color w:val="2F6F4E"/>
          <w:sz w:val="20"/>
        </w:rPr>
        <w:t>Figure 4. Validation Macro-F1 across tuned staged models.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419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tuned_validation_macro_f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1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Times New Roman" w:hAnsi="Times New Roman"/>
          <w:b/>
          <w:sz w:val="24"/>
        </w:rPr>
        <w:t xml:space="preserve">Interpretation: </w:t>
      </w:r>
      <w:r>
        <w:rPr>
          <w:rFonts w:ascii="Times New Roman" w:hAnsi="Times New Roman"/>
          <w:sz w:val="24"/>
        </w:rPr>
        <w:t>The figure shows the improvement in predictive strength over time, especially after semester performance variables are added.</w:t>
      </w:r>
    </w:p>
    <w:p>
      <w:pPr>
        <w:pStyle w:val="Heading1"/>
      </w:pPr>
      <w:r>
        <w:t>3. Full-Feature and Ablation Experiments</w:t>
      </w:r>
    </w:p>
    <w:p>
      <w:pPr>
        <w:spacing w:after="120" w:line="276" w:lineRule="auto"/>
      </w:pPr>
      <w:r>
        <w:rPr>
          <w:rFonts w:ascii="Times New Roman" w:hAnsi="Times New Roman"/>
          <w:sz w:val="24"/>
        </w:rPr>
        <w:t>The full-feature model estimates the maximum-information benchmark. Ablation models test which blocks of variables add value after academic performance.</w:t>
      </w:r>
    </w:p>
    <w:p>
      <w:pPr>
        <w:spacing w:before="80" w:after="80"/>
      </w:pPr>
      <w:r>
        <w:rPr>
          <w:rFonts w:ascii="Times New Roman" w:hAnsi="Times New Roman"/>
          <w:b/>
          <w:color w:val="2F6F4E"/>
          <w:sz w:val="20"/>
        </w:rPr>
        <w:t>Table 4. Tuned full-feature and ablation comparison.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DDEBDD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Feature set</w:t>
            </w:r>
          </w:p>
        </w:tc>
        <w:tc>
          <w:tcPr>
            <w:tcW w:type="dxa" w:w="1170"/>
            <w:shd w:fill="DDEBDD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Best model</w:t>
            </w:r>
          </w:p>
        </w:tc>
        <w:tc>
          <w:tcPr>
            <w:tcW w:type="dxa" w:w="1170"/>
            <w:shd w:fill="DDEBDD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Raw features</w:t>
            </w:r>
          </w:p>
        </w:tc>
        <w:tc>
          <w:tcPr>
            <w:tcW w:type="dxa" w:w="1170"/>
            <w:shd w:fill="DDEBDD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Encoded features</w:t>
            </w:r>
          </w:p>
        </w:tc>
        <w:tc>
          <w:tcPr>
            <w:tcW w:type="dxa" w:w="1170"/>
            <w:shd w:fill="DDEBDD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14"/>
              </w:rPr>
              <w:t>Validation Macro-F1</w:t>
            </w:r>
          </w:p>
        </w:tc>
        <w:tc>
          <w:tcPr>
            <w:tcW w:type="dxa" w:w="1170"/>
            <w:shd w:fill="DDEBDD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Test Macro-F1</w:t>
            </w:r>
          </w:p>
        </w:tc>
        <w:tc>
          <w:tcPr>
            <w:tcW w:type="dxa" w:w="1170"/>
            <w:shd w:fill="DDEBDD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14"/>
              </w:rPr>
              <w:t>Test Balanced Acc.</w:t>
            </w:r>
          </w:p>
        </w:tc>
        <w:tc>
          <w:tcPr>
            <w:tcW w:type="dxa" w:w="1170"/>
            <w:shd w:fill="DDEBDD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Test Log-loss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Full feature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LightGBM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36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244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0.709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0.702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0.789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0.590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2.Academic + demographic-financial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LightGBM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24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54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0.702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0.698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0.785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0.621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3.Academic + parental education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LightGBM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18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144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0.665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0.670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0.765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0.642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4.Academic + macroeconomic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Random Forest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17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17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0.673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0.658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0.757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0.656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5.Academic + course-application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LightGBM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17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53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0.672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0.655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0.754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0.642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1.Academic only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Random Forest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14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14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0.665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0.653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0.752</w:t>
            </w:r>
          </w:p>
        </w:tc>
        <w:tc>
          <w:tcPr>
            <w:tcW w:type="dxa" w:w="117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0.664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/>
          <w:b/>
          <w:sz w:val="24"/>
        </w:rPr>
        <w:t xml:space="preserve">Interpretation: </w:t>
      </w:r>
      <w:r>
        <w:rPr>
          <w:rFonts w:ascii="Times New Roman" w:hAnsi="Times New Roman"/>
          <w:sz w:val="24"/>
        </w:rPr>
        <w:t>The full-feature LightGBM is best overall, but academic plus demographic/financial variables nearly match it. This shows that financial and student-profile variables add meaningful value after academic performance.</w:t>
      </w:r>
    </w:p>
    <w:p>
      <w:pPr>
        <w:spacing w:before="80" w:after="80"/>
      </w:pPr>
      <w:r>
        <w:rPr>
          <w:rFonts w:ascii="Times New Roman" w:hAnsi="Times New Roman"/>
          <w:b/>
          <w:color w:val="2F6F4E"/>
          <w:sz w:val="20"/>
        </w:rPr>
        <w:t>Figure 5. Best tuned ablation models by test Macro-F1.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529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ablation_test_macro_f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Times New Roman" w:hAnsi="Times New Roman"/>
          <w:b/>
          <w:sz w:val="24"/>
        </w:rPr>
        <w:t xml:space="preserve">Interpretation: </w:t>
      </w:r>
      <w:r>
        <w:rPr>
          <w:rFonts w:ascii="Times New Roman" w:hAnsi="Times New Roman"/>
          <w:sz w:val="24"/>
        </w:rPr>
        <w:t>Academic plus demographic/financial variables form the strongest ablation block and nearly recover full-model performance.</w:t>
      </w:r>
    </w:p>
    <w:p>
      <w:pPr>
        <w:pStyle w:val="Heading1"/>
      </w:pPr>
      <w:r>
        <w:t>4. Feature Importance and SHAP Interpretation</w:t>
      </w:r>
    </w:p>
    <w:p>
      <w:pPr>
        <w:spacing w:after="120" w:line="276" w:lineRule="auto"/>
      </w:pPr>
      <w:r>
        <w:rPr>
          <w:rFonts w:ascii="Times New Roman" w:hAnsi="Times New Roman"/>
          <w:sz w:val="24"/>
        </w:rPr>
        <w:t>Permutation importance and SHAP were used to explain why the models predict dropout. The dropout-class SHAP plots are the most useful for policy because they focus directly on dropout risk, not only overall multiclass prediction.</w:t>
      </w:r>
    </w:p>
    <w:p>
      <w:pPr>
        <w:spacing w:before="80" w:after="80"/>
      </w:pPr>
      <w:r>
        <w:rPr>
          <w:rFonts w:ascii="Times New Roman" w:hAnsi="Times New Roman"/>
          <w:b/>
          <w:color w:val="2F6F4E"/>
          <w:sz w:val="20"/>
        </w:rPr>
        <w:t>Table 5. Feature importance summary for selected tuned models.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DEBDD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Model setting</w:t>
            </w:r>
          </w:p>
        </w:tc>
        <w:tc>
          <w:tcPr>
            <w:tcW w:type="dxa" w:w="1872"/>
            <w:shd w:fill="DDEBDD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Model</w:t>
            </w:r>
          </w:p>
        </w:tc>
        <w:tc>
          <w:tcPr>
            <w:tcW w:type="dxa" w:w="1872"/>
            <w:shd w:fill="DDEBDD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Test Macro-F1</w:t>
            </w:r>
          </w:p>
        </w:tc>
        <w:tc>
          <w:tcPr>
            <w:tcW w:type="dxa" w:w="1872"/>
            <w:shd w:fill="DDEBDD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14"/>
              </w:rPr>
              <w:t>Top permutation feature</w:t>
            </w:r>
          </w:p>
        </w:tc>
        <w:tc>
          <w:tcPr>
            <w:tcW w:type="dxa" w:w="1872"/>
            <w:shd w:fill="DDEBDD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14"/>
              </w:rPr>
              <w:t>Top dropout SHAP feature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Stage A tuned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LightGBM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0.571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Tuition fees up to date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Tuition fees up to date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Stage B tuned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LightGBM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0.680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Curricular units 1st sem (approved)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Curricular units 1st sem (approved)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Stage C tuned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LightGBM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0.698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Curricular units 2nd sem (approved)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Curricular units 2nd sem (approved)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Full feature tuned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LightGBM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0.702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Curricular units 2nd sem (approved)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Curricular units 2nd sem (approved)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Academic + demographic-financial tuned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LightGBM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0.698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Curricular units 2nd sem (approved)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Curricular units 2nd sem (approved)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/>
          <w:b/>
          <w:sz w:val="24"/>
        </w:rPr>
        <w:t xml:space="preserve">Interpretation: </w:t>
      </w:r>
      <w:r>
        <w:rPr>
          <w:rFonts w:ascii="Times New Roman" w:hAnsi="Times New Roman"/>
          <w:sz w:val="24"/>
        </w:rPr>
        <w:t>Early risk is driven by tuition status; after semester data become available, approved curricular units dominate dropout risk.</w:t>
      </w:r>
    </w:p>
    <w:p>
      <w:pPr>
        <w:spacing w:before="80" w:after="80"/>
      </w:pPr>
      <w:r>
        <w:rPr>
          <w:rFonts w:ascii="Times New Roman" w:hAnsi="Times New Roman"/>
          <w:b/>
          <w:color w:val="2F6F4E"/>
          <w:sz w:val="20"/>
        </w:rPr>
        <w:t>Figure 6. Dropout-class SHAP summary for the full-feature model.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552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HAP_full_dropout_beeswa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55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Times New Roman" w:hAnsi="Times New Roman"/>
          <w:b/>
          <w:sz w:val="24"/>
        </w:rPr>
        <w:t xml:space="preserve">Interpretation: </w:t>
      </w:r>
      <w:r>
        <w:rPr>
          <w:rFonts w:ascii="Times New Roman" w:hAnsi="Times New Roman"/>
          <w:sz w:val="24"/>
        </w:rPr>
        <w:t>Low second-semester approved units and tuition not being up to date push predictions toward dropout. This connects predictive performance to actionable university signals.</w:t>
      </w:r>
    </w:p>
    <w:p>
      <w:pPr>
        <w:pStyle w:val="Heading1"/>
      </w:pPr>
      <w:r>
        <w:t>5. Risk Clustering</w:t>
      </w:r>
    </w:p>
    <w:p>
      <w:pPr>
        <w:spacing w:after="120" w:line="276" w:lineRule="auto"/>
      </w:pPr>
      <w:r>
        <w:rPr>
          <w:rFonts w:ascii="Times New Roman" w:hAnsi="Times New Roman"/>
          <w:sz w:val="24"/>
        </w:rPr>
        <w:t>Risk clustering converts predictions and key variables into practical intervention groups. The k=5 solution is used here because it is easier for universities to translate into action plans.</w:t>
      </w:r>
    </w:p>
    <w:p>
      <w:pPr>
        <w:spacing w:before="80" w:after="80"/>
      </w:pPr>
      <w:r>
        <w:rPr>
          <w:rFonts w:ascii="Times New Roman" w:hAnsi="Times New Roman"/>
          <w:b/>
          <w:color w:val="2F6F4E"/>
          <w:sz w:val="20"/>
        </w:rPr>
        <w:t>Table 6. Practical risk-cluster profiles.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DDEBDD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Risk cluster</w:t>
            </w:r>
          </w:p>
        </w:tc>
        <w:tc>
          <w:tcPr>
            <w:tcW w:type="dxa" w:w="1337"/>
            <w:shd w:fill="DDEBDD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n</w:t>
            </w:r>
          </w:p>
        </w:tc>
        <w:tc>
          <w:tcPr>
            <w:tcW w:type="dxa" w:w="1337"/>
            <w:shd w:fill="DDEBDD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Observed dropout</w:t>
            </w:r>
          </w:p>
        </w:tc>
        <w:tc>
          <w:tcPr>
            <w:tcW w:type="dxa" w:w="1337"/>
            <w:shd w:fill="DDEBDD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Predicted risk</w:t>
            </w:r>
          </w:p>
        </w:tc>
        <w:tc>
          <w:tcPr>
            <w:tcW w:type="dxa" w:w="1337"/>
            <w:shd w:fill="DDEBDD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Mean 2nd-sem approved</w:t>
            </w:r>
          </w:p>
        </w:tc>
        <w:tc>
          <w:tcPr>
            <w:tcW w:type="dxa" w:w="1337"/>
            <w:shd w:fill="DDEBDD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Unpaid tuition</w:t>
            </w:r>
          </w:p>
        </w:tc>
        <w:tc>
          <w:tcPr>
            <w:tcW w:type="dxa" w:w="1337"/>
            <w:shd w:fill="DDEBDD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Recommended action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Severe academic non-progression risk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720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81.5%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81.4%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0.030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29.3%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Mandatory academic advising and course-completion intervention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Financial-academic emergency risk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66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63.6%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63.8%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2.290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34.8%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Combine financial outreach with urgent academic completion support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Academic delay with financial vulnerability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1129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52.3%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46.1%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3.170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20.7%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Prioritize course-completion advising and payment-status monitoring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Older high-workload moderate risk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249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20.5%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22.1%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10.350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8.4%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Offer flexible scheduling and light-touch persistence monitoring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Low-risk academically stable group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2260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6.7%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8.2%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5.880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1.7%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Maintain light monitoring; use as reference profile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/>
          <w:b/>
          <w:sz w:val="24"/>
        </w:rPr>
        <w:t xml:space="preserve">Interpretation: </w:t>
      </w:r>
      <w:r>
        <w:rPr>
          <w:rFonts w:ascii="Times New Roman" w:hAnsi="Times New Roman"/>
          <w:sz w:val="24"/>
        </w:rPr>
        <w:t>The clusters separate severe academic non-progression, financial-academic emergency risk, academic delay with financial vulnerability, older high-workload students, and low-risk stable students.</w:t>
      </w:r>
    </w:p>
    <w:p>
      <w:pPr>
        <w:spacing w:before="80" w:after="80"/>
      </w:pPr>
      <w:r>
        <w:rPr>
          <w:rFonts w:ascii="Times New Roman" w:hAnsi="Times New Roman"/>
          <w:b/>
          <w:color w:val="2F6F4E"/>
          <w:sz w:val="20"/>
        </w:rPr>
        <w:t>Figure 7. Observed dropout rate by practical risk cluster.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4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risk_clusters_dropout_r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Times New Roman" w:hAnsi="Times New Roman"/>
          <w:b/>
          <w:sz w:val="24"/>
        </w:rPr>
        <w:t xml:space="preserve">Interpretation: </w:t>
      </w:r>
      <w:r>
        <w:rPr>
          <w:rFonts w:ascii="Times New Roman" w:hAnsi="Times New Roman"/>
          <w:sz w:val="24"/>
        </w:rPr>
        <w:t>The severe academic non-progression group has an 81.5% dropout rate, while the low-risk stable group has only 6.7%.</w:t>
      </w:r>
    </w:p>
    <w:p>
      <w:pPr>
        <w:pStyle w:val="Heading1"/>
      </w:pPr>
      <w:r>
        <w:t>6. Graph Analysis</w:t>
      </w:r>
    </w:p>
    <w:p>
      <w:pPr>
        <w:spacing w:after="120" w:line="276" w:lineRule="auto"/>
      </w:pPr>
      <w:r>
        <w:rPr>
          <w:rFonts w:ascii="Times New Roman" w:hAnsi="Times New Roman"/>
          <w:sz w:val="24"/>
        </w:rPr>
        <w:t>Graph analysis tests whether dropout risk forms connected communities. The student-risk graph connects similar students, while the course-risk graph connects courses with similar risk profiles.</w:t>
      </w:r>
    </w:p>
    <w:p>
      <w:pPr>
        <w:spacing w:before="80" w:after="80"/>
      </w:pPr>
      <w:r>
        <w:rPr>
          <w:rFonts w:ascii="Times New Roman" w:hAnsi="Times New Roman"/>
          <w:b/>
          <w:color w:val="2F6F4E"/>
          <w:sz w:val="20"/>
        </w:rPr>
        <w:t>Table 7. Highest student graph communities by dropout risk.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DDEBDD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Community</w:t>
            </w:r>
          </w:p>
        </w:tc>
        <w:tc>
          <w:tcPr>
            <w:tcW w:type="dxa" w:w="1337"/>
            <w:shd w:fill="DDEBDD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Label</w:t>
            </w:r>
          </w:p>
        </w:tc>
        <w:tc>
          <w:tcPr>
            <w:tcW w:type="dxa" w:w="1337"/>
            <w:shd w:fill="DDEBDD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n</w:t>
            </w:r>
          </w:p>
        </w:tc>
        <w:tc>
          <w:tcPr>
            <w:tcW w:type="dxa" w:w="1337"/>
            <w:shd w:fill="DDEBDD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Observed dropout</w:t>
            </w:r>
          </w:p>
        </w:tc>
        <w:tc>
          <w:tcPr>
            <w:tcW w:type="dxa" w:w="1337"/>
            <w:shd w:fill="DDEBDD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Predicted risk</w:t>
            </w:r>
          </w:p>
        </w:tc>
        <w:tc>
          <w:tcPr>
            <w:tcW w:type="dxa" w:w="1337"/>
            <w:shd w:fill="DDEBDD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Mean 2nd-sem approved</w:t>
            </w:r>
          </w:p>
        </w:tc>
        <w:tc>
          <w:tcPr>
            <w:tcW w:type="dxa" w:w="1337"/>
            <w:shd w:fill="DDEBDD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Unpaid tuition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Collapsed academic progression community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911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82.4%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81.2%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0.080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29.5%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Mixed-risk community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1280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29.8%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29.8%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6.320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17.4%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8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Mixed-risk community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37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29.7%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20.9%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3.650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2.7%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Mixed-risk community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1103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18.7%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16.6%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4.560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1.9%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5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Mixed-risk community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82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9.8%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12.8%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3.630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0.0%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7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Stable low-risk community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43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9.3%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12.0%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4.840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2.3%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/>
          <w:b/>
          <w:sz w:val="24"/>
        </w:rPr>
        <w:t xml:space="preserve">Interpretation: </w:t>
      </w:r>
      <w:r>
        <w:rPr>
          <w:rFonts w:ascii="Times New Roman" w:hAnsi="Times New Roman"/>
          <w:sz w:val="24"/>
        </w:rPr>
        <w:t>The graph identifies a collapsed academic progression community with very high dropout risk. This supports group-level intervention rather than only individual alerts.</w:t>
      </w:r>
    </w:p>
    <w:p>
      <w:pPr>
        <w:spacing w:before="80" w:after="80"/>
      </w:pPr>
      <w:r>
        <w:rPr>
          <w:rFonts w:ascii="Times New Roman" w:hAnsi="Times New Roman"/>
          <w:b/>
          <w:color w:val="2F6F4E"/>
          <w:sz w:val="20"/>
        </w:rPr>
        <w:t>Figure 8. Student-risk similarity graph projected into PCA space.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338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tudent_graph_pca_ris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338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Times New Roman" w:hAnsi="Times New Roman"/>
          <w:b/>
          <w:sz w:val="24"/>
        </w:rPr>
        <w:t xml:space="preserve">Interpretation: </w:t>
      </w:r>
      <w:r>
        <w:rPr>
          <w:rFonts w:ascii="Times New Roman" w:hAnsi="Times New Roman"/>
          <w:sz w:val="24"/>
        </w:rPr>
        <w:t>The plot shows a clear risk gradient, meaning similar students cluster by dropout risk profile.</w:t>
      </w:r>
    </w:p>
    <w:p>
      <w:pPr>
        <w:spacing w:before="80" w:after="80"/>
      </w:pPr>
      <w:r>
        <w:rPr>
          <w:rFonts w:ascii="Times New Roman" w:hAnsi="Times New Roman"/>
          <w:b/>
          <w:color w:val="2F6F4E"/>
          <w:sz w:val="20"/>
        </w:rPr>
        <w:t>Figure 9. Interpretable course-risk similarity graph.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7205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course_graph_interpretab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20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Times New Roman" w:hAnsi="Times New Roman"/>
          <w:b/>
          <w:sz w:val="24"/>
        </w:rPr>
        <w:t xml:space="preserve">Interpretation: </w:t>
      </w:r>
      <w:r>
        <w:rPr>
          <w:rFonts w:ascii="Times New Roman" w:hAnsi="Times New Roman"/>
          <w:sz w:val="24"/>
        </w:rPr>
        <w:t>The graph shows high-risk and low-risk course groups. Course-level monitoring can help universities identify programs needing broader support.</w:t>
      </w:r>
    </w:p>
    <w:p>
      <w:pPr>
        <w:spacing w:before="80" w:after="80"/>
      </w:pPr>
      <w:r>
        <w:rPr>
          <w:rFonts w:ascii="Times New Roman" w:hAnsi="Times New Roman"/>
          <w:b/>
          <w:color w:val="2F6F4E"/>
          <w:sz w:val="20"/>
        </w:rPr>
        <w:t>Table 8. Course-risk graph communities.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DDEBDD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Course community</w:t>
            </w:r>
          </w:p>
        </w:tc>
        <w:tc>
          <w:tcPr>
            <w:tcW w:type="dxa" w:w="1337"/>
            <w:shd w:fill="DDEBDD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Courses</w:t>
            </w:r>
          </w:p>
        </w:tc>
        <w:tc>
          <w:tcPr>
            <w:tcW w:type="dxa" w:w="1337"/>
            <w:shd w:fill="DDEBDD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Total students</w:t>
            </w:r>
          </w:p>
        </w:tc>
        <w:tc>
          <w:tcPr>
            <w:tcW w:type="dxa" w:w="1337"/>
            <w:shd w:fill="DDEBDD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Mean dropout</w:t>
            </w:r>
          </w:p>
        </w:tc>
        <w:tc>
          <w:tcPr>
            <w:tcW w:type="dxa" w:w="1337"/>
            <w:shd w:fill="DDEBDD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14"/>
              </w:rPr>
              <w:t>Mean predicted risk</w:t>
            </w:r>
          </w:p>
        </w:tc>
        <w:tc>
          <w:tcPr>
            <w:tcW w:type="dxa" w:w="1337"/>
            <w:shd w:fill="DDEBDD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14"/>
              </w:rPr>
              <w:t>Mean 2nd-sem approved</w:t>
            </w:r>
          </w:p>
        </w:tc>
        <w:tc>
          <w:tcPr>
            <w:tcW w:type="dxa" w:w="1337"/>
            <w:shd w:fill="DDEBDD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14"/>
              </w:rPr>
              <w:t>Mean unpaid tuition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33; 171; 8014; 9003; 9119; 9130; 9147; 9853; 9991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1803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46.5%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44.6%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3.590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16.9%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9070; 9085; 9238; 9254; 9500; 9556; 9670; 9773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2621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28.2%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27.2%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4.710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10.5%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/>
          <w:b/>
          <w:sz w:val="24"/>
        </w:rPr>
        <w:t xml:space="preserve">Interpretation: </w:t>
      </w:r>
      <w:r>
        <w:rPr>
          <w:rFonts w:ascii="Times New Roman" w:hAnsi="Times New Roman"/>
          <w:sz w:val="24"/>
        </w:rPr>
        <w:t>The high-risk course community has a much higher mean dropout rate than the lower-risk community.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6F4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6F4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6F4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