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F6F4E"/>
          <w:sz w:val="36"/>
        </w:rPr>
        <w:t>Methodology Section</w:t>
      </w:r>
    </w:p>
    <w:p>
      <w:pPr>
        <w:jc w:val="center"/>
      </w:pPr>
      <w:r>
        <w:rPr>
          <w:rFonts w:ascii="Times New Roman" w:hAnsi="Times New Roman"/>
          <w:i/>
          <w:sz w:val="24"/>
        </w:rPr>
        <w:t>Student dropout determinants and early-warning modeling</w:t>
      </w:r>
    </w:p>
    <w:p/>
    <w:p>
      <w:pPr>
        <w:pStyle w:val="Heading1"/>
      </w:pPr>
      <w:r>
        <w:t>1. Study Design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This study analyzes student dropout determinants using a structured machine-learning and interpretation pipeline. The aim is not only to predict dropout, but also to explain which factors matter and how universities can use the results for intervention planning.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analysis follows a staged early-warning design. This is important because universities need to know how early useful signals appear. Therefore, the same modeling framework was tested with pre-enrollment variables, then with first-semester information, and finally with second-semester information.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Figure 1. Overview of the analysis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14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ethodology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workflow moves from descriptive analysis to prediction, explanation, clustering, and graph-based intervention groups.</w:t>
      </w:r>
    </w:p>
    <w:p>
      <w:pPr>
        <w:pStyle w:val="Heading1"/>
      </w:pPr>
      <w:r>
        <w:t>2. Data Preparation and Targets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source data were kept unchanged. Column labels were cleaned in memory, a student identifier was added, and target variables were created for multiclass status and dropout-focused interpretation. Missing values and duplicate rows were checked before modeling.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1. Target distribution in the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Target</w:t>
            </w:r>
          </w:p>
        </w:tc>
        <w:tc>
          <w:tcPr>
            <w:tcW w:type="dxa" w:w="312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312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percent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Graduate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2209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0.499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Dropout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1421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0.321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Enrolled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0.179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dataset contains graduates, dropouts, and enrolled students. This supports multiclass modeling while keeping dropout as the main policy focus.</w:t>
      </w:r>
    </w:p>
    <w:p>
      <w:pPr>
        <w:pStyle w:val="Heading1"/>
      </w:pPr>
      <w:r>
        <w:t>3. Staged Feature Sets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Three timing-based feature sets were prepared. The same train, validation, and test split was used across all supervised models to make comparisons fair.</w:t>
      </w:r>
    </w:p>
    <w:p>
      <w:pPr>
        <w:spacing w:before="80" w:after="80"/>
      </w:pPr>
      <w:r>
        <w:rPr>
          <w:rFonts w:ascii="Times New Roman" w:hAnsi="Times New Roman"/>
          <w:b/>
          <w:color w:val="2F6F4E"/>
          <w:sz w:val="20"/>
        </w:rPr>
        <w:t>Table 2. Staged early-warning feature windows.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Stage</w:t>
            </w:r>
          </w:p>
        </w:tc>
        <w:tc>
          <w:tcPr>
            <w:tcW w:type="dxa" w:w="2340"/>
            <w:shd w:fill="DDEBDD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Information available</w:t>
            </w:r>
          </w:p>
        </w:tc>
        <w:tc>
          <w:tcPr>
            <w:tcW w:type="dxa" w:w="234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Main variables</w:t>
            </w:r>
          </w:p>
        </w:tc>
        <w:tc>
          <w:tcPr>
            <w:tcW w:type="dxa" w:w="2340"/>
            <w:shd w:fill="DDEBDD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Purpose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A. Pre-enrollment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Before or at enrollment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Admission, course, demographics, parental background, financial status, macro context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Earliest warning signal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B. First semester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Stage A + first-semester performance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First-semester enrolled, evaluated, approved units and grade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Early academic monitoring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C. Second semester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Stage B + second-semester performance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Second-semester enrolled, evaluated, approved units and grade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End-of-year risk assessment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sz w:val="24"/>
        </w:rPr>
        <w:t xml:space="preserve">Interpretation: </w:t>
      </w:r>
      <w:r>
        <w:rPr>
          <w:rFonts w:ascii="Times New Roman" w:hAnsi="Times New Roman"/>
          <w:sz w:val="24"/>
        </w:rPr>
        <w:t>The staged design answers the reviewer question: how early is early warning?</w:t>
      </w:r>
    </w:p>
    <w:p>
      <w:pPr>
        <w:pStyle w:val="Heading1"/>
      </w:pPr>
      <w:r>
        <w:t>4. Modeling Strategy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The modeling strategy used nonlinear classifiers including Decision Tree, Random Forest, XGBoost, LightGBM, CatBoost, RBF SVM, and Neural Network / MLP. The same encoded and scaled input representation was used for fair comparison. Encoding and scaling were fitted only on the training data and then applied to validation and test data.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Models were selected using validation Macro-F1 as the primary criterion. Balanced accuracy and log-loss were used as supporting metrics. Test results were used only after model selection to estimate final performance.</w:t>
      </w:r>
    </w:p>
    <w:p>
      <w:pPr>
        <w:pStyle w:val="Heading1"/>
      </w:pPr>
      <w:r>
        <w:t>5. Ablation, Explainability, Clustering, and Graph Analysis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Ablation analysis tested whether demographic, financial, parental, macroeconomic, and course/application variables add information after academic performance. This was important for identifying which variable blocks provide practical value.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Feature importance was estimated with permutation importance on the held-out test set. SHAP analysis was then used to explain global model behavior and dropout-class-specific drivers. Risk clustering and graph analysis used the whole dataset because their goal was descriptive segmentation and intervention design, not supervised accuracy estimation.</w:t>
      </w:r>
    </w:p>
    <w:p>
      <w:pPr>
        <w:pStyle w:val="Heading1"/>
      </w:pPr>
      <w:r>
        <w:t>6. Reporting Metrics</w:t>
      </w:r>
    </w:p>
    <w:p>
      <w:pPr>
        <w:pStyle w:val="ListBullet"/>
        <w:spacing w:after="60"/>
        <w:ind w:left="360" w:hanging="216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Macro-F1 was used because the target classes are not equally distributed and each class should contribute equally to model assessment.</w:t>
      </w:r>
    </w:p>
    <w:p>
      <w:pPr>
        <w:pStyle w:val="ListBullet"/>
        <w:spacing w:after="60"/>
        <w:ind w:left="360" w:hanging="216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Balanced accuracy was used to measure class-sensitive accuracy.</w:t>
      </w:r>
    </w:p>
    <w:p>
      <w:pPr>
        <w:pStyle w:val="ListBullet"/>
        <w:spacing w:after="60"/>
        <w:ind w:left="360" w:hanging="216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Log-loss was used to check probability quality, not only hard-class prediction.</w:t>
      </w:r>
    </w:p>
    <w:p>
      <w:pPr>
        <w:pStyle w:val="ListBullet"/>
        <w:spacing w:after="60"/>
        <w:ind w:left="360" w:hanging="216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Permutation importance and SHAP were used to connect model outputs to policy interpretation.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