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F6F4E"/>
          <w:sz w:val="36"/>
        </w:rPr>
        <w:t>Research Findings and Conclusion</w:t>
      </w:r>
    </w:p>
    <w:p>
      <w:pPr>
        <w:jc w:val="center"/>
      </w:pPr>
      <w:r>
        <w:rPr>
          <w:rFonts w:ascii="Times New Roman" w:hAnsi="Times New Roman"/>
          <w:i/>
          <w:sz w:val="24"/>
        </w:rPr>
        <w:t>One-page findings and one-page conclusion draft</w:t>
      </w:r>
    </w:p>
    <w:p/>
    <w:p>
      <w:pPr>
        <w:pStyle w:val="Heading1"/>
      </w:pPr>
      <w:r>
        <w:t>1. Research Findings</w:t>
      </w:r>
    </w:p>
    <w:p>
      <w:pPr>
        <w:spacing w:after="120" w:line="276" w:lineRule="auto"/>
      </w:pPr>
      <w:r>
        <w:rPr>
          <w:rFonts w:ascii="Times New Roman" w:hAnsi="Times New Roman"/>
          <w:sz w:val="24"/>
        </w:rPr>
        <w:t>The analysis shows that dropout is not driven by one isolated factor. The strongest pattern is the combination of academic progression and financial vulnerability. Students with very low approved curricular units, low semester grades, unpaid tuition, debtor status, and no scholarship are consistently at higher dropout risk.</w:t>
      </w:r>
    </w:p>
    <w:p>
      <w:pPr>
        <w:pStyle w:val="ListBullet"/>
        <w:spacing w:after="60"/>
        <w:ind w:left="360" w:hanging="216"/>
      </w:pPr>
      <w:r>
        <w:rPr>
          <w:rFonts w:ascii="Times New Roman" w:hAnsi="Times New Roman"/>
          <w:sz w:val="24"/>
        </w:rPr>
      </w:r>
      <w:r>
        <w:rPr>
          <w:rFonts w:ascii="Times New Roman" w:hAnsi="Times New Roman"/>
          <w:sz w:val="24"/>
        </w:rPr>
        <w:t>Early warning is possible before enrollment, but performance improves strongly after first-semester and second-semester academic information is added.</w:t>
      </w:r>
    </w:p>
    <w:p>
      <w:pPr>
        <w:pStyle w:val="ListBullet"/>
        <w:spacing w:after="60"/>
        <w:ind w:left="360" w:hanging="216"/>
      </w:pPr>
      <w:r>
        <w:rPr>
          <w:rFonts w:ascii="Times New Roman" w:hAnsi="Times New Roman"/>
          <w:sz w:val="24"/>
        </w:rPr>
      </w:r>
      <w:r>
        <w:rPr>
          <w:rFonts w:ascii="Times New Roman" w:hAnsi="Times New Roman"/>
          <w:sz w:val="24"/>
        </w:rPr>
        <w:t>The best full-feature model was LightGBM, but the academic plus demographic/financial ablation model nearly matched it. This means universities can obtain most predictive value from a smaller and more actionable variable set.</w:t>
      </w:r>
    </w:p>
    <w:p>
      <w:pPr>
        <w:pStyle w:val="ListBullet"/>
        <w:spacing w:after="60"/>
        <w:ind w:left="360" w:hanging="216"/>
      </w:pPr>
      <w:r>
        <w:rPr>
          <w:rFonts w:ascii="Times New Roman" w:hAnsi="Times New Roman"/>
          <w:sz w:val="24"/>
        </w:rPr>
      </w:r>
      <w:r>
        <w:rPr>
          <w:rFonts w:ascii="Times New Roman" w:hAnsi="Times New Roman"/>
          <w:sz w:val="24"/>
        </w:rPr>
        <w:t>SHAP confirmed that approved curricular units, semester grades, tuition status, and age are repeated dropout-risk drivers.</w:t>
      </w:r>
    </w:p>
    <w:p>
      <w:pPr>
        <w:pStyle w:val="ListBullet"/>
        <w:spacing w:after="60"/>
        <w:ind w:left="360" w:hanging="216"/>
      </w:pPr>
      <w:r>
        <w:rPr>
          <w:rFonts w:ascii="Times New Roman" w:hAnsi="Times New Roman"/>
          <w:sz w:val="24"/>
        </w:rPr>
      </w:r>
      <w:r>
        <w:rPr>
          <w:rFonts w:ascii="Times New Roman" w:hAnsi="Times New Roman"/>
          <w:sz w:val="24"/>
        </w:rPr>
        <w:t>Risk clustering produced practical intervention groups, including severe academic non-progression, financial-academic emergency, academic delay with financial vulnerability, older high-workload moderate risk, and low-risk stable students.</w:t>
      </w:r>
    </w:p>
    <w:p>
      <w:pPr>
        <w:pStyle w:val="ListBullet"/>
        <w:spacing w:after="60"/>
        <w:ind w:left="360" w:hanging="216"/>
      </w:pPr>
      <w:r>
        <w:rPr>
          <w:rFonts w:ascii="Times New Roman" w:hAnsi="Times New Roman"/>
          <w:sz w:val="24"/>
        </w:rPr>
      </w:r>
      <w:r>
        <w:rPr>
          <w:rFonts w:ascii="Times New Roman" w:hAnsi="Times New Roman"/>
          <w:sz w:val="24"/>
        </w:rPr>
        <w:t>Graph analysis showed that dropout risk forms connected student communities and course-level risk groups, supporting group-level intervention design.</w:t>
      </w:r>
    </w:p>
    <w:p>
      <w:r>
        <w:br w:type="page"/>
      </w:r>
    </w:p>
    <w:p>
      <w:pPr>
        <w:pStyle w:val="Heading1"/>
      </w:pPr>
      <w:r>
        <w:t>2. Conclusion</w:t>
      </w:r>
    </w:p>
    <w:p>
      <w:pPr>
        <w:spacing w:after="120" w:line="276" w:lineRule="auto"/>
      </w:pPr>
      <w:r>
        <w:rPr>
          <w:rFonts w:ascii="Times New Roman" w:hAnsi="Times New Roman"/>
          <w:sz w:val="24"/>
        </w:rPr>
        <w:t>This study provides an interpretable and practical dropout-risk framework for universities. The results show that predictive models are useful, but their value increases when they are combined with explainability, ablation analysis, clustering, and graph-based community detection.</w:t>
      </w:r>
    </w:p>
    <w:p>
      <w:pPr>
        <w:spacing w:after="120" w:line="276" w:lineRule="auto"/>
      </w:pPr>
      <w:r>
        <w:rPr>
          <w:rFonts w:ascii="Times New Roman" w:hAnsi="Times New Roman"/>
          <w:sz w:val="24"/>
        </w:rPr>
        <w:t>The most important conclusion is that academic progression is the strongest determinant of dropout, especially approved curricular units and semester grades. Financial factors such as tuition payment status, debtor status, and scholarship status add important practical information. These findings suggest that universities should not wait until final dropout decisions occur. They can monitor early academic progress and financial stress signals to identify students who need support.</w:t>
      </w:r>
    </w:p>
    <w:p>
      <w:pPr>
        <w:spacing w:after="120" w:line="276" w:lineRule="auto"/>
      </w:pPr>
      <w:r>
        <w:rPr>
          <w:rFonts w:ascii="Times New Roman" w:hAnsi="Times New Roman"/>
          <w:sz w:val="24"/>
        </w:rPr>
        <w:t>The study also shows that a smaller academic plus demographic/financial model nearly matches the full-feature model. This is important for implementation because universities may prefer simpler systems that use variables they can understand and act upon. Risk clusters and graph communities further translate model outputs into intervention groups, making the approach useful for decision-making rather than only prediction.</w:t>
      </w:r>
    </w:p>
    <w:p>
      <w:pPr>
        <w:spacing w:after="120" w:line="276" w:lineRule="auto"/>
      </w:pPr>
      <w:r>
        <w:rPr>
          <w:rFonts w:ascii="Times New Roman" w:hAnsi="Times New Roman"/>
          <w:sz w:val="24"/>
        </w:rPr>
        <w:t>Overall, the framework supports a Q1-level contribution because it combines staged early-warning modeling, full-feature benchmarking, variable-block ablation, SHAP explainability, risk clustering, and graph analysis in one coherent dropout-determinant 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F6F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6F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6F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