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F6F4E"/>
          <w:sz w:val="36"/>
        </w:rPr>
        <w:t>Q1-Level Research Questions and How They Were Addressed</w:t>
      </w:r>
    </w:p>
    <w:p>
      <w:pPr>
        <w:jc w:val="center"/>
      </w:pPr>
      <w:r>
        <w:rPr>
          <w:rFonts w:ascii="Times New Roman" w:hAnsi="Times New Roman"/>
          <w:i/>
          <w:sz w:val="24"/>
        </w:rPr>
        <w:t>Student dropout determinants study</w:t>
      </w:r>
    </w:p>
    <w:p/>
    <w:p>
      <w:pPr>
        <w:pStyle w:val="Heading1"/>
      </w:pPr>
      <w:r>
        <w:t>RQ1. How early can student dropout risk be predicted with useful accuracy?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was addressed using staged early-warning models. Stage A used pre-enrollment variables, Stage B added first-semester performance, and Stage C added second-semester performance. The results showed that prediction improves over time, with Stage C approaching full-feature performance.</w:t>
      </w:r>
    </w:p>
    <w:p>
      <w:pPr>
        <w:pStyle w:val="Heading1"/>
      </w:pPr>
      <w:r>
        <w:t>RQ2. Which variable blocks add the most predictive value after academic performance?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was addressed through ablation analysis. Academic-only models were compared with academic plus demographic/financial, parental education, macroeconomic, and course/application variables. Academic plus demographic/financial variables provided the strongest added value.</w:t>
      </w:r>
    </w:p>
    <w:p>
      <w:pPr>
        <w:pStyle w:val="Heading1"/>
      </w:pPr>
      <w:r>
        <w:t>RQ3. What are the most important interpretable determinants of dropout risk?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was addressed with permutation importance and class-specific SHAP analysis. The most repeated determinants were approved curricular units, semester grades, tuition fees up to date, age at enrollment, and related academic/financial indicators.</w:t>
      </w:r>
    </w:p>
    <w:p>
      <w:pPr>
        <w:pStyle w:val="Heading1"/>
      </w:pPr>
      <w:r>
        <w:t>RQ4. Can predictive dropout models be translated into practical student intervention groups?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was addressed using risk clustering. The analysis identified groups such as severe academic non-progression, financial-academic emergency risk, academic delay with financial vulnerability, older high-workload moderate risk, and low-risk stable students.</w:t>
      </w:r>
    </w:p>
    <w:p>
      <w:pPr>
        <w:pStyle w:val="Heading1"/>
      </w:pPr>
      <w:r>
        <w:t>RQ5. Do dropout risks form connected student and course communities?</w:t>
      </w:r>
    </w:p>
    <w:p>
      <w:pPr>
        <w:spacing w:after="120" w:line="276" w:lineRule="auto"/>
      </w:pPr>
      <w:r>
        <w:rPr>
          <w:rFonts w:ascii="Times New Roman" w:hAnsi="Times New Roman"/>
          <w:sz w:val="24"/>
        </w:rPr>
        <w:t>This was addressed through graph analysis. The student-risk similarity graph found 10 communities with strong modularity, including a collapsed academic progression community with very high dropout. The course-risk graph also identified higher-risk and lower-risk course communities.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