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0" w:before="0" w:line="240" w:lineRule="auto"/>
        <w:rPr>
          <w:sz w:val="22"/>
          <w:szCs w:val="22"/>
        </w:rPr>
      </w:pPr>
      <w:r w:rsidDel="00000000" w:rsidR="00000000" w:rsidRPr="00000000">
        <w:rPr>
          <w:sz w:val="22"/>
          <w:szCs w:val="22"/>
          <w:rtl w:val="0"/>
        </w:rPr>
        <w:t xml:space="preserve">Re: [PROJECT NAME]</w:t>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Our understanding of [CLIENT]’s context</w:t>
      </w:r>
    </w:p>
    <w:p w:rsidR="00000000" w:rsidDel="00000000" w:rsidP="00000000" w:rsidRDefault="00000000" w:rsidRPr="00000000" w14:paraId="00000007">
      <w:pPr>
        <w:spacing w:after="0" w:before="0" w:line="240" w:lineRule="auto"/>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wants organisation-wide PO compliance and is mid-implementation of a PO before invoice process in HQ.</w:t>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is rolling out [TOOL] to manage PO creation and invoice matching. </w:t>
      </w:r>
    </w:p>
    <w:p w:rsidR="00000000" w:rsidDel="00000000" w:rsidP="00000000" w:rsidRDefault="00000000" w:rsidRPr="00000000" w14:paraId="0000000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has been live since [DATE] for ops teams already using POs.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targets [DATE] for all remaining departments, but inefficiencies in the new process are putting the timeline at risk.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While temporary staff have cleared the backlog, the permanent team can still only match and pay [METRIC] of the [VOLUME] invoices received daily.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Non-ops teams are raising POs for the first time and making errors</w:t>
      </w:r>
    </w:p>
    <w:p w:rsidR="00000000" w:rsidDel="00000000" w:rsidP="00000000" w:rsidRDefault="00000000" w:rsidRPr="00000000" w14:paraId="0000000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isn’t extracting all invoice details or auto-matching POs reliably</w:t>
      </w:r>
    </w:p>
    <w:p w:rsidR="00000000" w:rsidDel="00000000" w:rsidP="00000000" w:rsidRDefault="00000000" w:rsidRPr="00000000" w14:paraId="0000000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currently no central dashboard containing outstanding invoices, mismatches, or overdue payables, making it difficult to understand the issues and opportunities for improvement</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Without visibility into the end-to-end process and its performance, it’s hard to diagnose bottlenecks or measure improvement.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12">
      <w:pPr>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Objectives</w:t>
      </w:r>
    </w:p>
    <w:p w:rsidR="00000000" w:rsidDel="00000000" w:rsidP="00000000" w:rsidRDefault="00000000" w:rsidRPr="00000000" w14:paraId="00000013">
      <w:pPr>
        <w:spacing w:after="0" w:before="0" w:line="240" w:lineRule="auto"/>
        <w:rPr>
          <w:b w:val="1"/>
          <w:bCs w:val="1"/>
        </w:rPr>
      </w:pP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Fonts w:ascii="Arial" w:cs="Arial" w:eastAsia="Arial" w:hAnsi="Arial"/>
          <w:sz w:val="22"/>
          <w:szCs w:val="22"/>
          <w:rtl w:val="0"/>
        </w:rPr>
        <w:t xml:space="preserve">[CLIENT] would like to improve the purchase-to-pay process by getting a full issue understanding, process visibility, and improved PO compliance. The team want to:</w:t>
      </w: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Establish a live view of AP performance and issues: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dashboard(s) that help to track invoice matching performance, team level PO compliance, and any backlog so that it can be actively managed until clear.</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Improve understanding of AP process issues and desired end state: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workshops, interviews, and analysis, map the current process to identify and prioritise key issues and bottlenecks. Set process performance targets so AP can scale activity and reduce the need for manual intervention through smarter system configuration and automation.</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Improve PO process efficiency and invoice match rate: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the rate of POs with incorrect details, or raised retroactively, through targeted training, process improvement, and automation. This could include tuning [TOOL] performance to increase automatic match rate, while also looking at customisations alongside [TOOL] to improve data quality, flow, and throughput.</w:t>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Proposal</w:t>
      </w:r>
    </w:p>
    <w:p w:rsidR="00000000" w:rsidDel="00000000" w:rsidP="00000000" w:rsidRDefault="00000000" w:rsidRPr="00000000" w14:paraId="0000001B">
      <w:pPr>
        <w:spacing w:after="0" w:before="0" w:line="240" w:lineRule="auto"/>
        <w:rPr>
          <w:b w:val="1"/>
          <w:bCs w:val="1"/>
        </w:rPr>
      </w:pPr>
      <w:r w:rsidDel="00000000" w:rsidR="00000000" w:rsidRPr="00000000">
        <w:rPr>
          <w:rtl w:val="0"/>
        </w:rPr>
      </w:r>
    </w:p>
    <w:p w:rsidR="00000000" w:rsidDel="00000000" w:rsidP="00000000" w:rsidRDefault="00000000" w:rsidRPr="00000000" w14:paraId="0000001C">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propose to understand root causes of issues, take control of the backlog, and then implement process improvements with automation and product &amp; training improvements for handover.</w:t>
      </w:r>
    </w:p>
    <w:p w:rsidR="00000000" w:rsidDel="00000000" w:rsidP="00000000" w:rsidRDefault="00000000" w:rsidRPr="00000000" w14:paraId="0000001D">
      <w:pPr>
        <w:spacing w:after="0" w:before="0" w:line="24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9"/>
        <w:gridCol w:w="6017"/>
        <w:tblGridChange w:id="0">
          <w:tblGrid>
            <w:gridCol w:w="3009"/>
            <w:gridCol w:w="601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e50" w:val="clear"/>
            <w:tcMar>
              <w:top w:w="40.0" w:type="dxa"/>
              <w:left w:w="80.0" w:type="dxa"/>
              <w:bottom w:w="40.0" w:type="dxa"/>
              <w:right w:w="80.0" w:type="dxa"/>
            </w:tcMar>
          </w:tcPr>
          <w:p w:rsidR="00000000" w:rsidDel="00000000" w:rsidP="00000000" w:rsidRDefault="00000000" w:rsidRPr="00000000" w14:paraId="0000001E">
            <w:pPr>
              <w:spacing w:after="0" w:before="0" w:line="240" w:lineRule="auto"/>
              <w:rPr/>
            </w:pPr>
            <w:r w:rsidDel="00000000" w:rsidR="00000000" w:rsidRPr="00000000">
              <w:rPr>
                <w:rFonts w:ascii="Arial" w:cs="Arial" w:eastAsia="Arial" w:hAnsi="Arial"/>
                <w:b w:val="1"/>
                <w:bCs w:val="1"/>
                <w:color w:val="ffffff"/>
                <w:sz w:val="20"/>
                <w:szCs w:val="20"/>
                <w:rtl w:val="0"/>
              </w:rPr>
              <w:t xml:space="preserve">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e50" w:val="clear"/>
            <w:tcMar>
              <w:top w:w="40.0" w:type="dxa"/>
              <w:left w:w="80.0" w:type="dxa"/>
              <w:bottom w:w="40.0" w:type="dxa"/>
              <w:right w:w="80.0" w:type="dxa"/>
            </w:tcMar>
          </w:tcPr>
          <w:p w:rsidR="00000000" w:rsidDel="00000000" w:rsidP="00000000" w:rsidRDefault="00000000" w:rsidRPr="00000000" w14:paraId="0000001F">
            <w:pPr>
              <w:spacing w:after="0" w:before="0" w:line="240" w:lineRule="auto"/>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0">
            <w:pPr>
              <w:spacing w:after="0" w:before="0" w:line="240" w:lineRule="auto"/>
              <w:rPr/>
            </w:pPr>
            <w:r w:rsidDel="00000000" w:rsidR="00000000" w:rsidRPr="00000000">
              <w:rPr>
                <w:sz w:val="20"/>
                <w:szCs w:val="20"/>
                <w:u w:val="single"/>
                <w:rtl w:val="0"/>
              </w:rPr>
              <w:t xml:space="preserve">Phase 1 focus area</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Establish live view of AP performance and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1">
            <w:pPr>
              <w:spacing w:after="0" w:before="0" w:line="240" w:lineRule="auto"/>
              <w:rPr/>
            </w:pPr>
            <w:r w:rsidDel="00000000" w:rsidR="00000000" w:rsidRPr="00000000">
              <w:rPr>
                <w:rFonts w:ascii="Arial" w:cs="Arial" w:eastAsia="Arial" w:hAnsi="Arial"/>
                <w:sz w:val="20"/>
                <w:szCs w:val="20"/>
                <w:rtl w:val="0"/>
              </w:rPr>
              <w:t xml:space="preserve">Target KPIs: Develop KPIs and benchmarks for desired process performance</w:t>
            </w: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Fonts w:ascii="Arial" w:cs="Arial" w:eastAsia="Arial" w:hAnsi="Arial"/>
                <w:sz w:val="20"/>
                <w:szCs w:val="20"/>
                <w:rtl w:val="0"/>
              </w:rPr>
              <w:t xml:space="preserve">Dashboard of AP performance to help enforce process and track progress against benchmarks and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3">
            <w:pPr>
              <w:spacing w:after="0" w:before="0" w:line="240" w:lineRule="auto"/>
              <w:rPr/>
            </w:pPr>
            <w:r w:rsidDel="00000000" w:rsidR="00000000" w:rsidRPr="00000000">
              <w:rPr>
                <w:rFonts w:ascii="Arial" w:cs="Arial" w:eastAsia="Arial" w:hAnsi="Arial"/>
                <w:sz w:val="20"/>
                <w:szCs w:val="20"/>
                <w:rtl w:val="0"/>
              </w:rPr>
              <w:t xml:space="preserve">Map workflow to understand AP process failures and desired end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sz w:val="20"/>
                <w:szCs w:val="20"/>
                <w:rtl w:val="0"/>
              </w:rPr>
              <w:t xml:space="preserve">Issue identification: Map workflow and prioritise process, tool and people issues</w:t>
            </w: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Fonts w:ascii="Arial" w:cs="Arial" w:eastAsia="Arial" w:hAnsi="Arial"/>
                <w:sz w:val="20"/>
                <w:szCs w:val="20"/>
                <w:rtl w:val="0"/>
              </w:rPr>
              <w:t xml:space="preserve">Resourcing plan – view of effort required to achieve target KPIs after efficiency measures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sz w:val="20"/>
                <w:szCs w:val="20"/>
                <w:rtl w:val="0"/>
              </w:rPr>
              <w:t xml:space="preserve">Improve PO compliance and invoice match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sz w:val="20"/>
                <w:szCs w:val="20"/>
                <w:rtl w:val="0"/>
              </w:rPr>
              <w:t xml:space="preserve">[TOOL] AI tuning – refine system prompt to improve invoice processing accuracy and automatic match rate</w:t>
            </w: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Fonts w:ascii="Arial" w:cs="Arial" w:eastAsia="Arial" w:hAnsi="Arial"/>
                <w:sz w:val="20"/>
                <w:szCs w:val="20"/>
                <w:rtl w:val="0"/>
              </w:rPr>
              <w:t xml:space="preserve">Production of training materials and enforcement methods based on process failure mapping to help process adoption</w:t>
            </w:r>
            <w:r w:rsidDel="00000000" w:rsidR="00000000" w:rsidRPr="00000000">
              <w:rPr>
                <w:rtl w:val="0"/>
              </w:rPr>
            </w:r>
          </w:p>
        </w:tc>
      </w:tr>
    </w:tbl>
    <w:p w:rsidR="00000000" w:rsidDel="00000000" w:rsidP="00000000" w:rsidRDefault="00000000" w:rsidRPr="00000000" w14:paraId="00000029">
      <w:pPr>
        <w:spacing w:after="0" w:before="0" w:line="240" w:lineRule="auto"/>
        <w:rPr>
          <w:b w:val="1"/>
          <w:bCs w:val="1"/>
        </w:rPr>
      </w:pPr>
      <w:r w:rsidDel="00000000" w:rsidR="00000000" w:rsidRPr="00000000">
        <w:rPr>
          <w:rtl w:val="0"/>
        </w:rPr>
      </w:r>
    </w:p>
    <w:p w:rsidR="00000000" w:rsidDel="00000000" w:rsidP="00000000" w:rsidRDefault="00000000" w:rsidRPr="00000000" w14:paraId="0000002A">
      <w:pPr>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Deliverables</w:t>
      </w:r>
    </w:p>
    <w:p w:rsidR="00000000" w:rsidDel="00000000" w:rsidP="00000000" w:rsidRDefault="00000000" w:rsidRPr="00000000" w14:paraId="0000002B">
      <w:pPr>
        <w:spacing w:after="0" w:before="0" w:line="240" w:lineRule="auto"/>
        <w:rPr>
          <w:b w:val="1"/>
          <w:bCs w:val="1"/>
        </w:rPr>
      </w:pPr>
      <w:r w:rsidDel="00000000" w:rsidR="00000000" w:rsidRPr="00000000">
        <w:rPr>
          <w:rtl w:val="0"/>
        </w:rPr>
      </w:r>
    </w:p>
    <w:p w:rsidR="00000000" w:rsidDel="00000000" w:rsidP="00000000" w:rsidRDefault="00000000" w:rsidRPr="00000000" w14:paraId="0000002C">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result of the full</w:t>
      </w:r>
      <w:r w:rsidDel="00000000" w:rsidR="00000000" w:rsidRPr="00000000">
        <w:rPr>
          <w:rtl w:val="0"/>
        </w:rPr>
        <w:t xml:space="preserve"> </w:t>
      </w:r>
      <w:r w:rsidDel="00000000" w:rsidR="00000000" w:rsidRPr="00000000">
        <w:rPr>
          <w:rFonts w:ascii="Arial" w:cs="Arial" w:eastAsia="Arial" w:hAnsi="Arial"/>
          <w:sz w:val="22"/>
          <w:szCs w:val="22"/>
          <w:rtl w:val="0"/>
        </w:rPr>
        <w:t xml:space="preserve">engagement will be a mapped workflow, identification and prioritisation of issues, as well as an implementation plan.</w:t>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u w:val="single"/>
        </w:rPr>
      </w:pPr>
      <w:r w:rsidDel="00000000" w:rsidR="00000000" w:rsidRPr="00000000">
        <w:rPr>
          <w:u w:val="single"/>
          <w:rtl w:val="0"/>
        </w:rPr>
        <w:t xml:space="preserve">Phase 1 focus area: </w:t>
      </w:r>
      <w:r w:rsidDel="00000000" w:rsidR="00000000" w:rsidRPr="00000000">
        <w:rPr>
          <w:sz w:val="22"/>
          <w:szCs w:val="22"/>
          <w:u w:val="single"/>
          <w:rtl w:val="0"/>
        </w:rPr>
        <w:t xml:space="preserve">Live backlog and plan </w:t>
      </w:r>
      <w:r w:rsidDel="00000000" w:rsidR="00000000" w:rsidRPr="00000000">
        <w:rPr>
          <w:u w:val="single"/>
          <w:rtl w:val="0"/>
        </w:rPr>
        <w:t xml:space="preserve">-</w:t>
      </w:r>
      <w:r w:rsidDel="00000000" w:rsidR="00000000" w:rsidRPr="00000000">
        <w:rPr>
          <w:sz w:val="22"/>
          <w:szCs w:val="22"/>
          <w:u w:val="single"/>
          <w:rtl w:val="0"/>
        </w:rPr>
        <w:t xml:space="preserve"> Prioritised issues and implementation options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set up to help to monitor overall flow against targets and SLA KPIs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focus KPIs and agree targets for performance</w:t>
      </w:r>
    </w:p>
    <w:p w:rsidR="00000000" w:rsidDel="00000000" w:rsidP="00000000" w:rsidRDefault="00000000" w:rsidRPr="00000000" w14:paraId="00000031">
      <w:pPr>
        <w:spacing w:after="0" w:before="0" w:line="240" w:lineRule="auto"/>
        <w:rPr>
          <w:u w:val="single"/>
        </w:rPr>
      </w:pPr>
      <w:r w:rsidDel="00000000" w:rsidR="00000000" w:rsidRPr="00000000">
        <w:rPr>
          <w:rtl w:val="0"/>
        </w:rPr>
      </w:r>
    </w:p>
    <w:p w:rsidR="00000000" w:rsidDel="00000000" w:rsidP="00000000" w:rsidRDefault="00000000" w:rsidRPr="00000000" w14:paraId="00000032">
      <w:pPr>
        <w:spacing w:after="0" w:before="0" w:line="240" w:lineRule="auto"/>
        <w:rPr>
          <w:u w:val="single"/>
        </w:rPr>
      </w:pPr>
      <w:r w:rsidDel="00000000" w:rsidR="00000000" w:rsidRPr="00000000">
        <w:rPr>
          <w:sz w:val="22"/>
          <w:szCs w:val="22"/>
          <w:u w:val="single"/>
          <w:rtl w:val="0"/>
        </w:rPr>
        <w:t xml:space="preserve">Map workflow </w:t>
      </w:r>
      <w:r w:rsidDel="00000000" w:rsidR="00000000" w:rsidRPr="00000000">
        <w:rPr>
          <w:u w:val="single"/>
          <w:rtl w:val="0"/>
        </w:rPr>
        <w:t xml:space="preserve">-</w:t>
      </w:r>
      <w:r w:rsidDel="00000000" w:rsidR="00000000" w:rsidRPr="00000000">
        <w:rPr>
          <w:sz w:val="22"/>
          <w:szCs w:val="22"/>
          <w:u w:val="single"/>
          <w:rtl w:val="0"/>
        </w:rPr>
        <w:t xml:space="preserve"> Target workflow fully mapped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map of the purchase-to-pay process (people, process, tools)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and potential areas for improvement found to show where problems originate</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resourcing plan to achieve performance targets</w:t>
      </w:r>
    </w:p>
    <w:p w:rsidR="00000000" w:rsidDel="00000000" w:rsidP="00000000" w:rsidRDefault="00000000" w:rsidRPr="00000000" w14:paraId="00000036">
      <w:pPr>
        <w:spacing w:after="0" w:before="0" w:line="240" w:lineRule="auto"/>
        <w:rPr>
          <w:b w:val="1"/>
          <w:bCs w:val="1"/>
        </w:rPr>
      </w:pPr>
      <w:r w:rsidDel="00000000" w:rsidR="00000000" w:rsidRPr="00000000">
        <w:rPr>
          <w:rtl w:val="0"/>
        </w:rPr>
      </w:r>
    </w:p>
    <w:p w:rsidR="00000000" w:rsidDel="00000000" w:rsidP="00000000" w:rsidRDefault="00000000" w:rsidRPr="00000000" w14:paraId="00000037">
      <w:pPr>
        <w:spacing w:after="0" w:before="0" w:line="240" w:lineRule="auto"/>
        <w:rPr>
          <w:u w:val="single"/>
        </w:rPr>
      </w:pPr>
      <w:r w:rsidDel="00000000" w:rsidR="00000000" w:rsidRPr="00000000">
        <w:rPr>
          <w:sz w:val="22"/>
          <w:szCs w:val="22"/>
          <w:u w:val="single"/>
          <w:rtl w:val="0"/>
        </w:rPr>
        <w:t xml:space="preserve">Improve process </w:t>
      </w:r>
      <w:r w:rsidDel="00000000" w:rsidR="00000000" w:rsidRPr="00000000">
        <w:rPr>
          <w:u w:val="single"/>
          <w:rtl w:val="0"/>
        </w:rPr>
        <w:t xml:space="preserve">-</w:t>
      </w:r>
      <w:r w:rsidDel="00000000" w:rsidR="00000000" w:rsidRPr="00000000">
        <w:rPr>
          <w:sz w:val="22"/>
          <w:szCs w:val="22"/>
          <w:u w:val="single"/>
          <w:rtl w:val="0"/>
        </w:rPr>
        <w:t xml:space="preserve"> Workflow improvements and automation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optimisation to improve existing performance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and rollout of PO process to other departments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Hands-on process improvement and automation to help stay on top of backlog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3C">
      <w:pPr>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Phase 1 Workplan</w:t>
      </w:r>
    </w:p>
    <w:p w:rsidR="00000000" w:rsidDel="00000000" w:rsidP="00000000" w:rsidRDefault="00000000" w:rsidRPr="00000000" w14:paraId="0000003D">
      <w:pPr>
        <w:spacing w:after="0" w:before="0" w:line="240" w:lineRule="auto"/>
        <w:rPr>
          <w:b w:val="1"/>
          <w:bCs w:val="1"/>
        </w:rPr>
      </w:pP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sz w:val="22"/>
          <w:szCs w:val="22"/>
          <w:rtl w:val="0"/>
        </w:rPr>
        <w:t xml:space="preserve">Quantify AP performance and deliver a live dashboard for process visibility.</w:t>
      </w:r>
      <w:r w:rsidDel="00000000" w:rsidR="00000000" w:rsidRPr="00000000">
        <w:rPr>
          <w:rtl w:val="0"/>
        </w:rPr>
      </w:r>
    </w:p>
    <w:p w:rsidR="00000000" w:rsidDel="00000000" w:rsidP="00000000" w:rsidRDefault="00000000" w:rsidRPr="00000000" w14:paraId="0000003F">
      <w:pPr>
        <w:spacing w:after="0" w:before="0" w:line="240" w:lineRule="auto"/>
        <w:rPr>
          <w:b w:val="1"/>
          <w:bCs w:val="1"/>
        </w:rPr>
      </w:pPr>
      <w:r w:rsidDel="00000000" w:rsidR="00000000" w:rsidRPr="00000000">
        <w:rPr>
          <w:rtl w:val="0"/>
        </w:rPr>
      </w:r>
    </w:p>
    <w:p w:rsidR="00000000" w:rsidDel="00000000" w:rsidP="00000000" w:rsidRDefault="00000000" w:rsidRPr="00000000" w14:paraId="00000040">
      <w:pPr>
        <w:spacing w:after="0" w:before="0" w:line="240" w:lineRule="auto"/>
        <w:rPr>
          <w:u w:val="single"/>
        </w:rPr>
      </w:pPr>
      <w:r w:rsidDel="00000000" w:rsidR="00000000" w:rsidRPr="00000000">
        <w:rPr>
          <w:sz w:val="22"/>
          <w:szCs w:val="22"/>
          <w:u w:val="single"/>
          <w:rtl w:val="0"/>
        </w:rPr>
        <w:t xml:space="preserve">Part A – Start [DATE]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KPIs for desired process performance</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source and calculation for each KPI (e.g. [PAYMENT TOOL], [TOOL], [ERP]) and map to desired location in data warehouse</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dashboard requirements for AP operations (live processing view), business requestors (self-service invoice status), and finance leadership (performance metrics and trends)</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[CLIENT SYSTEMS] suitability for interim dashboarding / alerts</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[CLIENT SYSTEMS] data pipeline and requirements</w:t>
      </w:r>
    </w:p>
    <w:p w:rsidR="00000000" w:rsidDel="00000000" w:rsidP="00000000" w:rsidRDefault="00000000" w:rsidRPr="00000000" w14:paraId="00000046">
      <w:pPr>
        <w:spacing w:after="0" w:before="0" w:line="240" w:lineRule="auto"/>
        <w:rPr>
          <w:b w:val="1"/>
          <w:bCs w:val="1"/>
        </w:rPr>
      </w:pPr>
      <w:r w:rsidDel="00000000" w:rsidR="00000000" w:rsidRPr="00000000">
        <w:rPr>
          <w:rtl w:val="0"/>
        </w:rPr>
      </w:r>
    </w:p>
    <w:p w:rsidR="00000000" w:rsidDel="00000000" w:rsidP="00000000" w:rsidRDefault="00000000" w:rsidRPr="00000000" w14:paraId="00000047">
      <w:pPr>
        <w:spacing w:after="0" w:before="0" w:line="240" w:lineRule="auto"/>
        <w:rPr>
          <w:u w:val="single"/>
        </w:rPr>
      </w:pPr>
      <w:r w:rsidDel="00000000" w:rsidR="00000000" w:rsidRPr="00000000">
        <w:rPr>
          <w:sz w:val="22"/>
          <w:szCs w:val="22"/>
          <w:u w:val="single"/>
          <w:rtl w:val="0"/>
        </w:rPr>
        <w:t xml:space="preserve">Part B – Start when data accessible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dashboard in [BI TOOL] of purchase-to-pay process to help enforce process and achieve benchmarks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live alerting for [PAYMENT TOOL] with close to real-time updates to AP team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cross-department on dashboarding, alerting, and actions coming out of existing workstreams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dive into [TOOL] features, matching performance, and invoice extraction performance at a supplier level</w:t>
      </w:r>
    </w:p>
    <w:p w:rsidR="00000000" w:rsidDel="00000000" w:rsidP="00000000" w:rsidRDefault="00000000" w:rsidRPr="00000000" w14:paraId="0000004C">
      <w:pPr>
        <w:spacing w:after="0" w:before="0" w:line="240" w:lineRule="auto"/>
        <w:rPr>
          <w:u w:val="single"/>
        </w:rPr>
      </w:pPr>
      <w:r w:rsidDel="00000000" w:rsidR="00000000" w:rsidRPr="00000000">
        <w:rPr>
          <w:rtl w:val="0"/>
        </w:rPr>
      </w:r>
    </w:p>
    <w:p w:rsidR="00000000" w:rsidDel="00000000" w:rsidP="00000000" w:rsidRDefault="00000000" w:rsidRPr="00000000" w14:paraId="0000004D">
      <w:pPr>
        <w:spacing w:after="0" w:before="0" w:line="240" w:lineRule="auto"/>
        <w:rPr>
          <w:u w:val="single"/>
        </w:rPr>
      </w:pPr>
      <w:r w:rsidDel="00000000" w:rsidR="00000000" w:rsidRPr="00000000">
        <w:rPr>
          <w:sz w:val="22"/>
          <w:szCs w:val="22"/>
          <w:u w:val="single"/>
          <w:rtl w:val="0"/>
        </w:rPr>
        <w:t xml:space="preserve">Deliverables: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KPIs for desired purchase-to-pay process performance</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of purchase-to-pay process to help improve efficiency of process and achieve benchmarks</w:t>
      </w:r>
    </w:p>
    <w:p w:rsidR="00000000" w:rsidDel="00000000" w:rsidP="00000000" w:rsidRDefault="00000000" w:rsidRPr="00000000" w14:paraId="00000050">
      <w:pPr>
        <w:spacing w:after="0" w:before="0" w:line="240" w:lineRule="auto"/>
        <w:rPr>
          <w:b w:val="1"/>
          <w:bCs w:val="1"/>
        </w:rPr>
      </w:pPr>
      <w:r w:rsidDel="00000000" w:rsidR="00000000" w:rsidRPr="00000000">
        <w:rPr>
          <w:rtl w:val="0"/>
        </w:rPr>
      </w:r>
    </w:p>
    <w:p w:rsidR="00000000" w:rsidDel="00000000" w:rsidP="00000000" w:rsidRDefault="00000000" w:rsidRPr="00000000" w14:paraId="00000051">
      <w:pPr>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 Project team</w:t>
      </w:r>
    </w:p>
    <w:p w:rsidR="00000000" w:rsidDel="00000000" w:rsidP="00000000" w:rsidRDefault="00000000" w:rsidRPr="00000000" w14:paraId="00000052">
      <w:pPr>
        <w:spacing w:after="0" w:before="0" w:line="240" w:lineRule="auto"/>
        <w:rPr>
          <w:b w:val="1"/>
          <w:bCs w:val="1"/>
        </w:rPr>
      </w:pPr>
      <w:r w:rsidDel="00000000" w:rsidR="00000000" w:rsidRPr="00000000">
        <w:rPr>
          <w:rtl w:val="0"/>
        </w:rPr>
      </w:r>
    </w:p>
    <w:p w:rsidR="00000000" w:rsidDel="00000000" w:rsidP="00000000" w:rsidRDefault="00000000" w:rsidRPr="00000000" w14:paraId="00000053">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working team from [CLIENT] and Turing Works to improve AP processes.</w:t>
      </w:r>
    </w:p>
    <w:p w:rsidR="00000000" w:rsidDel="00000000" w:rsidP="00000000" w:rsidRDefault="00000000" w:rsidRPr="00000000" w14:paraId="00000054">
      <w:pPr>
        <w:spacing w:after="0" w:before="0" w:line="2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7"/>
        <w:gridCol w:w="2257"/>
        <w:gridCol w:w="2256"/>
        <w:tblGridChange w:id="0">
          <w:tblGrid>
            <w:gridCol w:w="2256"/>
            <w:gridCol w:w="2257"/>
            <w:gridCol w:w="2257"/>
            <w:gridCol w:w="22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e50" w:val="clear"/>
            <w:tcMar>
              <w:top w:w="40.0" w:type="dxa"/>
              <w:left w:w="80.0" w:type="dxa"/>
              <w:bottom w:w="40.0" w:type="dxa"/>
              <w:right w:w="80.0" w:type="dxa"/>
            </w:tcMar>
          </w:tcPr>
          <w:p w:rsidR="00000000" w:rsidDel="00000000" w:rsidP="00000000" w:rsidRDefault="00000000" w:rsidRPr="00000000" w14:paraId="00000055">
            <w:pPr>
              <w:spacing w:after="0" w:before="0" w:line="240" w:lineRule="auto"/>
              <w:rPr/>
            </w:pPr>
            <w:r w:rsidDel="00000000" w:rsidR="00000000" w:rsidRPr="00000000">
              <w:rPr>
                <w:rFonts w:ascii="Arial" w:cs="Arial" w:eastAsia="Arial" w:hAnsi="Arial"/>
                <w:b w:val="1"/>
                <w:bCs w:val="1"/>
                <w:color w:val="ffffff"/>
                <w:sz w:val="20"/>
                <w:szCs w:val="20"/>
                <w:rtl w:val="0"/>
              </w:rPr>
              <w:t xml:space="preserve">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e50" w:val="clear"/>
            <w:tcMar>
              <w:top w:w="40.0" w:type="dxa"/>
              <w:left w:w="80.0" w:type="dxa"/>
              <w:bottom w:w="40.0" w:type="dxa"/>
              <w:right w:w="80.0" w:type="dxa"/>
            </w:tcMar>
          </w:tcPr>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b w:val="1"/>
                <w:bCs w:val="1"/>
                <w:color w:val="ffffff"/>
                <w:sz w:val="20"/>
                <w:szCs w:val="20"/>
                <w:rtl w:val="0"/>
              </w:rPr>
              <w:t xml:space="preserve">Sponsor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e50" w:val="clear"/>
            <w:tcMar>
              <w:top w:w="40.0" w:type="dxa"/>
              <w:left w:w="80.0" w:type="dxa"/>
              <w:bottom w:w="40.0" w:type="dxa"/>
              <w:right w:w="80.0" w:type="dxa"/>
            </w:tcMa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1"/>
                <w:bCs w:val="1"/>
                <w:color w:val="ffffff"/>
                <w:sz w:val="20"/>
                <w:szCs w:val="20"/>
                <w:rtl w:val="0"/>
              </w:rPr>
              <w:t xml:space="preserve">Project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e50" w:val="clear"/>
            <w:tcMar>
              <w:top w:w="40.0" w:type="dxa"/>
              <w:left w:w="80.0" w:type="dxa"/>
              <w:bottom w:w="40.0" w:type="dxa"/>
              <w:right w:w="80.0" w:type="dxa"/>
            </w:tcMar>
          </w:tcPr>
          <w:p w:rsidR="00000000" w:rsidDel="00000000" w:rsidP="00000000" w:rsidRDefault="00000000" w:rsidRPr="00000000" w14:paraId="00000058">
            <w:pPr>
              <w:spacing w:after="0" w:before="0"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1"/>
                <w:bCs w:val="1"/>
                <w:sz w:val="20"/>
                <w:szCs w:val="20"/>
                <w:rtl w:val="0"/>
              </w:rPr>
              <w:t xml:space="preserve">[CONTACT]</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sz w:val="20"/>
                <w:szCs w:val="20"/>
                <w:rtl w:val="0"/>
              </w:rPr>
              <w:t xml:space="preserve">[TITLE],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B">
            <w:pPr>
              <w:spacing w:after="0" w:before="0" w:line="240" w:lineRule="auto"/>
              <w:rPr/>
            </w:pPr>
            <w:r w:rsidDel="00000000" w:rsidR="00000000" w:rsidRPr="00000000">
              <w:rPr>
                <w:rFonts w:ascii="Arial" w:cs="Arial" w:eastAsia="Arial" w:hAnsi="Arial"/>
                <w:b w:val="1"/>
                <w:bCs w:val="1"/>
                <w:sz w:val="20"/>
                <w:szCs w:val="20"/>
                <w:rtl w:val="0"/>
              </w:rPr>
              <w:t xml:space="preserve">[CONTACT]</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sz w:val="20"/>
                <w:szCs w:val="20"/>
                <w:rtl w:val="0"/>
              </w:rPr>
              <w:t xml:space="preserve">[TITLE],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b w:val="1"/>
                <w:bCs w:val="1"/>
                <w:sz w:val="20"/>
                <w:szCs w:val="20"/>
                <w:rtl w:val="0"/>
              </w:rPr>
              <w:t xml:space="preserve">[CONTACT]</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sz w:val="20"/>
                <w:szCs w:val="20"/>
                <w:rtl w:val="0"/>
              </w:rPr>
              <w:t xml:space="preserve">[TITLE],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b w:val="1"/>
                <w:bCs w:val="1"/>
                <w:sz w:val="20"/>
                <w:szCs w:val="20"/>
                <w:rtl w:val="0"/>
              </w:rPr>
              <w:t xml:space="preserve">[CONTACT]</w:t>
            </w: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sz w:val="20"/>
                <w:szCs w:val="20"/>
                <w:rtl w:val="0"/>
              </w:rPr>
              <w:t xml:space="preserve">[TITLE],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b w:val="1"/>
                <w:bCs w:val="1"/>
                <w:sz w:val="20"/>
                <w:szCs w:val="20"/>
                <w:rtl w:val="0"/>
              </w:rPr>
              <w:t xml:space="preserve">[CONTACT]</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Arial" w:cs="Arial" w:eastAsia="Arial" w:hAnsi="Arial"/>
                <w:sz w:val="20"/>
                <w:szCs w:val="20"/>
                <w:rtl w:val="0"/>
              </w:rPr>
              <w:t xml:space="preserve">[TITLE],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63">
            <w:pPr>
              <w:spacing w:after="0" w:before="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b w:val="1"/>
                <w:bCs w:val="1"/>
                <w:sz w:val="20"/>
                <w:szCs w:val="20"/>
                <w:rtl w:val="0"/>
              </w:rPr>
              <w:t xml:space="preserve">James Maulana</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sz w:val="20"/>
                <w:szCs w:val="20"/>
                <w:rtl w:val="0"/>
              </w:rPr>
              <w:t xml:space="preserve">Partner, Turing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1"/>
                <w:bCs w:val="1"/>
                <w:sz w:val="20"/>
                <w:szCs w:val="20"/>
                <w:rtl w:val="0"/>
              </w:rPr>
              <w:t xml:space="preserve">Alasdair Bell</w:t>
            </w: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Arial" w:cs="Arial" w:eastAsia="Arial" w:hAnsi="Arial"/>
                <w:sz w:val="20"/>
                <w:szCs w:val="20"/>
                <w:rtl w:val="0"/>
              </w:rPr>
              <w:t xml:space="preserve">Partner, Turing Works</w:t>
            </w:r>
            <w:r w:rsidDel="00000000" w:rsidR="00000000" w:rsidRPr="00000000">
              <w:rPr>
                <w:rtl w:val="0"/>
              </w:rPr>
            </w:r>
          </w:p>
        </w:tc>
      </w:tr>
    </w:tbl>
    <w:p w:rsidR="00000000" w:rsidDel="00000000" w:rsidP="00000000" w:rsidRDefault="00000000" w:rsidRPr="00000000" w14:paraId="00000068">
      <w:pPr>
        <w:spacing w:after="0" w:before="0" w:line="240" w:lineRule="auto"/>
        <w:rPr>
          <w:b w:val="1"/>
          <w:bCs w:val="1"/>
        </w:rPr>
      </w:pPr>
      <w:r w:rsidDel="00000000" w:rsidR="00000000" w:rsidRPr="00000000">
        <w:rPr>
          <w:rtl w:val="0"/>
        </w:rPr>
      </w:r>
    </w:p>
    <w:p w:rsidR="00000000" w:rsidDel="00000000" w:rsidP="00000000" w:rsidRDefault="00000000" w:rsidRPr="00000000" w14:paraId="00000069">
      <w:pPr>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Next steps</w:t>
      </w:r>
    </w:p>
    <w:p w:rsidR="00000000" w:rsidDel="00000000" w:rsidP="00000000" w:rsidRDefault="00000000" w:rsidRPr="00000000" w14:paraId="0000006A">
      <w:pPr>
        <w:spacing w:after="0" w:before="0" w:line="240" w:lineRule="auto"/>
        <w:rPr>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72963077"/>
          <w:tag w:val="goog_rdk_0"/>
        </w:sdtPr>
        <w:sdtContent>
          <w:r w:rsidDel="00000000" w:rsidR="00000000" w:rsidRPr="00000000">
            <w:rPr>
              <w:rFonts w:ascii="Arial Unicode MS" w:cs="Arial Unicode MS" w:eastAsia="Arial Unicode MS" w:hAnsi="Arial Unicode MS"/>
              <w:rtl w:val="0"/>
            </w:rPr>
            <w:t xml:space="preserve">      ✓ </w:t>
            <w:tab/>
          </w:r>
        </w:sdtContent>
      </w:sdt>
      <w:r w:rsidDel="00000000" w:rsidR="00000000" w:rsidRPr="00000000">
        <w:rPr>
          <w:i w:val="0"/>
          <w:iCs w:val="0"/>
          <w:smallCaps w:val="0"/>
          <w:strike w:val="0"/>
          <w:color w:val="000000"/>
          <w:sz w:val="22"/>
          <w:szCs w:val="22"/>
          <w:u w:val="single"/>
          <w:shd w:fill="auto" w:val="clear"/>
          <w:vertAlign w:val="baseline"/>
          <w:rtl w:val="0"/>
        </w:rPr>
        <w:t xml:space="preserve">Feedback on proposal</w:t>
      </w:r>
      <w:r w:rsidDel="00000000" w:rsidR="00000000" w:rsidRPr="00000000">
        <w:rPr>
          <w:i w:val="0"/>
          <w:iCs w:val="0"/>
          <w:smallCaps w:val="0"/>
          <w:strike w:val="0"/>
          <w:color w:val="000000"/>
          <w:sz w:val="22"/>
          <w:szCs w:val="22"/>
          <w:u w:val="none"/>
          <w:shd w:fill="auto" w:val="clear"/>
          <w:vertAlign w:val="baseline"/>
          <w:rtl w:val="0"/>
        </w:rPr>
        <w:t xml:space="preserve"> from [CLIENT]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incorporate into final version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Agreement on proposed body of work</w:t>
      </w:r>
      <w:r w:rsidDel="00000000" w:rsidR="00000000" w:rsidRPr="00000000">
        <w:rPr>
          <w:i w:val="0"/>
          <w:iCs w:val="0"/>
          <w:smallCaps w:val="0"/>
          <w:strike w:val="0"/>
          <w:color w:val="000000"/>
          <w:sz w:val="22"/>
          <w:szCs w:val="22"/>
          <w:u w:val="none"/>
          <w:shd w:fill="auto" w:val="clear"/>
          <w:vertAlign w:val="baseline"/>
          <w:rtl w:val="0"/>
        </w:rPr>
        <w:t xml:space="preserve"> and timeline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team can get started ASAP</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Start tools/data access requests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progress can be achieved quickly</w:t>
      </w: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tl w:val="0"/>
        </w:rPr>
      </w:r>
    </w:p>
    <w:p w:rsidR="00000000" w:rsidDel="00000000" w:rsidP="00000000" w:rsidRDefault="00000000" w:rsidRPr="00000000" w14:paraId="00000071">
      <w:pPr>
        <w:spacing w:after="0" w:line="276" w:lineRule="auto"/>
        <w:jc w:val="center"/>
        <w:rPr>
          <w:rFonts w:ascii="Trebuchet MS" w:cs="Trebuchet MS" w:eastAsia="Trebuchet MS" w:hAnsi="Trebuchet MS"/>
          <w:sz w:val="17"/>
          <w:szCs w:val="17"/>
        </w:rPr>
      </w:pPr>
      <w:r w:rsidDel="00000000" w:rsidR="00000000" w:rsidRPr="00000000">
        <w:rPr>
          <w:rFonts w:ascii="Trebuchet MS" w:cs="Trebuchet MS" w:eastAsia="Trebuchet MS" w:hAnsi="Trebuchet MS"/>
          <w:sz w:val="17"/>
          <w:szCs w:val="17"/>
          <w:rtl w:val="0"/>
        </w:rPr>
        <w:t xml:space="preserve">* * * * * * * * * * * * * * *</w:t>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 CONTACTS], we would be thrilled to have the opportunity to work with you in improving [CLIENT]’s AP processes and building the foundation for scalable financial operations.</w:t>
      </w:r>
    </w:p>
    <w:p w:rsidR="00000000" w:rsidDel="00000000" w:rsidP="00000000" w:rsidRDefault="00000000" w:rsidRPr="00000000" w14:paraId="00000075">
      <w:pPr>
        <w:spacing w:after="0" w:before="0" w:line="240" w:lineRule="auto"/>
        <w:rPr/>
      </w:pP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Fonts w:ascii="Arial" w:cs="Arial" w:eastAsia="Arial" w:hAnsi="Arial"/>
          <w:sz w:val="22"/>
          <w:szCs w:val="22"/>
          <w:rtl w:val="0"/>
        </w:rPr>
        <w:t xml:space="preserve">We welcome the opportunity to further tailor and refine our proposed scope to ensure we find the most effective model that aligns with your needs.</w:t>
      </w: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tl w:val="0"/>
        </w:rPr>
      </w:r>
    </w:p>
    <w:p w:rsidR="00000000" w:rsidDel="00000000" w:rsidP="00000000" w:rsidRDefault="00000000" w:rsidRPr="00000000" w14:paraId="00000078">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Yours sincerely,</w:t>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Arial" w:cs="Arial" w:eastAsia="Arial" w:hAnsi="Arial"/>
          <w:sz w:val="22"/>
          <w:szCs w:val="22"/>
          <w:rtl w:val="0"/>
        </w:rPr>
        <w:t xml:space="preserve">Alasdair and James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color w:val="999999"/>
        <w:sz w:val="20"/>
        <w:szCs w:val="20"/>
      </w:rPr>
    </w:pPr>
    <w:r w:rsidDel="00000000" w:rsidR="00000000" w:rsidRPr="00000000">
      <w:rPr>
        <w:color w:val="999999"/>
        <w:sz w:val="20"/>
        <w:szCs w:val="20"/>
        <w:rtl w:val="0"/>
      </w:rPr>
      <w:t xml:space="preserve">For discussion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360" w:hanging="360"/>
      </w:pPr>
      <w:rPr/>
    </w:lvl>
    <w:lvl w:ilvl="1">
      <w:start w:val="1"/>
      <w:numFmt w:val="bullet"/>
      <w:lvlText w:val="○"/>
      <w:lvlJc w:val="left"/>
      <w:pPr>
        <w:ind w:left="72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9uTnC3DwNVIvCPdz1A+rwBykdA==">CgMxLjAaHQoBMBIYChYIB0ISEhBBcmlhbCBVbmljb2RlIE1TOAByITFNOTJ6dHhXOEhpQld5ckVuYkM0cVgxRi1QaDlNMk1JZw==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2026-03-20T05:13:33.493Z</dcterms:created>
  <dc:creator>Un-named</dc:creator>
</cp:coreProperties>
</file>

<file path=docProps/custom.xml><?xml version="1.0" encoding="utf-8"?>
<Properties xmlns="http://schemas.openxmlformats.org/officeDocument/2006/custom-properties" xmlns:vt="http://schemas.openxmlformats.org/officeDocument/2006/docPropsVTypes"/>
</file>