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r>
        <w:rPr>
          <w:rFonts w:ascii="Arial" w:cs="Arial" w:eastAsia="Arial" w:hAnsi="Arial"/>
          <w:b/>
          <w:bCs/>
          <w:sz w:val="22"/>
          <w:szCs w:val="22"/>
          <w:shd w:fill="FFFF00" w:color="auto" w:val="clear"/>
        </w:rPr>
        <w:t xml:space="preserve">[DATE]</w:t>
      </w:r>
    </w:p>
    <w:p>
      <w:pPr>
        <w:spacing w:after="0" w:before="0" w:line="240"/>
      </w:pPr>
    </w:p>
    <w:p>
      <w:pPr>
        <w:spacing w:after="0" w:before="0" w:line="240"/>
      </w:pPr>
      <w:r>
        <w:rPr>
          <w:rFonts w:ascii="Arial" w:cs="Arial" w:eastAsia="Arial" w:hAnsi="Arial"/>
          <w:sz w:val="22"/>
          <w:szCs w:val="22"/>
        </w:rPr>
        <w:t xml:space="preserve">Alasdair Bell</w:t>
      </w:r>
    </w:p>
    <w:p>
      <w:pPr>
        <w:spacing w:after="0" w:before="0" w:line="240"/>
      </w:pPr>
      <w:r>
        <w:rPr>
          <w:rFonts w:ascii="Arial" w:cs="Arial" w:eastAsia="Arial" w:hAnsi="Arial"/>
          <w:sz w:val="22"/>
          <w:szCs w:val="22"/>
        </w:rPr>
        <w:t xml:space="preserve">Partner</w:t>
      </w:r>
    </w:p>
    <w:p>
      <w:pPr>
        <w:spacing w:after="0" w:before="0" w:line="240"/>
      </w:pPr>
      <w:r>
        <w:rPr>
          <w:rFonts w:ascii="Arial" w:cs="Arial" w:eastAsia="Arial" w:hAnsi="Arial"/>
          <w:sz w:val="22"/>
          <w:szCs w:val="22"/>
        </w:rPr>
        <w:t xml:space="preserve">3/23-25 Christie Street</w:t>
      </w:r>
    </w:p>
    <w:p>
      <w:pPr>
        <w:spacing w:after="0" w:before="0" w:line="240"/>
      </w:pPr>
      <w:r>
        <w:rPr>
          <w:rFonts w:ascii="Arial" w:cs="Arial" w:eastAsia="Arial" w:hAnsi="Arial"/>
          <w:sz w:val="22"/>
          <w:szCs w:val="22"/>
        </w:rPr>
        <w:t xml:space="preserve">Wollstonecraft</w:t>
      </w:r>
    </w:p>
    <w:p>
      <w:pPr>
        <w:spacing w:after="0" w:before="0" w:line="240"/>
      </w:pPr>
      <w:r>
        <w:rPr>
          <w:rFonts w:ascii="Arial" w:cs="Arial" w:eastAsia="Arial" w:hAnsi="Arial"/>
          <w:sz w:val="22"/>
          <w:szCs w:val="22"/>
        </w:rPr>
        <w:t xml:space="preserve">Sydney, NSW 2065</w:t>
      </w:r>
    </w:p>
    <w:p>
      <w:pPr>
        <w:spacing w:after="0" w:before="0" w:line="240"/>
      </w:pPr>
    </w:p>
    <w:p>
      <w:pPr>
        <w:spacing w:after="0" w:before="0" w:line="240"/>
      </w:pPr>
      <w:r>
        <w:rPr>
          <w:rFonts w:ascii="Arial" w:cs="Arial" w:eastAsia="Arial" w:hAnsi="Arial"/>
          <w:b/>
          <w:bCs/>
          <w:sz w:val="22"/>
          <w:szCs w:val="22"/>
        </w:rPr>
        <w:t xml:space="preserve">Project: Consultant engagement – support on Turing Works client delivery</w:t>
      </w:r>
    </w:p>
    <w:p>
      <w:pPr>
        <w:spacing w:after="0" w:before="0" w:line="240"/>
      </w:pPr>
    </w:p>
    <w:p>
      <w:pPr>
        <w:spacing w:after="0" w:before="0" w:line="240"/>
      </w:pPr>
      <w:r>
        <w:rPr>
          <w:rFonts w:ascii="Arial" w:cs="Arial" w:eastAsia="Arial" w:hAnsi="Arial"/>
          <w:b/>
          <w:bCs/>
          <w:sz w:val="22"/>
          <w:szCs w:val="22"/>
        </w:rPr>
        <w:t xml:space="preserve">Dear </w:t>
      </w:r>
      <w:r>
        <w:rPr>
          <w:rFonts w:ascii="Arial" w:cs="Arial" w:eastAsia="Arial" w:hAnsi="Arial"/>
          <w:b/>
          <w:bCs/>
          <w:sz w:val="22"/>
          <w:szCs w:val="22"/>
          <w:shd w:fill="FFFF00" w:color="auto" w:val="clear"/>
        </w:rPr>
        <w:t xml:space="preserve">[CONSULTANT FIRST NAME]</w:t>
      </w:r>
      <w:r>
        <w:rPr>
          <w:rFonts w:ascii="Arial" w:cs="Arial" w:eastAsia="Arial" w:hAnsi="Arial"/>
          <w:b/>
          <w:bCs/>
          <w:sz w:val="22"/>
          <w:szCs w:val="22"/>
        </w:rPr>
        <w:t xml:space="preserve">,</w:t>
      </w:r>
    </w:p>
    <w:p>
      <w:pPr>
        <w:spacing w:after="0" w:before="0" w:line="240"/>
      </w:pPr>
    </w:p>
    <w:p>
      <w:pPr>
        <w:spacing w:after="0" w:before="0" w:line="240"/>
      </w:pPr>
      <w:r>
        <w:rPr>
          <w:rFonts w:ascii="Arial" w:cs="Arial" w:eastAsia="Arial" w:hAnsi="Arial"/>
          <w:sz w:val="22"/>
          <w:szCs w:val="22"/>
        </w:rPr>
        <w:t xml:space="preserve">Further to our recent discussions, we, Turing Works (</w:t>
      </w:r>
      <w:r>
        <w:rPr>
          <w:rFonts w:ascii="Arial" w:cs="Arial" w:eastAsia="Arial" w:hAnsi="Arial"/>
          <w:sz w:val="22"/>
          <w:szCs w:val="22"/>
        </w:rPr>
        <w:t xml:space="preserve">“we”</w:t>
      </w:r>
      <w:r>
        <w:rPr>
          <w:rFonts w:ascii="Arial" w:cs="Arial" w:eastAsia="Arial" w:hAnsi="Arial"/>
          <w:sz w:val="22"/>
          <w:szCs w:val="22"/>
        </w:rPr>
        <w:t xml:space="preserve"> or </w:t>
      </w:r>
      <w:r>
        <w:rPr>
          <w:rFonts w:ascii="Arial" w:cs="Arial" w:eastAsia="Arial" w:hAnsi="Arial"/>
          <w:sz w:val="22"/>
          <w:szCs w:val="22"/>
        </w:rPr>
        <w:t xml:space="preserve">“TW”</w:t>
      </w:r>
      <w:r>
        <w:rPr>
          <w:rFonts w:ascii="Arial" w:cs="Arial" w:eastAsia="Arial" w:hAnsi="Arial"/>
          <w:sz w:val="22"/>
          <w:szCs w:val="22"/>
        </w:rPr>
        <w:t xml:space="preserve">), are pleased to engage you to assist on a current client project. For the purpose of this agreement and its terms, this agreement is between Turing Works (</w:t>
      </w:r>
      <w:r>
        <w:rPr>
          <w:rFonts w:ascii="Arial" w:cs="Arial" w:eastAsia="Arial" w:hAnsi="Arial"/>
          <w:sz w:val="22"/>
          <w:szCs w:val="22"/>
        </w:rPr>
        <w:t xml:space="preserve">“TW”</w:t>
      </w:r>
      <w:r>
        <w:rPr>
          <w:rFonts w:ascii="Arial" w:cs="Arial" w:eastAsia="Arial" w:hAnsi="Arial"/>
          <w:sz w:val="22"/>
          <w:szCs w:val="22"/>
        </w:rPr>
        <w:t xml:space="preserve">) and </w:t>
      </w:r>
      <w:r>
        <w:rPr>
          <w:rFonts w:ascii="Arial" w:cs="Arial" w:eastAsia="Arial" w:hAnsi="Arial"/>
          <w:b/>
          <w:bCs/>
          <w:sz w:val="22"/>
          <w:szCs w:val="22"/>
          <w:shd w:fill="FFFF00" w:color="auto" w:val="clear"/>
        </w:rPr>
        <w:t xml:space="preserve">[JOANNE’S LEGAL ENTITY NAME]</w:t>
      </w:r>
      <w:r>
        <w:rPr>
          <w:rFonts w:ascii="Arial" w:cs="Arial" w:eastAsia="Arial" w:hAnsi="Arial"/>
          <w:sz w:val="22"/>
          <w:szCs w:val="22"/>
        </w:rPr>
        <w:t xml:space="preserve"> (</w:t>
      </w:r>
      <w:r>
        <w:rPr>
          <w:rFonts w:ascii="Arial" w:cs="Arial" w:eastAsia="Arial" w:hAnsi="Arial"/>
          <w:sz w:val="22"/>
          <w:szCs w:val="22"/>
        </w:rPr>
        <w:t xml:space="preserve">“Consultant” or “you”</w:t>
      </w:r>
      <w:r>
        <w:rPr>
          <w:rFonts w:ascii="Arial" w:cs="Arial" w:eastAsia="Arial" w:hAnsi="Arial"/>
          <w:sz w:val="22"/>
          <w:szCs w:val="22"/>
        </w:rPr>
        <w:t xml:space="preserve">).</w:t>
      </w:r>
    </w:p>
    <w:p>
      <w:pPr>
        <w:spacing w:after="0" w:before="0" w:line="240"/>
      </w:pPr>
    </w:p>
    <w:p>
      <w:pPr>
        <w:spacing w:after="0" w:before="0" w:line="240"/>
      </w:pPr>
      <w:r>
        <w:rPr>
          <w:rFonts w:ascii="Arial" w:cs="Arial" w:eastAsia="Arial" w:hAnsi="Arial"/>
          <w:sz w:val="22"/>
          <w:szCs w:val="22"/>
        </w:rPr>
        <w:t xml:space="preserve">The Consultant is engaged as an independent consultant to TW, for a defined period and for the specific purpose of assisting TW on a single client project (the </w:t>
      </w:r>
      <w:r>
        <w:rPr>
          <w:rFonts w:ascii="Arial" w:cs="Arial" w:eastAsia="Arial" w:hAnsi="Arial"/>
          <w:sz w:val="22"/>
          <w:szCs w:val="22"/>
        </w:rPr>
        <w:t xml:space="preserve">“Project”</w:t>
      </w:r>
      <w:r>
        <w:rPr>
          <w:rFonts w:ascii="Arial" w:cs="Arial" w:eastAsia="Arial" w:hAnsi="Arial"/>
          <w:sz w:val="22"/>
          <w:szCs w:val="22"/>
        </w:rPr>
        <w:t xml:space="preserve">). The Consultant is engaged by TW only. This agreement does not create any contractual relationship between the Consultant and TW’s client, and the Consultant will have no direct engagement with, or claim against, that client.</w:t>
      </w:r>
    </w:p>
    <w:p>
      <w:pPr>
        <w:spacing w:after="0" w:before="0" w:line="240"/>
      </w:pPr>
    </w:p>
    <w:p>
      <w:pPr>
        <w:spacing w:after="0" w:before="0" w:line="240"/>
      </w:pPr>
      <w:r>
        <w:rPr>
          <w:rFonts w:ascii="Arial" w:cs="Arial" w:eastAsia="Arial" w:hAnsi="Arial"/>
          <w:sz w:val="22"/>
          <w:szCs w:val="22"/>
        </w:rPr>
        <w:t xml:space="preserve">In this letter we outline the Services and Deliverables the Consultant will provide, together with the terms and conditions that govern this engagement.</w:t>
      </w:r>
    </w:p>
    <w:p>
      <w:pPr>
        <w:spacing w:after="0" w:before="0" w:line="240"/>
      </w:pPr>
    </w:p>
    <w:p>
      <w:pPr>
        <w:spacing w:after="0" w:before="0" w:line="240"/>
      </w:pPr>
      <w:r>
        <w:rPr>
          <w:rFonts w:ascii="Arial" w:cs="Arial" w:eastAsia="Arial" w:hAnsi="Arial"/>
          <w:b/>
          <w:bCs/>
          <w:sz w:val="22"/>
          <w:szCs w:val="22"/>
        </w:rPr>
        <w:t xml:space="preserve">1. Background</w:t>
      </w:r>
    </w:p>
    <w:p>
      <w:pPr>
        <w:spacing w:after="0" w:before="0" w:line="240"/>
      </w:pPr>
    </w:p>
    <w:p>
      <w:pPr>
        <w:spacing w:after="0" w:before="0" w:line="240"/>
      </w:pPr>
      <w:r>
        <w:rPr>
          <w:rFonts w:ascii="Arial" w:cs="Arial" w:eastAsia="Arial" w:hAnsi="Arial"/>
          <w:sz w:val="22"/>
          <w:szCs w:val="22"/>
        </w:rPr>
        <w:t xml:space="preserve">TW has been engaged by its client to deliver a marketing and growth engagement (the </w:t>
      </w:r>
      <w:r>
        <w:rPr>
          <w:rFonts w:ascii="Arial" w:cs="Arial" w:eastAsia="Arial" w:hAnsi="Arial"/>
          <w:sz w:val="22"/>
          <w:szCs w:val="22"/>
        </w:rPr>
        <w:t xml:space="preserve">“Head Engagement”</w:t>
      </w:r>
      <w:r>
        <w:rPr>
          <w:rFonts w:ascii="Arial" w:cs="Arial" w:eastAsia="Arial" w:hAnsi="Arial"/>
          <w:sz w:val="22"/>
          <w:szCs w:val="22"/>
        </w:rPr>
        <w:t xml:space="preserve">). TW engages the Consultant to perform defined elements of the delivery under that Head Engagement. The Consultant is engaged for a defined period and for the specific purpose of the Project, and not as an employee, partner, or agent of TW.</w:t>
      </w:r>
    </w:p>
    <w:p>
      <w:pPr>
        <w:spacing w:after="0" w:before="0" w:line="240"/>
      </w:pPr>
    </w:p>
    <w:p>
      <w:pPr>
        <w:spacing w:after="0" w:before="0" w:line="240"/>
      </w:pPr>
      <w:r>
        <w:rPr>
          <w:rFonts w:ascii="Arial" w:cs="Arial" w:eastAsia="Arial" w:hAnsi="Arial"/>
          <w:sz w:val="22"/>
          <w:szCs w:val="22"/>
        </w:rPr>
        <w:t xml:space="preserve">The Consultant’s obligations and liability under this agreement are intended to operate back-to-back with TW’s obligations and liability to its client under the Head Engagement, so that responsibility for the Consultant’s work flows through consistently (see Section 9, Liability).</w:t>
      </w:r>
    </w:p>
    <w:p>
      <w:pPr>
        <w:spacing w:after="0" w:before="0" w:line="240"/>
      </w:pPr>
    </w:p>
    <w:p>
      <w:pPr>
        <w:spacing w:after="0" w:before="0" w:line="240"/>
      </w:pPr>
      <w:r>
        <w:rPr>
          <w:rFonts w:ascii="Arial" w:cs="Arial" w:eastAsia="Arial" w:hAnsi="Arial"/>
          <w:b/>
          <w:bCs/>
          <w:sz w:val="22"/>
          <w:szCs w:val="22"/>
        </w:rPr>
        <w:t xml:space="preserve">2. Scope of Services</w:t>
      </w:r>
    </w:p>
    <w:p>
      <w:pPr>
        <w:spacing w:after="0" w:before="0" w:line="240"/>
      </w:pPr>
    </w:p>
    <w:p>
      <w:pPr>
        <w:spacing w:after="0" w:before="0" w:line="240"/>
      </w:pPr>
      <w:r>
        <w:rPr>
          <w:rFonts w:ascii="Arial" w:cs="Arial" w:eastAsia="Arial" w:hAnsi="Arial"/>
          <w:sz w:val="22"/>
          <w:szCs w:val="22"/>
        </w:rPr>
        <w:t xml:space="preserve">The scope of this engagement covers the Project only, and will entail:</w:t>
      </w:r>
    </w:p>
    <w:p>
      <w:pPr>
        <w:spacing w:after="0" w:before="0" w:line="240"/>
      </w:pPr>
    </w:p>
    <w:p>
      <w:pPr>
        <w:pStyle w:val="ListParagraph"/>
        <w:numPr>
          <w:ilvl w:val="0"/>
          <w:numId w:val="2"/>
        </w:numPr>
        <w:spacing w:after="0" w:before="0" w:line="240"/>
      </w:pPr>
      <w:r>
        <w:rPr>
          <w:rFonts w:ascii="Arial" w:cs="Arial" w:eastAsia="Arial" w:hAnsi="Arial"/>
          <w:b/>
          <w:bCs/>
          <w:sz w:val="22"/>
          <w:szCs w:val="22"/>
          <w:u w:val="single"/>
        </w:rPr>
        <w:t xml:space="preserve">Scope of Work</w:t>
      </w:r>
    </w:p>
    <w:p>
      <w:pPr>
        <w:spacing w:after="0" w:before="0" w:line="240"/>
      </w:pPr>
    </w:p>
    <w:p>
      <w:pPr>
        <w:pStyle w:val="ListParagraph"/>
        <w:numPr>
          <w:ilvl w:val="0"/>
          <w:numId w:val="3"/>
        </w:numPr>
        <w:spacing w:after="0" w:before="0" w:line="240"/>
      </w:pPr>
      <w:r>
        <w:rPr>
          <w:rFonts w:ascii="Arial" w:cs="Arial" w:eastAsia="Arial" w:hAnsi="Arial"/>
          <w:sz w:val="22"/>
          <w:szCs w:val="22"/>
        </w:rPr>
        <w:t xml:space="preserve">The Consultant will perform the specific scope of work set out below. The principle is fixed: a defined scope of work, for a defined fee.</w:t>
      </w:r>
    </w:p>
    <w:p>
      <w:pPr>
        <w:spacing w:after="0" w:before="0" w:line="240"/>
      </w:pPr>
    </w:p>
    <w:p>
      <w:pPr>
        <w:pStyle w:val="ListParagraph"/>
        <w:numPr>
          <w:ilvl w:val="0"/>
          <w:numId w:val="3"/>
        </w:numPr>
        <w:spacing w:after="0" w:before="0" w:line="240"/>
      </w:pPr>
      <w:r>
        <w:rPr>
          <w:rFonts w:ascii="Arial" w:cs="Arial" w:eastAsia="Arial" w:hAnsi="Arial"/>
          <w:b/>
          <w:bCs/>
          <w:sz w:val="22"/>
          <w:szCs w:val="22"/>
          <w:shd w:fill="FFFF00" w:color="auto" w:val="clear"/>
        </w:rPr>
        <w:t xml:space="preserve">[Scope of work to be inserted following the scoping discussion between TW and the Consultant]</w:t>
      </w:r>
    </w:p>
    <w:p>
      <w:pPr>
        <w:spacing w:after="0" w:before="0" w:line="240"/>
      </w:pPr>
    </w:p>
    <w:p>
      <w:pPr>
        <w:pStyle w:val="ListParagraph"/>
        <w:numPr>
          <w:ilvl w:val="0"/>
          <w:numId w:val="2"/>
        </w:numPr>
        <w:spacing w:after="0" w:before="0" w:line="240"/>
      </w:pPr>
      <w:r>
        <w:rPr>
          <w:rFonts w:ascii="Arial" w:cs="Arial" w:eastAsia="Arial" w:hAnsi="Arial"/>
          <w:b/>
          <w:bCs/>
          <w:sz w:val="22"/>
          <w:szCs w:val="22"/>
          <w:u w:val="single"/>
        </w:rPr>
        <w:t xml:space="preserve">Deliverables</w:t>
      </w:r>
    </w:p>
    <w:p>
      <w:pPr>
        <w:spacing w:after="0" w:before="0" w:line="240"/>
      </w:pPr>
    </w:p>
    <w:p>
      <w:pPr>
        <w:pStyle w:val="ListParagraph"/>
        <w:numPr>
          <w:ilvl w:val="0"/>
          <w:numId w:val="3"/>
        </w:numPr>
        <w:spacing w:after="0" w:before="0" w:line="240"/>
      </w:pPr>
      <w:r>
        <w:rPr>
          <w:rFonts w:ascii="Arial" w:cs="Arial" w:eastAsia="Arial" w:hAnsi="Arial"/>
          <w:b/>
          <w:bCs/>
          <w:sz w:val="22"/>
          <w:szCs w:val="22"/>
          <w:shd w:fill="FFFF00" w:color="auto" w:val="clear"/>
        </w:rPr>
        <w:t xml:space="preserve">[Deliverables and milestone line items to be inserted following the scoping discussion]</w:t>
      </w:r>
    </w:p>
    <w:p>
      <w:pPr>
        <w:spacing w:after="0" w:before="0" w:line="240"/>
      </w:pPr>
    </w:p>
    <w:p>
      <w:pPr>
        <w:pStyle w:val="ListParagraph"/>
        <w:numPr>
          <w:ilvl w:val="0"/>
          <w:numId w:val="2"/>
        </w:numPr>
        <w:spacing w:after="0" w:before="0" w:line="240"/>
      </w:pPr>
      <w:r>
        <w:rPr>
          <w:rFonts w:ascii="Arial" w:cs="Arial" w:eastAsia="Arial" w:hAnsi="Arial"/>
          <w:b/>
          <w:bCs/>
          <w:sz w:val="22"/>
          <w:szCs w:val="22"/>
          <w:u w:val="single"/>
        </w:rPr>
        <w:t xml:space="preserve">Conditions of Work</w:t>
      </w:r>
    </w:p>
    <w:p>
      <w:pPr>
        <w:spacing w:after="0" w:before="0" w:line="240"/>
      </w:pPr>
    </w:p>
    <w:p>
      <w:pPr>
        <w:pStyle w:val="ListParagraph"/>
        <w:numPr>
          <w:ilvl w:val="0"/>
          <w:numId w:val="3"/>
        </w:numPr>
        <w:spacing w:after="0" w:before="0" w:line="240"/>
      </w:pPr>
      <w:r>
        <w:rPr>
          <w:rFonts w:ascii="Arial" w:cs="Arial" w:eastAsia="Arial" w:hAnsi="Arial"/>
          <w:sz w:val="22"/>
          <w:szCs w:val="22"/>
        </w:rPr>
        <w:t xml:space="preserve">The Consultant performs the Services as an independent contractor, using her own methods, tools, and equipment, and controls the manner and timing of her work, subject to the deliverables, milestones, and deadlines agreed with TW</w:t>
      </w:r>
    </w:p>
    <w:p>
      <w:pPr>
        <w:spacing w:after="0" w:before="0" w:line="240"/>
      </w:pPr>
    </w:p>
    <w:p>
      <w:pPr>
        <w:pStyle w:val="ListParagraph"/>
        <w:numPr>
          <w:ilvl w:val="0"/>
          <w:numId w:val="3"/>
        </w:numPr>
        <w:spacing w:after="0" w:before="0" w:line="240"/>
      </w:pPr>
      <w:r>
        <w:rPr>
          <w:rFonts w:ascii="Arial" w:cs="Arial" w:eastAsia="Arial" w:hAnsi="Arial"/>
          <w:sz w:val="22"/>
          <w:szCs w:val="22"/>
        </w:rPr>
        <w:t xml:space="preserve">The Consultant is responsible for her own tax, superannuation, and statutory obligations, and is not entitled to employee benefits</w:t>
      </w:r>
    </w:p>
    <w:p>
      <w:pPr>
        <w:spacing w:after="0" w:before="0" w:line="240"/>
      </w:pPr>
    </w:p>
    <w:p>
      <w:pPr>
        <w:pStyle w:val="ListParagraph"/>
        <w:numPr>
          <w:ilvl w:val="0"/>
          <w:numId w:val="3"/>
        </w:numPr>
        <w:spacing w:after="0" w:before="0" w:line="240"/>
      </w:pPr>
      <w:r>
        <w:rPr>
          <w:rFonts w:ascii="Arial" w:cs="Arial" w:eastAsia="Arial" w:hAnsi="Arial"/>
          <w:sz w:val="22"/>
          <w:szCs w:val="22"/>
        </w:rPr>
        <w:t xml:space="preserve">The Consultant will perform the Services with reasonable skill and care, and in accordance with TW’s reasonable directions as to scope, brand, and client requirements</w:t>
      </w:r>
    </w:p>
    <w:p>
      <w:pPr>
        <w:spacing w:after="0" w:before="0" w:line="240"/>
      </w:pPr>
    </w:p>
    <w:p>
      <w:pPr>
        <w:pStyle w:val="ListParagraph"/>
        <w:numPr>
          <w:ilvl w:val="0"/>
          <w:numId w:val="3"/>
        </w:numPr>
        <w:spacing w:after="0" w:before="0" w:line="240"/>
      </w:pPr>
      <w:r>
        <w:rPr>
          <w:rFonts w:ascii="Arial" w:cs="Arial" w:eastAsia="Arial" w:hAnsi="Arial"/>
          <w:sz w:val="22"/>
          <w:szCs w:val="22"/>
        </w:rPr>
        <w:t xml:space="preserve">The Consultant will keep TW informed of progress and promptly raise any matter likely to affect delivery or the client</w:t>
      </w:r>
    </w:p>
    <w:p>
      <w:pPr>
        <w:spacing w:after="0" w:before="0" w:line="240"/>
      </w:pPr>
    </w:p>
    <w:p>
      <w:pPr>
        <w:pStyle w:val="ListParagraph"/>
        <w:numPr>
          <w:ilvl w:val="0"/>
          <w:numId w:val="2"/>
        </w:numPr>
        <w:spacing w:after="0" w:before="0" w:line="240"/>
      </w:pPr>
      <w:r>
        <w:rPr>
          <w:rFonts w:ascii="Arial" w:cs="Arial" w:eastAsia="Arial" w:hAnsi="Arial"/>
          <w:b/>
          <w:bCs/>
          <w:sz w:val="22"/>
          <w:szCs w:val="22"/>
          <w:u w:val="single"/>
        </w:rPr>
        <w:t xml:space="preserve">Fees &amp; Invoicing</w:t>
      </w:r>
    </w:p>
    <w:p>
      <w:pPr>
        <w:spacing w:after="0" w:before="0" w:line="240"/>
      </w:pPr>
    </w:p>
    <w:p>
      <w:pPr>
        <w:pStyle w:val="ListParagraph"/>
        <w:numPr>
          <w:ilvl w:val="0"/>
          <w:numId w:val="3"/>
        </w:numPr>
        <w:spacing w:after="0" w:before="0" w:line="240"/>
      </w:pPr>
      <w:r>
        <w:rPr>
          <w:rFonts w:ascii="Arial" w:cs="Arial" w:eastAsia="Arial" w:hAnsi="Arial"/>
          <w:sz w:val="22"/>
          <w:szCs w:val="22"/>
        </w:rPr>
        <w:t xml:space="preserve">The Consultant’s fee for the full scope is AUD $</w:t>
      </w:r>
      <w:r>
        <w:rPr>
          <w:rFonts w:ascii="Arial" w:cs="Arial" w:eastAsia="Arial" w:hAnsi="Arial"/>
          <w:b/>
          <w:bCs/>
          <w:sz w:val="22"/>
          <w:szCs w:val="22"/>
          <w:shd w:fill="FFFF00" w:color="auto" w:val="clear"/>
        </w:rPr>
        <w:t xml:space="preserve">[FEE]</w:t>
      </w:r>
      <w:r>
        <w:rPr>
          <w:rFonts w:ascii="Arial" w:cs="Arial" w:eastAsia="Arial" w:hAnsi="Arial"/>
          <w:sz w:val="22"/>
          <w:szCs w:val="22"/>
        </w:rPr>
        <w:t xml:space="preserve"> (exclusive of GST), payable on a deliverable / milestone basis</w:t>
      </w:r>
    </w:p>
    <w:p>
      <w:pPr>
        <w:spacing w:after="0" w:before="0" w:line="240"/>
      </w:pPr>
    </w:p>
    <w:p>
      <w:pPr>
        <w:pStyle w:val="ListParagraph"/>
        <w:numPr>
          <w:ilvl w:val="0"/>
          <w:numId w:val="3"/>
        </w:numPr>
        <w:spacing w:after="0" w:before="0" w:line="240"/>
      </w:pPr>
      <w:r>
        <w:rPr>
          <w:rFonts w:ascii="Arial" w:cs="Arial" w:eastAsia="Arial" w:hAnsi="Arial"/>
          <w:sz w:val="22"/>
          <w:szCs w:val="22"/>
        </w:rPr>
        <w:t xml:space="preserve">Payment schedule: 50% (AUD $</w:t>
      </w:r>
      <w:r>
        <w:rPr>
          <w:rFonts w:ascii="Arial" w:cs="Arial" w:eastAsia="Arial" w:hAnsi="Arial"/>
          <w:b/>
          <w:bCs/>
          <w:sz w:val="22"/>
          <w:szCs w:val="22"/>
          <w:shd w:fill="FFFF00" w:color="auto" w:val="clear"/>
        </w:rPr>
        <w:t xml:space="preserve">[INSTALMENT]</w:t>
      </w:r>
      <w:r>
        <w:rPr>
          <w:rFonts w:ascii="Arial" w:cs="Arial" w:eastAsia="Arial" w:hAnsi="Arial"/>
          <w:sz w:val="22"/>
          <w:szCs w:val="22"/>
        </w:rPr>
        <w:t xml:space="preserve">) due on commencement of work; 50% (AUD $</w:t>
      </w:r>
      <w:r>
        <w:rPr>
          <w:rFonts w:ascii="Arial" w:cs="Arial" w:eastAsia="Arial" w:hAnsi="Arial"/>
          <w:b/>
          <w:bCs/>
          <w:sz w:val="22"/>
          <w:szCs w:val="22"/>
          <w:shd w:fill="FFFF00" w:color="auto" w:val="clear"/>
        </w:rPr>
        <w:t xml:space="preserve">[INSTALMENT]</w:t>
      </w:r>
      <w:r>
        <w:rPr>
          <w:rFonts w:ascii="Arial" w:cs="Arial" w:eastAsia="Arial" w:hAnsi="Arial"/>
          <w:sz w:val="22"/>
          <w:szCs w:val="22"/>
        </w:rPr>
        <w:t xml:space="preserve">) due on completion and acceptance of all deliverables</w:t>
      </w:r>
    </w:p>
    <w:p>
      <w:pPr>
        <w:spacing w:after="0" w:before="0" w:line="240"/>
      </w:pPr>
    </w:p>
    <w:p>
      <w:pPr>
        <w:pStyle w:val="ListParagraph"/>
        <w:numPr>
          <w:ilvl w:val="0"/>
          <w:numId w:val="3"/>
        </w:numPr>
        <w:spacing w:after="0" w:before="0" w:line="240"/>
      </w:pPr>
      <w:r>
        <w:rPr>
          <w:rFonts w:ascii="Arial" w:cs="Arial" w:eastAsia="Arial" w:hAnsi="Arial"/>
          <w:sz w:val="22"/>
          <w:szCs w:val="22"/>
        </w:rPr>
        <w:t xml:space="preserve">Where the fee is structured against specific milestones, the line items and amounts will be set out here once the deliverables are agreed</w:t>
      </w:r>
    </w:p>
    <w:p>
      <w:pPr>
        <w:spacing w:after="0" w:before="0" w:line="240"/>
      </w:pPr>
    </w:p>
    <w:p>
      <w:pPr>
        <w:pStyle w:val="ListParagraph"/>
        <w:numPr>
          <w:ilvl w:val="0"/>
          <w:numId w:val="3"/>
        </w:numPr>
        <w:spacing w:after="0" w:before="0" w:line="240"/>
      </w:pPr>
      <w:r>
        <w:rPr>
          <w:rFonts w:ascii="Arial" w:cs="Arial" w:eastAsia="Arial" w:hAnsi="Arial"/>
          <w:sz w:val="22"/>
          <w:szCs w:val="22"/>
        </w:rPr>
        <w:t xml:space="preserve">Invoices are payable within 14 days of invoice</w:t>
      </w:r>
    </w:p>
    <w:p>
      <w:pPr>
        <w:spacing w:after="0" w:before="0" w:line="240"/>
      </w:pPr>
    </w:p>
    <w:p>
      <w:pPr>
        <w:pStyle w:val="ListParagraph"/>
        <w:numPr>
          <w:ilvl w:val="0"/>
          <w:numId w:val="3"/>
        </w:numPr>
        <w:spacing w:after="0" w:before="0" w:line="240"/>
      </w:pPr>
      <w:r>
        <w:rPr>
          <w:rFonts w:ascii="Arial" w:cs="Arial" w:eastAsia="Arial" w:hAnsi="Arial"/>
          <w:sz w:val="22"/>
          <w:szCs w:val="22"/>
        </w:rPr>
        <w:t xml:space="preserve">The Consultant is responsible for her own expenses unless otherwise agreed by TW in writing (email) in advance</w:t>
      </w:r>
    </w:p>
    <w:p>
      <w:pPr>
        <w:spacing w:after="0" w:before="0" w:line="240"/>
      </w:pPr>
    </w:p>
    <w:p>
      <w:pPr>
        <w:pStyle w:val="ListParagraph"/>
        <w:numPr>
          <w:ilvl w:val="0"/>
          <w:numId w:val="2"/>
        </w:numPr>
        <w:spacing w:after="0" w:before="0" w:line="240"/>
      </w:pPr>
      <w:r>
        <w:rPr>
          <w:rFonts w:ascii="Arial" w:cs="Arial" w:eastAsia="Arial" w:hAnsi="Arial"/>
          <w:b/>
          <w:bCs/>
          <w:sz w:val="22"/>
          <w:szCs w:val="22"/>
          <w:u w:val="single"/>
        </w:rPr>
        <w:t xml:space="preserve">Ownership</w:t>
      </w:r>
    </w:p>
    <w:p>
      <w:pPr>
        <w:spacing w:after="0" w:before="0" w:line="240"/>
      </w:pPr>
    </w:p>
    <w:p>
      <w:pPr>
        <w:pStyle w:val="ListParagraph"/>
        <w:numPr>
          <w:ilvl w:val="0"/>
          <w:numId w:val="3"/>
        </w:numPr>
        <w:spacing w:after="0" w:before="0" w:line="240"/>
      </w:pPr>
      <w:r>
        <w:rPr>
          <w:rFonts w:ascii="Arial" w:cs="Arial" w:eastAsia="Arial" w:hAnsi="Arial"/>
          <w:sz w:val="22"/>
          <w:szCs w:val="22"/>
        </w:rPr>
        <w:t xml:space="preserve">All deliverables, materials, and work product created by the Consultant under this agreement will, where applicable, be created within TW’s or the client’s accounts and systems, and will be owned by TW (and, through TW, by TW’s client) in accordance with Section 11 (Intellectual Property)</w:t>
      </w:r>
    </w:p>
    <w:p>
      <w:pPr>
        <w:spacing w:after="0" w:before="0" w:line="240"/>
      </w:pPr>
    </w:p>
    <w:p>
      <w:pPr>
        <w:pStyle w:val="ListParagraph"/>
        <w:numPr>
          <w:ilvl w:val="0"/>
          <w:numId w:val="3"/>
        </w:numPr>
        <w:spacing w:after="0" w:before="0" w:line="240"/>
      </w:pPr>
      <w:r>
        <w:rPr>
          <w:rFonts w:ascii="Arial" w:cs="Arial" w:eastAsia="Arial" w:hAnsi="Arial"/>
          <w:sz w:val="22"/>
          <w:szCs w:val="22"/>
        </w:rPr>
        <w:t xml:space="preserve">Any work beyond the agreed scope will be scoped and priced separately</w:t>
      </w:r>
    </w:p>
    <w:p>
      <w:pPr>
        <w:spacing w:after="0" w:before="0" w:line="240"/>
      </w:pPr>
    </w:p>
    <w:p>
      <w:pPr>
        <w:spacing w:after="0" w:before="0" w:line="240"/>
      </w:pPr>
      <w:r>
        <w:rPr>
          <w:rFonts w:ascii="Arial" w:cs="Arial" w:eastAsia="Arial" w:hAnsi="Arial"/>
          <w:b/>
          <w:bCs/>
          <w:sz w:val="22"/>
          <w:szCs w:val="22"/>
        </w:rPr>
        <w:t xml:space="preserve">3. Responsibilities</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TW will provide the access, context, and approvals the Consultant reasonably needs to perform the Services</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TW will pay the Consultant in accordance with Section 2</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The Consultant will perform the Services with reasonable skill and care and meet the agreed deadlines</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The Consultant will comply with TW’s confidentiality, security, and client requirements</w:t>
      </w:r>
    </w:p>
    <w:p>
      <w:pPr>
        <w:spacing w:after="0" w:before="0" w:line="240"/>
      </w:pPr>
    </w:p>
    <w:p>
      <w:pPr>
        <w:spacing w:after="0" w:before="0" w:line="240"/>
      </w:pPr>
      <w:r>
        <w:rPr>
          <w:rFonts w:ascii="Arial" w:cs="Arial" w:eastAsia="Arial" w:hAnsi="Arial"/>
          <w:b/>
          <w:bCs/>
          <w:sz w:val="22"/>
          <w:szCs w:val="22"/>
        </w:rPr>
        <w:t xml:space="preserve">4. Term &amp; Start Date</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This agreement commences on </w:t>
      </w:r>
      <w:r>
        <w:rPr>
          <w:rFonts w:ascii="Arial" w:cs="Arial" w:eastAsia="Arial" w:hAnsi="Arial"/>
          <w:b/>
          <w:bCs/>
          <w:sz w:val="22"/>
          <w:szCs w:val="22"/>
          <w:shd w:fill="FFFF00" w:color="auto" w:val="clear"/>
        </w:rPr>
        <w:t xml:space="preserve">[START DATE]</w:t>
      </w:r>
      <w:r>
        <w:rPr>
          <w:rFonts w:ascii="Arial" w:cs="Arial" w:eastAsia="Arial" w:hAnsi="Arial"/>
          <w:sz w:val="22"/>
          <w:szCs w:val="22"/>
        </w:rPr>
        <w:t xml:space="preserve"> and continues until completion and acceptance of all deliverables, or until terminated in accordance with Section 6</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The start date is intended to align with the commencement of the Head Engagement. The parties acknowledge that this date may shift, and flexibility in the start date is built in: TW will confirm the actual start date to the Consultant, and a reasonable adjustment to it will not constitute a breach by either party</w:t>
      </w:r>
    </w:p>
    <w:p>
      <w:pPr>
        <w:spacing w:after="0" w:before="0" w:line="240"/>
      </w:pPr>
    </w:p>
    <w:p>
      <w:pPr>
        <w:spacing w:after="0" w:before="0" w:line="240"/>
      </w:pPr>
      <w:r>
        <w:rPr>
          <w:rFonts w:ascii="Arial" w:cs="Arial" w:eastAsia="Arial" w:hAnsi="Arial"/>
          <w:b/>
          <w:bCs/>
          <w:sz w:val="22"/>
          <w:szCs w:val="22"/>
        </w:rPr>
        <w:t xml:space="preserve">5. Currency</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All fees are quoted and invoiced in Australian dollars (AUD)</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Invoices will be issued in Australian dollars to comply with local invoicing regulations</w:t>
      </w:r>
    </w:p>
    <w:p>
      <w:pPr>
        <w:spacing w:after="0" w:before="0" w:line="240"/>
      </w:pPr>
    </w:p>
    <w:p>
      <w:pPr>
        <w:spacing w:after="0" w:before="0" w:line="240"/>
      </w:pPr>
      <w:r>
        <w:rPr>
          <w:rFonts w:ascii="Arial" w:cs="Arial" w:eastAsia="Arial" w:hAnsi="Arial"/>
          <w:b/>
          <w:bCs/>
          <w:sz w:val="22"/>
          <w:szCs w:val="22"/>
        </w:rPr>
        <w:t xml:space="preserve">6. Termination</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Either party may terminate this agreement by providing 14 days’ written notice to the other party. Any work completed up to the termination date remains payable, calculated pro rata against the fee based on deliverables completed and accepted</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TW may terminate immediately if the Consultant is in material breach, including a breach of confidentiality or a failure to hold the insurance required under Section 8</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TW may also terminate this agreement if the Head Engagement is terminated or suspended, in which case the Consultant will be paid for deliverables completed and accepted up to the date of termination</w:t>
      </w:r>
    </w:p>
    <w:p>
      <w:pPr>
        <w:spacing w:after="0" w:before="0" w:line="240"/>
      </w:pPr>
    </w:p>
    <w:p>
      <w:pPr>
        <w:spacing w:after="0" w:before="0" w:line="240"/>
      </w:pPr>
      <w:r>
        <w:rPr>
          <w:rFonts w:ascii="Arial" w:cs="Arial" w:eastAsia="Arial" w:hAnsi="Arial"/>
          <w:b/>
          <w:bCs/>
          <w:sz w:val="22"/>
          <w:szCs w:val="22"/>
        </w:rPr>
        <w:t xml:space="preserve">7. Confidentiality</w:t>
      </w:r>
    </w:p>
    <w:p>
      <w:pPr>
        <w:spacing w:after="0" w:before="0" w:line="240"/>
      </w:pPr>
      <w:r>
        <w:rPr>
          <w:rFonts w:ascii="Arial" w:cs="Arial" w:eastAsia="Arial" w:hAnsi="Arial"/>
          <w:sz w:val="22"/>
          <w:szCs w:val="22"/>
        </w:rPr>
        <w:t xml:space="preserve">Both parties agree to keep confidential any non-public information shared during the engagement.</w:t>
      </w:r>
    </w:p>
    <w:p>
      <w:pPr>
        <w:spacing w:after="0" w:before="0" w:line="240"/>
      </w:pPr>
    </w:p>
    <w:p>
      <w:pPr>
        <w:spacing w:after="0" w:before="0" w:line="240"/>
      </w:pPr>
      <w:r>
        <w:rPr>
          <w:rFonts w:ascii="Arial" w:cs="Arial" w:eastAsia="Arial" w:hAnsi="Arial"/>
          <w:sz w:val="22"/>
          <w:szCs w:val="22"/>
        </w:rPr>
        <w:t xml:space="preserve">Each party (the </w:t>
      </w:r>
      <w:r>
        <w:rPr>
          <w:rFonts w:ascii="Arial" w:cs="Arial" w:eastAsia="Arial" w:hAnsi="Arial"/>
          <w:b/>
          <w:bCs/>
          <w:sz w:val="22"/>
          <w:szCs w:val="22"/>
        </w:rPr>
        <w:t xml:space="preserve">Receiving Party</w:t>
      </w:r>
      <w:r>
        <w:rPr>
          <w:rFonts w:ascii="Arial" w:cs="Arial" w:eastAsia="Arial" w:hAnsi="Arial"/>
          <w:sz w:val="22"/>
          <w:szCs w:val="22"/>
        </w:rPr>
        <w:t xml:space="preserve">) must keep confidential all information of the other party (the </w:t>
      </w:r>
      <w:r>
        <w:rPr>
          <w:rFonts w:ascii="Arial" w:cs="Arial" w:eastAsia="Arial" w:hAnsi="Arial"/>
          <w:b/>
          <w:bCs/>
          <w:sz w:val="22"/>
          <w:szCs w:val="22"/>
        </w:rPr>
        <w:t xml:space="preserve">Disclosing Party</w:t>
      </w:r>
      <w:r>
        <w:rPr>
          <w:rFonts w:ascii="Arial" w:cs="Arial" w:eastAsia="Arial" w:hAnsi="Arial"/>
          <w:sz w:val="22"/>
          <w:szCs w:val="22"/>
        </w:rPr>
        <w:t xml:space="preserve">) that is by its nature confidential, is designated as confidential, or that a reasonable person would consider confidential, including business strategies, financial data, customer information, trade secrets, technical information, pricing and proposals (</w:t>
      </w:r>
      <w:r>
        <w:rPr>
          <w:rFonts w:ascii="Arial" w:cs="Arial" w:eastAsia="Arial" w:hAnsi="Arial"/>
          <w:b/>
          <w:bCs/>
          <w:sz w:val="22"/>
          <w:szCs w:val="22"/>
        </w:rPr>
        <w:t xml:space="preserve">Confidential Information</w:t>
      </w:r>
      <w:r>
        <w:rPr>
          <w:rFonts w:ascii="Arial" w:cs="Arial" w:eastAsia="Arial" w:hAnsi="Arial"/>
          <w:sz w:val="22"/>
          <w:szCs w:val="22"/>
        </w:rPr>
        <w:t xml:space="preserve">). This includes the Confidential Information of TW’s client.</w:t>
      </w:r>
    </w:p>
    <w:p>
      <w:pPr>
        <w:spacing w:after="0" w:before="0" w:line="240"/>
      </w:pPr>
    </w:p>
    <w:p>
      <w:pPr>
        <w:spacing w:after="0" w:before="0" w:line="240"/>
      </w:pPr>
      <w:r>
        <w:rPr>
          <w:rFonts w:ascii="Arial" w:cs="Arial" w:eastAsia="Arial" w:hAnsi="Arial"/>
          <w:b/>
          <w:bCs/>
          <w:sz w:val="22"/>
          <w:szCs w:val="22"/>
        </w:rPr>
        <w:t xml:space="preserve">Exclusions. </w:t>
      </w:r>
      <w:r>
        <w:rPr>
          <w:rFonts w:ascii="Arial" w:cs="Arial" w:eastAsia="Arial" w:hAnsi="Arial"/>
          <w:sz w:val="22"/>
          <w:szCs w:val="22"/>
        </w:rPr>
        <w:t xml:space="preserve">Confidential Information does not include information that: (a) is or becomes public other than through breach; (b) was lawfully known to the Receiving Party before disclosure; (c) is independently developed without reference to the Disclosing Party’s Confidential Information; or (d) is lawfully received from a third party without confidentiality obligations.</w:t>
      </w:r>
    </w:p>
    <w:p>
      <w:pPr>
        <w:spacing w:after="0" w:before="0" w:line="240"/>
      </w:pPr>
    </w:p>
    <w:p>
      <w:pPr>
        <w:spacing w:after="0" w:before="0" w:line="240"/>
      </w:pPr>
      <w:r>
        <w:rPr>
          <w:rFonts w:ascii="Arial" w:cs="Arial" w:eastAsia="Arial" w:hAnsi="Arial"/>
          <w:b/>
          <w:bCs/>
          <w:sz w:val="22"/>
          <w:szCs w:val="22"/>
        </w:rPr>
        <w:t xml:space="preserve">Use &amp; disclosure. </w:t>
      </w:r>
      <w:r>
        <w:rPr>
          <w:rFonts w:ascii="Arial" w:cs="Arial" w:eastAsia="Arial" w:hAnsi="Arial"/>
          <w:sz w:val="22"/>
          <w:szCs w:val="22"/>
        </w:rPr>
        <w:t xml:space="preserve">The Receiving Party may use Confidential Information solely to perform or receive the Services. It may disclose Confidential Information to its personnel, related bodies corporate, professional advisers and subcontractors who have a need to know and are bound by obligations no less protective.</w:t>
      </w:r>
    </w:p>
    <w:p>
      <w:pPr>
        <w:spacing w:after="0" w:before="0" w:line="240"/>
      </w:pPr>
    </w:p>
    <w:p>
      <w:pPr>
        <w:spacing w:after="0" w:before="0" w:line="240"/>
      </w:pPr>
      <w:r>
        <w:rPr>
          <w:rFonts w:ascii="Arial" w:cs="Arial" w:eastAsia="Arial" w:hAnsi="Arial"/>
          <w:b/>
          <w:bCs/>
          <w:sz w:val="22"/>
          <w:szCs w:val="22"/>
        </w:rPr>
        <w:t xml:space="preserve">Compelled disclosure. </w:t>
      </w:r>
      <w:r>
        <w:rPr>
          <w:rFonts w:ascii="Arial" w:cs="Arial" w:eastAsia="Arial" w:hAnsi="Arial"/>
          <w:sz w:val="22"/>
          <w:szCs w:val="22"/>
        </w:rPr>
        <w:t xml:space="preserve">If legally required to disclose, the Receiving Party will (to the extent lawful) give prompt notice and reasonably cooperate to seek protective treatment.</w:t>
      </w:r>
    </w:p>
    <w:p>
      <w:pPr>
        <w:spacing w:after="0" w:before="0" w:line="240"/>
      </w:pPr>
    </w:p>
    <w:p>
      <w:pPr>
        <w:spacing w:after="0" w:before="0" w:line="240"/>
      </w:pPr>
      <w:r>
        <w:rPr>
          <w:rFonts w:ascii="Arial" w:cs="Arial" w:eastAsia="Arial" w:hAnsi="Arial"/>
          <w:b/>
          <w:bCs/>
          <w:sz w:val="22"/>
          <w:szCs w:val="22"/>
        </w:rPr>
        <w:t xml:space="preserve">Care, return &amp; survival. </w:t>
      </w:r>
      <w:r>
        <w:rPr>
          <w:rFonts w:ascii="Arial" w:cs="Arial" w:eastAsia="Arial" w:hAnsi="Arial"/>
          <w:sz w:val="22"/>
          <w:szCs w:val="22"/>
        </w:rPr>
        <w:t xml:space="preserve">The Receiving Party must protect Confidential Information using at least the same degree of care it uses for its own similar information (and no less than reasonable care). On request or termination, it will promptly return or destroy Confidential Information, except for legally required archival/back-up copies, which remain confidential. The obligations survive termination; for trade secrets, for so long as they remain trade secrets; for other Confidential Information, for </w:t>
      </w:r>
      <w:r>
        <w:rPr>
          <w:rFonts w:ascii="Arial" w:cs="Arial" w:eastAsia="Arial" w:hAnsi="Arial"/>
          <w:b/>
          <w:bCs/>
          <w:sz w:val="22"/>
          <w:szCs w:val="22"/>
        </w:rPr>
        <w:t xml:space="preserve">5 years</w:t>
      </w:r>
      <w:r>
        <w:rPr>
          <w:rFonts w:ascii="Arial" w:cs="Arial" w:eastAsia="Arial" w:hAnsi="Arial"/>
          <w:sz w:val="22"/>
          <w:szCs w:val="22"/>
        </w:rPr>
        <w:t xml:space="preserve"> after termination.</w:t>
      </w:r>
    </w:p>
    <w:p>
      <w:pPr>
        <w:spacing w:after="0" w:before="0" w:line="240"/>
      </w:pPr>
    </w:p>
    <w:p>
      <w:pPr>
        <w:spacing w:after="0" w:before="0" w:line="240"/>
      </w:pPr>
      <w:r>
        <w:rPr>
          <w:rFonts w:ascii="Arial" w:cs="Arial" w:eastAsia="Arial" w:hAnsi="Arial"/>
          <w:b/>
          <w:bCs/>
          <w:sz w:val="22"/>
          <w:szCs w:val="22"/>
        </w:rPr>
        <w:t xml:space="preserve">Remedies. </w:t>
      </w:r>
      <w:r>
        <w:rPr>
          <w:rFonts w:ascii="Arial" w:cs="Arial" w:eastAsia="Arial" w:hAnsi="Arial"/>
          <w:sz w:val="22"/>
          <w:szCs w:val="22"/>
        </w:rPr>
        <w:t xml:space="preserve">The parties acknowledge damages may be inadequate and the Disclosing Party may seek injunctive or other equitable relief.</w:t>
      </w:r>
    </w:p>
    <w:p>
      <w:pPr>
        <w:spacing w:after="0" w:before="0" w:line="240"/>
      </w:pPr>
    </w:p>
    <w:p>
      <w:pPr>
        <w:spacing w:after="0" w:before="0" w:line="240"/>
      </w:pPr>
      <w:r>
        <w:rPr>
          <w:rFonts w:ascii="Arial" w:cs="Arial" w:eastAsia="Arial" w:hAnsi="Arial"/>
          <w:b/>
          <w:bCs/>
          <w:sz w:val="22"/>
          <w:szCs w:val="22"/>
        </w:rPr>
        <w:t xml:space="preserve">Privacy. </w:t>
      </w:r>
      <w:r>
        <w:rPr>
          <w:rFonts w:ascii="Arial" w:cs="Arial" w:eastAsia="Arial" w:hAnsi="Arial"/>
          <w:sz w:val="22"/>
          <w:szCs w:val="22"/>
        </w:rPr>
        <w:t xml:space="preserve">To the extent Confidential Information includes personal information, each party will comply with applicable privacy laws (including the </w:t>
      </w:r>
      <w:r>
        <w:rPr>
          <w:rFonts w:ascii="Arial" w:cs="Arial" w:eastAsia="Arial" w:hAnsi="Arial"/>
          <w:i/>
          <w:iCs/>
          <w:sz w:val="22"/>
          <w:szCs w:val="22"/>
        </w:rPr>
        <w:t xml:space="preserve">Privacy Act 1988 (Cth)</w:t>
      </w:r>
      <w:r>
        <w:rPr>
          <w:rFonts w:ascii="Arial" w:cs="Arial" w:eastAsia="Arial" w:hAnsi="Arial"/>
          <w:sz w:val="22"/>
          <w:szCs w:val="22"/>
        </w:rPr>
        <w:t xml:space="preserve">).</w:t>
      </w:r>
    </w:p>
    <w:p>
      <w:pPr>
        <w:spacing w:after="0" w:before="0" w:line="240"/>
      </w:pPr>
    </w:p>
    <w:p>
      <w:pPr>
        <w:spacing w:after="0" w:before="0" w:line="240"/>
      </w:pPr>
      <w:r>
        <w:rPr>
          <w:rFonts w:ascii="Arial" w:cs="Arial" w:eastAsia="Arial" w:hAnsi="Arial"/>
          <w:b/>
          <w:bCs/>
          <w:sz w:val="22"/>
          <w:szCs w:val="22"/>
        </w:rPr>
        <w:t xml:space="preserve">8. Insurance</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The Consultant must hold and maintain, at her own cost, current professional indemnity insurance and public liability insurance appropriate to the Services, for the term of this agreement and for a reasonable period afterwards</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The Consultant must provide TW with certificates of currency evidencing this cover on request</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If the Consultant fails to hold or evidence the required insurance, TW may suspend or terminate this agreement</w:t>
      </w:r>
    </w:p>
    <w:p>
      <w:pPr>
        <w:spacing w:after="0" w:before="0" w:line="240"/>
      </w:pPr>
    </w:p>
    <w:p>
      <w:pPr>
        <w:spacing w:after="0" w:before="0" w:line="240"/>
      </w:pPr>
      <w:r>
        <w:rPr>
          <w:rFonts w:ascii="Arial" w:cs="Arial" w:eastAsia="Arial" w:hAnsi="Arial"/>
          <w:b/>
          <w:bCs/>
          <w:sz w:val="22"/>
          <w:szCs w:val="22"/>
        </w:rPr>
        <w:t xml:space="preserve">9. Liability</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The Consultant is liable to TW for loss or damage arising from the Services, including from any breach of this agreement or any negligent, wrongful, or defective performance</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The Consultant’s obligations and liability under this agreement operate back-to-back with TW’s obligations and liability to its client under the Head Engagement. Where TW incurs liability to its client arising from or connected with the Consultant’s Services, the Consultant is liable to TW for that liability, and indemnifies TW against it, to the same extent</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The Consultant’s liability under this agreement is not limited below TW’s corresponding exposure to its client under the Head Engagement</w:t>
      </w:r>
    </w:p>
    <w:p>
      <w:pPr>
        <w:spacing w:after="0" w:before="0" w:line="240"/>
      </w:pPr>
    </w:p>
    <w:p>
      <w:pPr>
        <w:pStyle w:val="ListParagraph"/>
        <w:numPr>
          <w:ilvl w:val="0"/>
          <w:numId w:val="2"/>
        </w:numPr>
        <w:spacing w:after="0" w:before="0" w:line="240"/>
      </w:pPr>
      <w:r>
        <w:rPr>
          <w:rFonts w:ascii="Arial" w:cs="Arial" w:eastAsia="Arial" w:hAnsi="Arial"/>
          <w:sz w:val="22"/>
          <w:szCs w:val="22"/>
        </w:rPr>
        <w:t xml:space="preserve">Nothing in this Section limits the insurance obligations in Section 8</w:t>
      </w:r>
    </w:p>
    <w:p>
      <w:pPr>
        <w:spacing w:after="0" w:before="0" w:line="240"/>
      </w:pPr>
    </w:p>
    <w:p>
      <w:pPr>
        <w:spacing w:after="0" w:before="0" w:line="240"/>
      </w:pPr>
      <w:r>
        <w:rPr>
          <w:rFonts w:ascii="Arial" w:cs="Arial" w:eastAsia="Arial" w:hAnsi="Arial"/>
          <w:b/>
          <w:bCs/>
          <w:sz w:val="22"/>
          <w:szCs w:val="22"/>
        </w:rPr>
        <w:t xml:space="preserve">10. Governing Law</w:t>
      </w:r>
    </w:p>
    <w:p>
      <w:pPr>
        <w:spacing w:after="0" w:before="0" w:line="240"/>
      </w:pPr>
      <w:r>
        <w:rPr>
          <w:rFonts w:ascii="Arial" w:cs="Arial" w:eastAsia="Arial" w:hAnsi="Arial"/>
          <w:sz w:val="22"/>
          <w:szCs w:val="22"/>
        </w:rPr>
        <w:t xml:space="preserve">This agreement is governed by the laws of New South Wales, Australia.</w:t>
      </w:r>
    </w:p>
    <w:p>
      <w:pPr>
        <w:spacing w:after="0" w:before="0" w:line="240"/>
      </w:pPr>
    </w:p>
    <w:p>
      <w:pPr>
        <w:spacing w:after="0" w:before="0" w:line="240"/>
      </w:pPr>
      <w:r>
        <w:rPr>
          <w:rFonts w:ascii="Arial" w:cs="Arial" w:eastAsia="Arial" w:hAnsi="Arial"/>
          <w:b/>
          <w:bCs/>
          <w:sz w:val="22"/>
          <w:szCs w:val="22"/>
        </w:rPr>
        <w:t xml:space="preserve">11. Intellectual Property</w:t>
      </w:r>
    </w:p>
    <w:p>
      <w:pPr>
        <w:spacing w:after="0" w:before="0" w:line="240"/>
      </w:pPr>
      <w:r>
        <w:rPr>
          <w:rFonts w:ascii="Arial" w:cs="Arial" w:eastAsia="Arial" w:hAnsi="Arial"/>
          <w:sz w:val="22"/>
          <w:szCs w:val="22"/>
        </w:rPr>
        <w:t xml:space="preserve">The Consultant agrees that all work product, deliverables, materials, inventions, discoveries, designs, developments, and other items of any kind created, prepared, or produced by the Consultant in the course of performing the Services (collectively, </w:t>
      </w:r>
      <w:r>
        <w:rPr>
          <w:rFonts w:ascii="Arial" w:cs="Arial" w:eastAsia="Arial" w:hAnsi="Arial"/>
          <w:sz w:val="22"/>
          <w:szCs w:val="22"/>
        </w:rPr>
        <w:t xml:space="preserve">“Work Product”</w:t>
      </w:r>
      <w:r>
        <w:rPr>
          <w:rFonts w:ascii="Arial" w:cs="Arial" w:eastAsia="Arial" w:hAnsi="Arial"/>
          <w:sz w:val="22"/>
          <w:szCs w:val="22"/>
        </w:rPr>
        <w:t xml:space="preserve">) shall be the sole and exclusive property of TW. The Consultant hereby assigns and agrees to assign to TW all right, title, and interest in and to such Work Product, including all associated intellectual property rights, so that TW may in turn meet its obligations to its client. The Consultant agrees to execute any documents and take any actions reasonably requested by TW to evidence or perfect TW’s ownership of the Work Product.</w:t>
      </w:r>
    </w:p>
    <w:p>
      <w:pPr>
        <w:spacing w:after="0" w:before="0" w:line="240"/>
      </w:pPr>
    </w:p>
    <w:p>
      <w:pPr>
        <w:spacing w:after="0" w:before="0" w:line="240"/>
      </w:pPr>
      <w:r>
        <w:rPr>
          <w:rFonts w:ascii="Arial" w:cs="Arial" w:eastAsia="Arial" w:hAnsi="Arial"/>
          <w:sz w:val="22"/>
          <w:szCs w:val="22"/>
        </w:rPr>
        <w:t xml:space="preserve">For clarity, this does not prevent the Consultant from reusing her own underlying methods, frameworks, templates, or know-how developed during the course of providing the Services.</w:t>
      </w:r>
    </w:p>
    <w:p>
      <w:pPr>
        <w:spacing w:after="0" w:before="0" w:line="240"/>
      </w:pPr>
    </w:p>
    <w:p>
      <w:pPr>
        <w:spacing w:after="0" w:before="0" w:line="240"/>
      </w:pP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line="240"/>
            </w:pPr>
            <w:r>
              <w:rPr>
                <w:rFonts w:ascii="Arial" w:cs="Arial" w:eastAsia="Arial" w:hAnsi="Arial"/>
                <w:sz w:val="22"/>
                <w:szCs w:val="22"/>
              </w:rPr>
              <w:t xml:space="preserve">Signed for and on behalf of</w:t>
            </w:r>
          </w:p>
          <w:p>
            <w:pPr>
              <w:spacing w:after="0" w:before="0" w:line="240"/>
            </w:pPr>
            <w:r>
              <w:rPr>
                <w:rFonts w:ascii="Arial" w:cs="Arial" w:eastAsia="Arial" w:hAnsi="Arial"/>
                <w:b/>
                <w:bCs/>
                <w:sz w:val="22"/>
                <w:szCs w:val="22"/>
              </w:rPr>
              <w:t xml:space="preserve">Turing Works</w:t>
            </w:r>
          </w:p>
          <w:p>
            <w:pPr>
              <w:spacing w:after="0" w:before="0" w:line="240"/>
            </w:pPr>
          </w:p>
          <w:p>
            <w:pPr>
              <w:spacing w:after="0" w:before="0" w:line="240"/>
            </w:pPr>
          </w:p>
          <w:p>
            <w:pPr>
              <w:spacing w:after="0" w:before="0" w:line="240"/>
            </w:pPr>
            <w:r>
              <w:rPr>
                <w:rFonts w:ascii="Arial" w:cs="Arial" w:eastAsia="Arial" w:hAnsi="Arial"/>
                <w:sz w:val="22"/>
                <w:szCs w:val="22"/>
              </w:rPr>
              <w:t xml:space="preserve">Name: ________________________</w:t>
            </w:r>
          </w:p>
          <w:p>
            <w:pPr>
              <w:spacing w:after="0" w:before="0" w:line="240"/>
            </w:pPr>
          </w:p>
          <w:p>
            <w:pPr>
              <w:spacing w:after="0" w:before="0" w:line="240"/>
            </w:pPr>
            <w:r>
              <w:rPr>
                <w:rFonts w:ascii="Arial" w:cs="Arial" w:eastAsia="Arial" w:hAnsi="Arial"/>
                <w:sz w:val="22"/>
                <w:szCs w:val="22"/>
              </w:rPr>
              <w:t xml:space="preserve">Signature: ________________________</w:t>
            </w:r>
          </w:p>
          <w:p>
            <w:pPr>
              <w:spacing w:after="0" w:before="0" w:line="240"/>
            </w:pPr>
          </w:p>
          <w:p>
            <w:pPr>
              <w:spacing w:after="0" w:before="0" w:line="240"/>
            </w:pPr>
            <w:r>
              <w:rPr>
                <w:rFonts w:ascii="Arial" w:cs="Arial" w:eastAsia="Arial" w:hAnsi="Arial"/>
                <w:sz w:val="22"/>
                <w:szCs w:val="22"/>
              </w:rPr>
              <w:t xml:space="preserve">Date: ________________________</w:t>
            </w:r>
          </w:p>
        </w:tc>
        <w:tc>
          <w:tcPr>
            <w:tcW w:type="dxa" w:w="4513"/>
            <w:tcBorders>
              <w:top w:val="none" w:color="FFFFFF" w:sz="0"/>
              <w:left w:val="none" w:color="FFFFFF" w:sz="0"/>
              <w:bottom w:val="none" w:color="FFFFFF" w:sz="0"/>
              <w:right w:val="none" w:color="FFFFFF" w:sz="0"/>
            </w:tcBorders>
            <w:tcMar>
              <w:top w:type="dxa" w:w="40"/>
              <w:left w:type="dxa" w:w="0"/>
              <w:bottom w:type="dxa" w:w="40"/>
              <w:right w:type="dxa" w:w="120"/>
            </w:tcMar>
          </w:tcPr>
          <w:p>
            <w:pPr>
              <w:spacing w:after="0" w:before="0" w:line="240"/>
            </w:pPr>
            <w:r>
              <w:rPr>
                <w:rFonts w:ascii="Arial" w:cs="Arial" w:eastAsia="Arial" w:hAnsi="Arial"/>
                <w:sz w:val="22"/>
                <w:szCs w:val="22"/>
              </w:rPr>
              <w:t xml:space="preserve">Signed for and on behalf of</w:t>
            </w:r>
          </w:p>
          <w:p>
            <w:pPr>
              <w:spacing w:after="0" w:before="0" w:line="240"/>
            </w:pPr>
            <w:r>
              <w:rPr>
                <w:rFonts w:ascii="Arial" w:cs="Arial" w:eastAsia="Arial" w:hAnsi="Arial"/>
                <w:b/>
                <w:bCs/>
                <w:sz w:val="22"/>
                <w:szCs w:val="22"/>
                <w:shd w:fill="FFFF00" w:color="auto" w:val="clear"/>
              </w:rPr>
              <w:t xml:space="preserve">[JOANNE’S LEGAL ENTITY NAME]</w:t>
            </w:r>
          </w:p>
          <w:p>
            <w:pPr>
              <w:spacing w:after="0" w:before="0" w:line="240"/>
            </w:pPr>
          </w:p>
          <w:p>
            <w:pPr>
              <w:spacing w:after="0" w:before="0" w:line="240"/>
            </w:pPr>
          </w:p>
          <w:p>
            <w:pPr>
              <w:spacing w:after="0" w:before="0" w:line="240"/>
            </w:pPr>
            <w:r>
              <w:rPr>
                <w:rFonts w:ascii="Arial" w:cs="Arial" w:eastAsia="Arial" w:hAnsi="Arial"/>
                <w:sz w:val="22"/>
                <w:szCs w:val="22"/>
              </w:rPr>
              <w:t xml:space="preserve">Name: ________________________</w:t>
            </w:r>
          </w:p>
          <w:p>
            <w:pPr>
              <w:spacing w:after="0" w:before="0" w:line="240"/>
            </w:pPr>
          </w:p>
          <w:p>
            <w:pPr>
              <w:spacing w:after="0" w:before="0" w:line="240"/>
            </w:pPr>
            <w:r>
              <w:rPr>
                <w:rFonts w:ascii="Arial" w:cs="Arial" w:eastAsia="Arial" w:hAnsi="Arial"/>
                <w:sz w:val="22"/>
                <w:szCs w:val="22"/>
              </w:rPr>
              <w:t xml:space="preserve">Signature: ________________________</w:t>
            </w:r>
          </w:p>
          <w:p>
            <w:pPr>
              <w:spacing w:after="0" w:before="0" w:line="240"/>
            </w:pPr>
          </w:p>
          <w:p>
            <w:pPr>
              <w:spacing w:after="0" w:before="0" w:line="240"/>
            </w:pPr>
            <w:r>
              <w:rPr>
                <w:rFonts w:ascii="Arial" w:cs="Arial" w:eastAsia="Arial" w:hAnsi="Arial"/>
                <w:sz w:val="22"/>
                <w:szCs w:val="22"/>
              </w:rPr>
              <w:t xml:space="preserve">Date: ________________________</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2026-06-19T02:15:20.122Z</dcterms:created>
  <dcterms:modified xsi:type="dcterms:W3CDTF">2026-06-19T02:15:20.135Z</dcterms:modified>
</cp:coreProperties>
</file>

<file path=docProps/custom.xml><?xml version="1.0" encoding="utf-8"?>
<Properties xmlns="http://schemas.openxmlformats.org/officeDocument/2006/custom-properties" xmlns:vt="http://schemas.openxmlformats.org/officeDocument/2006/docPropsVTypes"/>
</file>