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094C">
      <w:pPr>
        <w:jc w:val="center"/>
      </w:pPr>
      <w:r>
        <w:rPr>
          <w:rFonts w:ascii="Calibri" w:hAnsi="Calibri" w:eastAsia="微软雅黑"/>
          <w:b/>
          <w:color w:val="000000"/>
          <w:sz w:val="36"/>
        </w:rPr>
        <w:t>RAG-ConGuard 项目实质性进展汇报</w:t>
      </w:r>
    </w:p>
    <w:p w14:paraId="5AEDFBBF">
      <w:pPr>
        <w:jc w:val="center"/>
      </w:pPr>
      <w:r>
        <w:rPr>
          <w:rFonts w:ascii="Calibri" w:hAnsi="Calibri" w:eastAsia="微软雅黑"/>
          <w:b w:val="0"/>
          <w:color w:val="595959"/>
          <w:sz w:val="22"/>
        </w:rPr>
        <w:t>面向协同投毒的联盟感知反事实防御（RAG 安全方向）</w:t>
      </w:r>
    </w:p>
    <w:p w14:paraId="2467BCF4">
      <w:pPr>
        <w:jc w:val="center"/>
      </w:pPr>
      <w:r>
        <w:rPr>
          <w:rFonts w:ascii="Calibri" w:hAnsi="Calibri" w:eastAsia="宋体"/>
          <w:b w:val="0"/>
          <w:color w:val="595959"/>
          <w:sz w:val="19"/>
        </w:rPr>
        <w:t>汇报人：锦松   ·   2026-09-01   ·   状态：实验收尾完成，论文进入对齐改写与投稿阶段</w:t>
      </w:r>
    </w:p>
    <w:p w14:paraId="0E45BB0C">
      <w:pPr>
        <w:spacing w:before="0" w:after="120" w:line="324" w:lineRule="auto"/>
        <w:ind w:firstLine="440"/>
      </w:pPr>
      <w:r>
        <w:rPr>
          <w:rFonts w:ascii="Calibri" w:hAnsi="Calibri" w:eastAsia="宋体"/>
          <w:b w:val="0"/>
          <w:sz w:val="22"/>
        </w:rPr>
        <w:t>核心假设（Unsupported Influence）：协同投毒不是一个「可疑文档」，而是一个证据联盟——内部互相支持、外部缺乏独立佐证、却对生成结果有不成比例的控制力。本阶段完成了系统实现、实验体系审计与重建、全部对照实验补齐，以及论文初稿，得到一组可信、可复现的主结果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684E5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FEFEF"/>
          </w:tcPr>
          <w:p w14:paraId="3A487C08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核心指标</w:t>
            </w:r>
          </w:p>
        </w:tc>
        <w:tc>
          <w:tcPr>
            <w:tcW w:w="3024" w:type="dxa"/>
            <w:shd w:val="clear" w:color="auto" w:fill="EFEFEF"/>
          </w:tcPr>
          <w:p w14:paraId="22351925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数值</w:t>
            </w:r>
          </w:p>
        </w:tc>
        <w:tc>
          <w:tcPr>
            <w:tcW w:w="3024" w:type="dxa"/>
            <w:shd w:val="clear" w:color="auto" w:fill="EFEFEF"/>
          </w:tcPr>
          <w:p w14:paraId="2CF776D7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说明</w:t>
            </w:r>
          </w:p>
        </w:tc>
      </w:tr>
      <w:tr w14:paraId="688350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4AB81F8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无防御基线 ASR（攻击成功率）</w:t>
            </w:r>
          </w:p>
        </w:tc>
        <w:tc>
          <w:tcPr>
            <w:tcW w:w="3024" w:type="dxa"/>
          </w:tcPr>
          <w:p w14:paraId="7DCE5293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0.833</w:t>
            </w:r>
          </w:p>
        </w:tc>
        <w:tc>
          <w:tcPr>
            <w:tcW w:w="3024" w:type="dxa"/>
          </w:tcPr>
          <w:p w14:paraId="61ACB125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冻结 test n=60，三数据集（NQ/HotpotQA/MS MARCO）</w:t>
            </w:r>
          </w:p>
        </w:tc>
      </w:tr>
      <w:tr w14:paraId="593490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D9D9"/>
          </w:tcPr>
          <w:p w14:paraId="7ADD8E99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本文方法·可用性操作点 G1</w:t>
            </w:r>
          </w:p>
        </w:tc>
        <w:tc>
          <w:tcPr>
            <w:tcW w:w="3024" w:type="dxa"/>
            <w:shd w:val="clear" w:color="auto" w:fill="D9D9D9"/>
          </w:tcPr>
          <w:p w14:paraId="41E93993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0.583</w:t>
            </w:r>
          </w:p>
        </w:tc>
        <w:tc>
          <w:tcPr>
            <w:tcW w:w="3024" w:type="dxa"/>
            <w:shd w:val="clear" w:color="auto" w:fill="D9D9D9"/>
          </w:tcPr>
          <w:p w14:paraId="19A6B1C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攻击成功率降至 0.583，拒答仅 6.7%，准确率 0.100→0.300</w:t>
            </w:r>
          </w:p>
        </w:tc>
      </w:tr>
      <w:tr w14:paraId="120DD5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D9D9"/>
          </w:tcPr>
          <w:p w14:paraId="1984ADFE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本文方法·强保护操作点 G0</w:t>
            </w:r>
          </w:p>
        </w:tc>
        <w:tc>
          <w:tcPr>
            <w:tcW w:w="3024" w:type="dxa"/>
            <w:shd w:val="clear" w:color="auto" w:fill="D9D9D9"/>
          </w:tcPr>
          <w:p w14:paraId="1A997673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0.217</w:t>
            </w:r>
          </w:p>
        </w:tc>
        <w:tc>
          <w:tcPr>
            <w:tcW w:w="3024" w:type="dxa"/>
            <w:shd w:val="clear" w:color="auto" w:fill="D9D9D9"/>
          </w:tcPr>
          <w:p w14:paraId="44D62C5F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攻击成功率压至 0.217，代价是 40% 拒答</w:t>
            </w:r>
          </w:p>
        </w:tc>
      </w:tr>
      <w:tr w14:paraId="683C67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328BFE6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自适应攻击逃脱率</w:t>
            </w:r>
          </w:p>
        </w:tc>
        <w:tc>
          <w:tcPr>
            <w:tcW w:w="3024" w:type="dxa"/>
          </w:tcPr>
          <w:p w14:paraId="24F4F4B6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</w:t>
            </w:r>
          </w:p>
        </w:tc>
        <w:tc>
          <w:tcPr>
            <w:tcW w:w="3024" w:type="dxa"/>
          </w:tcPr>
          <w:p w14:paraId="172F8F44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3 轮攻击者在环 + 从未参与的未见变体族，均未逃过；检测器 AUC 0.865</w:t>
            </w:r>
          </w:p>
        </w:tc>
      </w:tr>
      <w:tr w14:paraId="5FD133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9106A6C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干净查询效用损失</w:t>
            </w:r>
          </w:p>
        </w:tc>
        <w:tc>
          <w:tcPr>
            <w:tcW w:w="3024" w:type="dxa"/>
          </w:tcPr>
          <w:p w14:paraId="392E18BE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+2~3pp</w:t>
            </w:r>
          </w:p>
        </w:tc>
        <w:tc>
          <w:tcPr>
            <w:tcW w:w="3024" w:type="dxa"/>
          </w:tcPr>
          <w:p w14:paraId="39FB09EC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良性误滤 8.7%–13.5%，无防御本身自带 28.6% 拒答基线</w:t>
            </w:r>
          </w:p>
        </w:tc>
      </w:tr>
    </w:tbl>
    <w:p w14:paraId="5FF63132">
      <w:pPr>
        <w:spacing w:before="280" w:after="120"/>
      </w:pPr>
      <w:r>
        <w:rPr>
          <w:rFonts w:ascii="Calibri" w:hAnsi="Calibri" w:eastAsia="微软雅黑"/>
          <w:b/>
          <w:color w:val="2E74B5"/>
          <w:sz w:val="28"/>
        </w:rPr>
        <w:t>一、本阶段完成的五项实质工作</w:t>
      </w:r>
    </w:p>
    <w:p w14:paraId="36CD8665">
      <w:pPr>
        <w:spacing w:before="0" w:after="120" w:line="324" w:lineRule="auto"/>
      </w:pPr>
      <w:r>
        <w:rPr>
          <w:rFonts w:ascii="Calibri" w:hAnsi="Calibri" w:eastAsia="宋体"/>
          <w:b/>
          <w:sz w:val="22"/>
        </w:rPr>
        <w:t>1. 全链路防御系统实现（6 个模块贯通）</w:t>
      </w:r>
    </w:p>
    <w:p w14:paraId="78D3C6B3">
      <w:pPr>
        <w:spacing w:before="0" w:after="120" w:line="324" w:lineRule="auto"/>
        <w:ind w:firstLine="440"/>
      </w:pPr>
      <w:r>
        <w:rPr>
          <w:rFonts w:ascii="Calibri" w:hAnsi="Calibri" w:eastAsia="宋体"/>
          <w:b w:val="0"/>
          <w:sz w:val="22"/>
        </w:rPr>
        <w:t>多视角检索（BGE 向量 + BM25，RRF 融合 top-5）→ Claim 表示 → 有符号证据图（NLI 三分类阈值 0.7 + 数值冲突启发式 + LLM 兜底 α=0.3）→ 联盟发现（正边连通分量 + 精化 v1.2：size≥2 且凝聚力/影响力为正，孤立单点豁免）→ 联盟级反事实影响度量（信任传播 + 答案支持 + target-free 候选，消除推理期 oracle 泄漏）→ 风险约束安全上下文选择（整联盟剔除 / 仅删最高风险联盟 / 贪心重建三种策略）。攻击者在环训练贯穿后三个模块，全部中间产物落盘，在 AutoDL 4090 上可复现运行。</w:t>
      </w:r>
    </w:p>
    <w:p w14:paraId="5DFC10DA">
      <w:pPr>
        <w:spacing w:before="0" w:after="120" w:line="324" w:lineRule="auto"/>
      </w:pPr>
      <w:r>
        <w:rPr>
          <w:rFonts w:ascii="Calibri" w:hAnsi="Calibri" w:eastAsia="宋体"/>
          <w:b/>
          <w:sz w:val="22"/>
        </w:rPr>
        <w:t>2. 实验体系全面审计与重建（本轮最关键的进展）</w:t>
      </w:r>
    </w:p>
    <w:p w14:paraId="4FEFE049">
      <w:pPr>
        <w:spacing w:before="0" w:after="120" w:line="324" w:lineRule="auto"/>
        <w:ind w:firstLine="440"/>
      </w:pPr>
      <w:r>
        <w:rPr>
          <w:rFonts w:ascii="Calibri" w:hAnsi="Calibri" w:eastAsia="宋体"/>
          <w:b w:val="0"/>
          <w:sz w:val="22"/>
        </w:rPr>
        <w:t>对既有实验做全量审计，识别 7 个硬伤并逐一定位根因。其中最致命的问题：旧结果「低攻击成功率」是靠拒答率 100% 换来的——防御在所有查询上直接弃答，等于没有防御能力。根因定位到两个具体缺陷并已修复：</w:t>
      </w:r>
    </w:p>
    <w:p w14:paraId="26C84C35">
      <w:pPr>
        <w:spacing w:after="80" w:line="312" w:lineRule="auto"/>
        <w:ind w:left="320"/>
      </w:pPr>
      <w:r>
        <w:rPr>
          <w:rFonts w:ascii="Calibri" w:hAnsi="Calibri" w:eastAsia="宋体"/>
          <w:b/>
          <w:sz w:val="22"/>
        </w:rPr>
        <w:t>① 标签定义错误</w:t>
      </w:r>
      <w:r>
        <w:rPr>
          <w:rFonts w:ascii="Calibri" w:hAnsi="Calibri" w:eastAsia="宋体"/>
          <w:b w:val="0"/>
          <w:sz w:val="22"/>
        </w:rPr>
        <w:t>：原用 purity=max(投毒比,良性比) 做正例标签，全良性联盟也被标为正（训练集仅 8 个负例），学习器对一切输出高分→任意阈值下全拒答。已改为 poisoned_ratio≥0.8 标签 + 干净查询联盟作负例池（负例 8→2843）。</w:t>
      </w:r>
    </w:p>
    <w:p w14:paraId="3705A73A">
      <w:pPr>
        <w:spacing w:after="80" w:line="312" w:lineRule="auto"/>
        <w:ind w:left="320"/>
      </w:pPr>
      <w:r>
        <w:rPr>
          <w:rFonts w:ascii="Calibri" w:hAnsi="Calibri" w:eastAsia="宋体"/>
          <w:b/>
          <w:sz w:val="22"/>
        </w:rPr>
        <w:t>② 选择器无保留删除</w:t>
      </w:r>
      <w:r>
        <w:rPr>
          <w:rFonts w:ascii="Calibri" w:hAnsi="Calibri" w:eastAsia="宋体"/>
          <w:b w:val="0"/>
          <w:sz w:val="22"/>
        </w:rPr>
        <w:t>：整联盟剔除策略在 top-5 被同一联盟控制时会清空全部上下文。新增 S2 贪心重建（保留下限 λ）。</w:t>
      </w:r>
    </w:p>
    <w:p w14:paraId="35A3D2B2">
      <w:pPr>
        <w:spacing w:before="0" w:after="120" w:line="324" w:lineRule="auto"/>
        <w:ind w:firstLine="440"/>
      </w:pPr>
      <w:r>
        <w:rPr>
          <w:rFonts w:ascii="Calibri" w:hAnsi="Calibri" w:eastAsia="宋体"/>
          <w:b w:val="0"/>
          <w:sz w:val="22"/>
        </w:rPr>
        <w:t>修复后 val AUC 0.769→0.858，τ=0.05 时投毒联盟漏检=0。随即冻结实验协议 v1.2：统一三层 split（投毒 300 查询按 60/20/20 分层 × 3 数据集，干净集 200/100/300）、逐查询互斥状态标注（攻击成功/正确/拒答/其他）、配对 bootstrap（1000 次）统计检验。旧协议产物全部作废，当前所有结论均来自冻结协议。</w:t>
      </w:r>
    </w:p>
    <w:p w14:paraId="5A2DD022">
      <w:pPr>
        <w:spacing w:before="0" w:after="120" w:line="324" w:lineRule="auto"/>
      </w:pPr>
      <w:r>
        <w:rPr>
          <w:rFonts w:ascii="Calibri" w:hAnsi="Calibri" w:eastAsia="宋体"/>
          <w:b/>
          <w:sz w:val="22"/>
        </w:rPr>
        <w:t>3. 强基线与对照实验补齐</w:t>
      </w:r>
    </w:p>
    <w:p w14:paraId="289CF5F1">
      <w:pPr>
        <w:spacing w:before="0" w:after="120" w:line="324" w:lineRule="auto"/>
        <w:ind w:firstLine="440"/>
      </w:pPr>
      <w:r>
        <w:rPr>
          <w:rFonts w:ascii="Calibri" w:hAnsi="Calibri" w:eastAsia="宋体"/>
          <w:b w:val="0"/>
          <w:sz w:val="22"/>
        </w:rPr>
        <w:t>新增 TrustRAG 原版公平复刻（固定 commit，BGE 替代 Contriever）、逐文档 LOO 防御（B6）、NLI 一致性防御（B4，ReliabilityRAG 风格），与本文方法共用同检索器、同语料、同 split、同生成模型；补干净查询效用实验（clean_test 900 条）；补跨大语言模型（Qwen2.5-7B / Llama-3.1-8B / Mistral-7B-v0.3）；补 3 轮自适应攻防 + 3 组从未参与训练的未见变体族。</w:t>
      </w:r>
    </w:p>
    <w:p w14:paraId="386B8369">
      <w:pPr>
        <w:spacing w:before="0" w:after="120" w:line="324" w:lineRule="auto"/>
      </w:pPr>
      <w:r>
        <w:rPr>
          <w:rFonts w:ascii="Calibri" w:hAnsi="Calibri" w:eastAsia="宋体"/>
          <w:b/>
          <w:sz w:val="22"/>
        </w:rPr>
        <w:t>4. 机制诊断实验 E8：冗余投毒下的稀释效应</w:t>
      </w:r>
    </w:p>
    <w:p w14:paraId="03EED2DC">
      <w:pPr>
        <w:spacing w:before="0" w:after="120" w:line="324" w:lineRule="auto"/>
        <w:ind w:firstLine="440"/>
      </w:pPr>
      <w:r>
        <w:rPr>
          <w:rFonts w:ascii="Calibri" w:hAnsi="Calibri" w:eastAsia="宋体"/>
          <w:b w:val="0"/>
          <w:sz w:val="22"/>
        </w:rPr>
        <w:t>核心动机「逐文档归因在协调投毒下失效」已获得直接数量证据（见第二部分 E8 表）：组规模 2/3/4 时单篇删减影响慢增（0.353→0.521），联盟级删减快增（0.480→0.944），差距 1.36×→1.81× 单调扩大。</w:t>
      </w:r>
    </w:p>
    <w:p w14:paraId="5CF852B1">
      <w:pPr>
        <w:spacing w:before="0" w:after="120" w:line="324" w:lineRule="auto"/>
      </w:pPr>
      <w:r>
        <w:rPr>
          <w:rFonts w:ascii="Calibri" w:hAnsi="Calibri" w:eastAsia="宋体"/>
          <w:b/>
          <w:sz w:val="22"/>
        </w:rPr>
        <w:t>5. 论文初稿与配套产出</w:t>
      </w:r>
    </w:p>
    <w:p w14:paraId="6C5BFE22">
      <w:pPr>
        <w:spacing w:before="0" w:after="120" w:line="324" w:lineRule="auto"/>
        <w:ind w:firstLine="440"/>
      </w:pPr>
      <w:r>
        <w:rPr>
          <w:rFonts w:ascii="Calibri" w:hAnsi="Calibri" w:eastAsia="宋体"/>
          <w:b w:val="0"/>
          <w:sz w:val="22"/>
        </w:rPr>
        <w:t>英文论文初稿 v4（46 张卡片正文 + 4 张真实数据表，表注齐全）已成形，审阅意见 8 条全部落实；配套产出：方法框架图/场景图（fig1–fig2 已就绪，fig3–fig4 待数据对齐后重制）、参考文献库（9 篇已验证 + 8 篇待核）、中国计算机学会 B 类与 SCI 二区双轨定位文档。</w:t>
      </w:r>
    </w:p>
    <w:p w14:paraId="21C1723D">
      <w:pPr>
        <w:spacing w:before="280" w:after="120"/>
      </w:pPr>
      <w:r>
        <w:rPr>
          <w:rFonts w:ascii="Calibri" w:hAnsi="Calibri" w:eastAsia="微软雅黑"/>
          <w:b/>
          <w:color w:val="2E74B5"/>
          <w:sz w:val="28"/>
        </w:rPr>
        <w:t>二、主实验结果</w:t>
      </w:r>
    </w:p>
    <w:p w14:paraId="45561673">
      <w:pPr>
        <w:spacing w:before="0" w:after="120" w:line="324" w:lineRule="auto"/>
        <w:ind w:firstLine="440"/>
      </w:pPr>
      <w:r>
        <w:rPr>
          <w:rFonts w:ascii="Calibri" w:hAnsi="Calibri" w:eastAsia="宋体"/>
          <w:b w:val="0"/>
          <w:sz w:val="22"/>
        </w:rPr>
        <w:t>测试集 n=60（每数据集 20 条，三层冻结 split），逐查询互斥四态判定，配对 bootstrap 1000 次。攻击面：检索 asr@5=1.00，top-5 平均含 3.82 篇投毒文档——这是极端攻击密度（语料注入率约 0.08%）。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40B65F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EFEFEF"/>
          </w:tcPr>
          <w:p w14:paraId="2D13A790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方法</w:t>
            </w:r>
          </w:p>
        </w:tc>
        <w:tc>
          <w:tcPr>
            <w:tcW w:w="1512" w:type="dxa"/>
            <w:shd w:val="clear" w:color="auto" w:fill="EFEFEF"/>
          </w:tcPr>
          <w:p w14:paraId="3D602578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1512" w:type="dxa"/>
            <w:shd w:val="clear" w:color="auto" w:fill="EFEFEF"/>
          </w:tcPr>
          <w:p w14:paraId="76C2E71C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ASR↓</w:t>
            </w:r>
          </w:p>
        </w:tc>
        <w:tc>
          <w:tcPr>
            <w:tcW w:w="1512" w:type="dxa"/>
            <w:shd w:val="clear" w:color="auto" w:fill="EFEFEF"/>
          </w:tcPr>
          <w:p w14:paraId="7CCD7974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准确率↑</w:t>
            </w:r>
          </w:p>
        </w:tc>
        <w:tc>
          <w:tcPr>
            <w:tcW w:w="1512" w:type="dxa"/>
            <w:shd w:val="clear" w:color="auto" w:fill="EFEFEF"/>
          </w:tcPr>
          <w:p w14:paraId="7058A17C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拒答率</w:t>
            </w:r>
          </w:p>
        </w:tc>
        <w:tc>
          <w:tcPr>
            <w:tcW w:w="1512" w:type="dxa"/>
            <w:shd w:val="clear" w:color="auto" w:fill="EFEFEF"/>
          </w:tcPr>
          <w:p w14:paraId="1AB2348F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ΔASR vs 无防御</w:t>
            </w:r>
          </w:p>
        </w:tc>
      </w:tr>
      <w:tr w14:paraId="7E620B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44989D35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B4 NLI 一致性</w:t>
            </w:r>
          </w:p>
        </w:tc>
        <w:tc>
          <w:tcPr>
            <w:tcW w:w="1512" w:type="dxa"/>
          </w:tcPr>
          <w:p w14:paraId="69ACE32D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发布级</w:t>
            </w:r>
          </w:p>
        </w:tc>
        <w:tc>
          <w:tcPr>
            <w:tcW w:w="1512" w:type="dxa"/>
          </w:tcPr>
          <w:p w14:paraId="73030265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0.867</w:t>
            </w:r>
          </w:p>
        </w:tc>
        <w:tc>
          <w:tcPr>
            <w:tcW w:w="1512" w:type="dxa"/>
          </w:tcPr>
          <w:p w14:paraId="53B6BD75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0.083</w:t>
            </w:r>
          </w:p>
        </w:tc>
        <w:tc>
          <w:tcPr>
            <w:tcW w:w="1512" w:type="dxa"/>
          </w:tcPr>
          <w:p w14:paraId="7DA285B9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0.033</w:t>
            </w:r>
          </w:p>
        </w:tc>
        <w:tc>
          <w:tcPr>
            <w:tcW w:w="1512" w:type="dxa"/>
          </w:tcPr>
          <w:p w14:paraId="0B248BFC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+0.033</w:t>
            </w:r>
          </w:p>
        </w:tc>
      </w:tr>
      <w:tr w14:paraId="681418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434EF9EB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B0 无防御</w:t>
            </w:r>
          </w:p>
        </w:tc>
        <w:tc>
          <w:tcPr>
            <w:tcW w:w="1512" w:type="dxa"/>
          </w:tcPr>
          <w:p w14:paraId="5EF9CB2C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基线</w:t>
            </w:r>
          </w:p>
        </w:tc>
        <w:tc>
          <w:tcPr>
            <w:tcW w:w="1512" w:type="dxa"/>
          </w:tcPr>
          <w:p w14:paraId="691F11CA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0.833</w:t>
            </w:r>
          </w:p>
        </w:tc>
        <w:tc>
          <w:tcPr>
            <w:tcW w:w="1512" w:type="dxa"/>
          </w:tcPr>
          <w:p w14:paraId="18953E87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0.100</w:t>
            </w:r>
          </w:p>
        </w:tc>
        <w:tc>
          <w:tcPr>
            <w:tcW w:w="1512" w:type="dxa"/>
          </w:tcPr>
          <w:p w14:paraId="3F2E515F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0.017</w:t>
            </w:r>
          </w:p>
        </w:tc>
        <w:tc>
          <w:tcPr>
            <w:tcW w:w="1512" w:type="dxa"/>
          </w:tcPr>
          <w:p w14:paraId="033B6CB4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—</w:t>
            </w:r>
          </w:p>
        </w:tc>
      </w:tr>
      <w:tr w14:paraId="1D8CD3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07451D6D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B1 相关性过滤</w:t>
            </w:r>
          </w:p>
        </w:tc>
        <w:tc>
          <w:tcPr>
            <w:tcW w:w="1512" w:type="dxa"/>
          </w:tcPr>
          <w:p w14:paraId="4936CCBD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逐文档</w:t>
            </w:r>
          </w:p>
        </w:tc>
        <w:tc>
          <w:tcPr>
            <w:tcW w:w="1512" w:type="dxa"/>
          </w:tcPr>
          <w:p w14:paraId="0CA43FD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0.833</w:t>
            </w:r>
          </w:p>
        </w:tc>
        <w:tc>
          <w:tcPr>
            <w:tcW w:w="1512" w:type="dxa"/>
          </w:tcPr>
          <w:p w14:paraId="40F7E7E3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0.100</w:t>
            </w:r>
          </w:p>
        </w:tc>
        <w:tc>
          <w:tcPr>
            <w:tcW w:w="1512" w:type="dxa"/>
          </w:tcPr>
          <w:p w14:paraId="52042AEE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0.017</w:t>
            </w:r>
          </w:p>
        </w:tc>
        <w:tc>
          <w:tcPr>
            <w:tcW w:w="1512" w:type="dxa"/>
          </w:tcPr>
          <w:p w14:paraId="18EBBB30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0.000</w:t>
            </w:r>
          </w:p>
        </w:tc>
      </w:tr>
      <w:tr w14:paraId="262CCC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0BA87B13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B2 重复过滤</w:t>
            </w:r>
          </w:p>
        </w:tc>
        <w:tc>
          <w:tcPr>
            <w:tcW w:w="1512" w:type="dxa"/>
          </w:tcPr>
          <w:p w14:paraId="739AB223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逐文档</w:t>
            </w:r>
          </w:p>
        </w:tc>
        <w:tc>
          <w:tcPr>
            <w:tcW w:w="1512" w:type="dxa"/>
          </w:tcPr>
          <w:p w14:paraId="5545B5EB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0.750</w:t>
            </w:r>
          </w:p>
        </w:tc>
        <w:tc>
          <w:tcPr>
            <w:tcW w:w="1512" w:type="dxa"/>
          </w:tcPr>
          <w:p w14:paraId="1E12FBD2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0.200</w:t>
            </w:r>
          </w:p>
        </w:tc>
        <w:tc>
          <w:tcPr>
            <w:tcW w:w="1512" w:type="dxa"/>
          </w:tcPr>
          <w:p w14:paraId="18522B7A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0.017</w:t>
            </w:r>
          </w:p>
        </w:tc>
        <w:tc>
          <w:tcPr>
            <w:tcW w:w="1512" w:type="dxa"/>
          </w:tcPr>
          <w:p w14:paraId="1925C5F0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−0.083</w:t>
            </w:r>
          </w:p>
        </w:tc>
      </w:tr>
      <w:tr w14:paraId="7F9E71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0FDAB0CB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B6 逐文档 LOO</w:t>
            </w:r>
          </w:p>
        </w:tc>
        <w:tc>
          <w:tcPr>
            <w:tcW w:w="1512" w:type="dxa"/>
          </w:tcPr>
          <w:p w14:paraId="5E690814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逐文档</w:t>
            </w:r>
          </w:p>
        </w:tc>
        <w:tc>
          <w:tcPr>
            <w:tcW w:w="1512" w:type="dxa"/>
          </w:tcPr>
          <w:p w14:paraId="324A02D5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0.650</w:t>
            </w:r>
          </w:p>
        </w:tc>
        <w:tc>
          <w:tcPr>
            <w:tcW w:w="1512" w:type="dxa"/>
          </w:tcPr>
          <w:p w14:paraId="43F9B297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0.217</w:t>
            </w:r>
          </w:p>
        </w:tc>
        <w:tc>
          <w:tcPr>
            <w:tcW w:w="1512" w:type="dxa"/>
          </w:tcPr>
          <w:p w14:paraId="42EA946B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0.067</w:t>
            </w:r>
          </w:p>
        </w:tc>
        <w:tc>
          <w:tcPr>
            <w:tcW w:w="1512" w:type="dxa"/>
          </w:tcPr>
          <w:p w14:paraId="2D536829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−0.183</w:t>
            </w:r>
          </w:p>
        </w:tc>
      </w:tr>
      <w:tr w14:paraId="7A79FF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D9D9D9"/>
          </w:tcPr>
          <w:p w14:paraId="201DDE14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G1 可用性点（本文）</w:t>
            </w:r>
          </w:p>
        </w:tc>
        <w:tc>
          <w:tcPr>
            <w:tcW w:w="1512" w:type="dxa"/>
            <w:shd w:val="clear" w:color="auto" w:fill="D9D9D9"/>
          </w:tcPr>
          <w:p w14:paraId="5E02838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联盟级</w:t>
            </w:r>
          </w:p>
        </w:tc>
        <w:tc>
          <w:tcPr>
            <w:tcW w:w="1512" w:type="dxa"/>
            <w:shd w:val="clear" w:color="auto" w:fill="D9D9D9"/>
          </w:tcPr>
          <w:p w14:paraId="1A8247EA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0.583</w:t>
            </w:r>
          </w:p>
        </w:tc>
        <w:tc>
          <w:tcPr>
            <w:tcW w:w="1512" w:type="dxa"/>
            <w:shd w:val="clear" w:color="auto" w:fill="D9D9D9"/>
          </w:tcPr>
          <w:p w14:paraId="66ACC79A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0.300</w:t>
            </w:r>
          </w:p>
        </w:tc>
        <w:tc>
          <w:tcPr>
            <w:tcW w:w="1512" w:type="dxa"/>
            <w:shd w:val="clear" w:color="auto" w:fill="D9D9D9"/>
          </w:tcPr>
          <w:p w14:paraId="0B5BBAA4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0.067</w:t>
            </w:r>
          </w:p>
        </w:tc>
        <w:tc>
          <w:tcPr>
            <w:tcW w:w="1512" w:type="dxa"/>
            <w:shd w:val="clear" w:color="auto" w:fill="D9D9D9"/>
          </w:tcPr>
          <w:p w14:paraId="7F77E493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−0.250</w:t>
            </w:r>
          </w:p>
        </w:tc>
      </w:tr>
      <w:tr w14:paraId="32A901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D9D9D9"/>
          </w:tcPr>
          <w:p w14:paraId="20F411E9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G0 强保护点（本文）</w:t>
            </w:r>
          </w:p>
        </w:tc>
        <w:tc>
          <w:tcPr>
            <w:tcW w:w="1512" w:type="dxa"/>
            <w:shd w:val="clear" w:color="auto" w:fill="D9D9D9"/>
          </w:tcPr>
          <w:p w14:paraId="711B4A6A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联盟级</w:t>
            </w:r>
          </w:p>
        </w:tc>
        <w:tc>
          <w:tcPr>
            <w:tcW w:w="1512" w:type="dxa"/>
            <w:shd w:val="clear" w:color="auto" w:fill="D9D9D9"/>
          </w:tcPr>
          <w:p w14:paraId="3606C515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0.217</w:t>
            </w:r>
          </w:p>
        </w:tc>
        <w:tc>
          <w:tcPr>
            <w:tcW w:w="1512" w:type="dxa"/>
            <w:shd w:val="clear" w:color="auto" w:fill="D9D9D9"/>
          </w:tcPr>
          <w:p w14:paraId="6672072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0.333</w:t>
            </w:r>
          </w:p>
        </w:tc>
        <w:tc>
          <w:tcPr>
            <w:tcW w:w="1512" w:type="dxa"/>
            <w:shd w:val="clear" w:color="auto" w:fill="D9D9D9"/>
          </w:tcPr>
          <w:p w14:paraId="48FC53B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0.400</w:t>
            </w:r>
          </w:p>
        </w:tc>
        <w:tc>
          <w:tcPr>
            <w:tcW w:w="1512" w:type="dxa"/>
            <w:shd w:val="clear" w:color="auto" w:fill="D9D9D9"/>
          </w:tcPr>
          <w:p w14:paraId="1C2EECFB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−0.617</w:t>
            </w:r>
          </w:p>
        </w:tc>
      </w:tr>
      <w:tr w14:paraId="51D958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147BF7CA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B5 TrustRAG 原版复刻</w:t>
            </w:r>
          </w:p>
        </w:tc>
        <w:tc>
          <w:tcPr>
            <w:tcW w:w="1512" w:type="dxa"/>
          </w:tcPr>
          <w:p w14:paraId="43D634E2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发布级</w:t>
            </w:r>
          </w:p>
        </w:tc>
        <w:tc>
          <w:tcPr>
            <w:tcW w:w="1512" w:type="dxa"/>
          </w:tcPr>
          <w:p w14:paraId="53C0BF8C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0.150</w:t>
            </w:r>
          </w:p>
        </w:tc>
        <w:tc>
          <w:tcPr>
            <w:tcW w:w="1512" w:type="dxa"/>
          </w:tcPr>
          <w:p w14:paraId="6F0E31A4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0.333</w:t>
            </w:r>
          </w:p>
        </w:tc>
        <w:tc>
          <w:tcPr>
            <w:tcW w:w="1512" w:type="dxa"/>
          </w:tcPr>
          <w:p w14:paraId="0DC7A23A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0.483</w:t>
            </w:r>
          </w:p>
        </w:tc>
        <w:tc>
          <w:tcPr>
            <w:tcW w:w="1512" w:type="dxa"/>
          </w:tcPr>
          <w:p w14:paraId="703A636E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−0.683</w:t>
            </w:r>
          </w:p>
        </w:tc>
      </w:tr>
    </w:tbl>
    <w:p w14:paraId="22CAF1B0">
      <w:pPr>
        <w:spacing w:after="160"/>
      </w:pPr>
      <w:r>
        <w:rPr>
          <w:rFonts w:ascii="Calibri" w:hAnsi="Calibri" w:eastAsia="宋体"/>
          <w:b w:val="0"/>
          <w:color w:val="595959"/>
          <w:sz w:val="18"/>
        </w:rPr>
        <w:t>注：95% 置信区间（配对 bootstrap，vs B0）：G1 Δ=−0.250，CI [−0.367, −0.133]；G0 Δ=−0.617，CI [−0.717, −0.517]。两者均不跨 0。</w:t>
      </w:r>
    </w:p>
    <w:p w14:paraId="6CC953B9">
      <w:pPr>
        <w:spacing w:before="0" w:after="120" w:line="324" w:lineRule="auto"/>
      </w:pPr>
      <w:r>
        <w:rPr>
          <w:rFonts w:ascii="Calibri" w:hAnsi="Calibri" w:eastAsia="宋体"/>
          <w:b/>
          <w:sz w:val="22"/>
        </w:rPr>
        <w:t>三个必须一起讲的结论：</w:t>
      </w:r>
    </w:p>
    <w:p w14:paraId="2285E6D4">
      <w:pPr>
        <w:spacing w:after="80" w:line="312" w:lineRule="auto"/>
        <w:ind w:left="320"/>
      </w:pPr>
      <w:r>
        <w:rPr>
          <w:rFonts w:ascii="Calibri" w:hAnsi="Calibri" w:eastAsia="宋体"/>
          <w:b/>
          <w:sz w:val="22"/>
        </w:rPr>
        <w:t>① 同拒答层位下，联盟级优于逐文档：</w:t>
      </w:r>
      <w:r>
        <w:rPr>
          <w:rFonts w:ascii="Calibri" w:hAnsi="Calibri" w:eastAsia="宋体"/>
          <w:b w:val="0"/>
          <w:sz w:val="22"/>
        </w:rPr>
        <w:t>在拒答 6.7% 这一层，G1（0.583）优于逐文档 LOO（0.650）与重复过滤（0.750），且准确率同时从 0.100 提升到 0.300。</w:t>
      </w:r>
    </w:p>
    <w:p w14:paraId="5AB2C28E">
      <w:pPr>
        <w:spacing w:after="80" w:line="312" w:lineRule="auto"/>
        <w:ind w:left="320"/>
      </w:pPr>
      <w:r>
        <w:rPr>
          <w:rFonts w:ascii="Calibri" w:hAnsi="Calibri" w:eastAsia="宋体"/>
          <w:b/>
          <w:sz w:val="22"/>
        </w:rPr>
        <w:t>② B4 倒挂，反向印证问题选得对：</w:t>
      </w:r>
      <w:r>
        <w:rPr>
          <w:rFonts w:ascii="Calibri" w:hAnsi="Calibri" w:eastAsia="宋体"/>
          <w:b w:val="0"/>
          <w:sz w:val="22"/>
        </w:rPr>
        <w:t>NLI 一致性基线 ASR 0.867，反而高于无防御的 0.833——「一致的多数簇」恰恰就是投毒簇，多数一致性推理在协同投毒下会主动帮攻击者。这是本文动机最强的反例证据。</w:t>
      </w:r>
    </w:p>
    <w:p w14:paraId="6FBA7D6D">
      <w:pPr>
        <w:spacing w:after="80" w:line="312" w:lineRule="auto"/>
        <w:ind w:left="320"/>
      </w:pPr>
      <w:r>
        <w:rPr>
          <w:rFonts w:ascii="Calibri" w:hAnsi="Calibri" w:eastAsia="宋体"/>
          <w:b/>
          <w:sz w:val="22"/>
        </w:rPr>
        <w:t>③ 与 TrustRAG 同层，但机制不同：</w:t>
      </w:r>
      <w:r>
        <w:rPr>
          <w:rFonts w:ascii="Calibri" w:hAnsi="Calibri" w:eastAsia="宋体"/>
          <w:b w:val="0"/>
          <w:sz w:val="22"/>
        </w:rPr>
        <w:t>B5 的 ASR 0.150 低于 G0 的 0.217，但 B5 拒答更高（48.3% vs 40.0%），且其「防御」是让 LLM 自评估后直接改写答案（证据级入侵、不可审计），G0 是纯证据选择（可审计、可追溯）。该对照正面呈现，不回避。</w:t>
      </w:r>
    </w:p>
    <w:p w14:paraId="71ECDFF1">
      <w:pPr>
        <w:spacing w:before="280" w:after="120"/>
      </w:pPr>
      <w:r>
        <w:rPr>
          <w:rFonts w:ascii="Calibri" w:hAnsi="Calibri" w:eastAsia="微软雅黑"/>
          <w:b/>
          <w:color w:val="2E74B5"/>
          <w:sz w:val="28"/>
        </w:rPr>
        <w:t>三、支撑性证据</w:t>
      </w:r>
    </w:p>
    <w:p w14:paraId="61BD125D">
      <w:pPr>
        <w:spacing w:before="200" w:after="120"/>
      </w:pPr>
      <w:r>
        <w:rPr>
          <w:rFonts w:ascii="Calibri" w:hAnsi="Calibri" w:eastAsia="微软雅黑"/>
          <w:b/>
          <w:color w:val="2E74B5"/>
          <w:sz w:val="24"/>
        </w:rPr>
        <w:t>E8 稀释机制（核心动机，target-free 口径，test 39 组 ≥2 篇投毒组）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116900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FEFEF"/>
          </w:tcPr>
          <w:p w14:paraId="29A1AF14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投毒组规模</w:t>
            </w:r>
          </w:p>
        </w:tc>
        <w:tc>
          <w:tcPr>
            <w:tcW w:w="1814" w:type="dxa"/>
            <w:shd w:val="clear" w:color="auto" w:fill="EFEFEF"/>
          </w:tcPr>
          <w:p w14:paraId="64CC8697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组数</w:t>
            </w:r>
          </w:p>
        </w:tc>
        <w:tc>
          <w:tcPr>
            <w:tcW w:w="1814" w:type="dxa"/>
            <w:shd w:val="clear" w:color="auto" w:fill="EFEFEF"/>
          </w:tcPr>
          <w:p w14:paraId="06B32B1F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逐文档 LOO</w:t>
            </w:r>
          </w:p>
        </w:tc>
        <w:tc>
          <w:tcPr>
            <w:tcW w:w="1814" w:type="dxa"/>
            <w:shd w:val="clear" w:color="auto" w:fill="EFEFEF"/>
          </w:tcPr>
          <w:p w14:paraId="1EC30CB0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联盟级删除</w:t>
            </w:r>
          </w:p>
        </w:tc>
        <w:tc>
          <w:tcPr>
            <w:tcW w:w="1814" w:type="dxa"/>
            <w:shd w:val="clear" w:color="auto" w:fill="EFEFEF"/>
          </w:tcPr>
          <w:p w14:paraId="42A1A778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比值</w:t>
            </w:r>
          </w:p>
        </w:tc>
      </w:tr>
      <w:tr w14:paraId="093F50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588952F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2 篇</w:t>
            </w:r>
          </w:p>
        </w:tc>
        <w:tc>
          <w:tcPr>
            <w:tcW w:w="1814" w:type="dxa"/>
          </w:tcPr>
          <w:p w14:paraId="539548E7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15</w:t>
            </w:r>
          </w:p>
        </w:tc>
        <w:tc>
          <w:tcPr>
            <w:tcW w:w="1814" w:type="dxa"/>
          </w:tcPr>
          <w:p w14:paraId="4D9B4126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0.353</w:t>
            </w:r>
          </w:p>
        </w:tc>
        <w:tc>
          <w:tcPr>
            <w:tcW w:w="1814" w:type="dxa"/>
          </w:tcPr>
          <w:p w14:paraId="0E3DA387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0.480</w:t>
            </w:r>
          </w:p>
        </w:tc>
        <w:tc>
          <w:tcPr>
            <w:tcW w:w="1814" w:type="dxa"/>
          </w:tcPr>
          <w:p w14:paraId="5E48BC8B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1.36×</w:t>
            </w:r>
          </w:p>
        </w:tc>
      </w:tr>
      <w:tr w14:paraId="01709F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29C700C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3 篇</w:t>
            </w:r>
          </w:p>
        </w:tc>
        <w:tc>
          <w:tcPr>
            <w:tcW w:w="1814" w:type="dxa"/>
          </w:tcPr>
          <w:p w14:paraId="72D24F09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8</w:t>
            </w:r>
          </w:p>
        </w:tc>
        <w:tc>
          <w:tcPr>
            <w:tcW w:w="1814" w:type="dxa"/>
          </w:tcPr>
          <w:p w14:paraId="0E5B4310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0.466</w:t>
            </w:r>
          </w:p>
        </w:tc>
        <w:tc>
          <w:tcPr>
            <w:tcW w:w="1814" w:type="dxa"/>
          </w:tcPr>
          <w:p w14:paraId="216E2932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0.714</w:t>
            </w:r>
          </w:p>
        </w:tc>
        <w:tc>
          <w:tcPr>
            <w:tcW w:w="1814" w:type="dxa"/>
          </w:tcPr>
          <w:p w14:paraId="48B49BCA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1.53×</w:t>
            </w:r>
          </w:p>
        </w:tc>
      </w:tr>
      <w:tr w14:paraId="47452F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EF1E0DC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4 篇</w:t>
            </w:r>
          </w:p>
        </w:tc>
        <w:tc>
          <w:tcPr>
            <w:tcW w:w="1814" w:type="dxa"/>
          </w:tcPr>
          <w:p w14:paraId="7FDABD3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16</w:t>
            </w:r>
          </w:p>
        </w:tc>
        <w:tc>
          <w:tcPr>
            <w:tcW w:w="1814" w:type="dxa"/>
          </w:tcPr>
          <w:p w14:paraId="27F5DCB8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0.521</w:t>
            </w:r>
          </w:p>
        </w:tc>
        <w:tc>
          <w:tcPr>
            <w:tcW w:w="1814" w:type="dxa"/>
          </w:tcPr>
          <w:p w14:paraId="407875D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0.944</w:t>
            </w:r>
          </w:p>
        </w:tc>
        <w:tc>
          <w:tcPr>
            <w:tcW w:w="1814" w:type="dxa"/>
          </w:tcPr>
          <w:p w14:paraId="2658863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1.81×</w:t>
            </w:r>
          </w:p>
        </w:tc>
      </w:tr>
    </w:tbl>
    <w:p w14:paraId="05320916">
      <w:pPr>
        <w:spacing w:after="160"/>
      </w:pPr>
      <w:r>
        <w:rPr>
          <w:rFonts w:ascii="Calibri" w:hAnsi="Calibri" w:eastAsia="宋体"/>
          <w:b w:val="0"/>
          <w:color w:val="595959"/>
          <w:sz w:val="18"/>
        </w:rPr>
        <w:t>注：组规模增大时单篇删除的影响被剩余成员稀释（慢增），联盟级删除的控制力快速放大，差距随规模单调扩大——「逐文档归因无法处理冗余协同投毒」的直接量化证据。</w:t>
      </w:r>
    </w:p>
    <w:p w14:paraId="644D114A">
      <w:pPr>
        <w:spacing w:before="200" w:after="120"/>
      </w:pPr>
      <w:r>
        <w:rPr>
          <w:rFonts w:ascii="Calibri" w:hAnsi="Calibri" w:eastAsia="微软雅黑"/>
          <w:b/>
          <w:color w:val="2E74B5"/>
          <w:sz w:val="24"/>
        </w:rPr>
        <w:t>跨大语言模型泛化（同 split、同参数）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5442F7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FEFEF"/>
          </w:tcPr>
          <w:p w14:paraId="262557D7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生成模型</w:t>
            </w:r>
          </w:p>
        </w:tc>
        <w:tc>
          <w:tcPr>
            <w:tcW w:w="1814" w:type="dxa"/>
            <w:shd w:val="clear" w:color="auto" w:fill="EFEFEF"/>
          </w:tcPr>
          <w:p w14:paraId="2A33D6A3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无防御 ASR</w:t>
            </w:r>
          </w:p>
        </w:tc>
        <w:tc>
          <w:tcPr>
            <w:tcW w:w="1814" w:type="dxa"/>
            <w:shd w:val="clear" w:color="auto" w:fill="EFEFEF"/>
          </w:tcPr>
          <w:p w14:paraId="523A3394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G0 强保护点</w:t>
            </w:r>
          </w:p>
        </w:tc>
        <w:tc>
          <w:tcPr>
            <w:tcW w:w="1814" w:type="dxa"/>
            <w:shd w:val="clear" w:color="auto" w:fill="EFEFEF"/>
          </w:tcPr>
          <w:p w14:paraId="1058C2B2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G1 可用性点</w:t>
            </w:r>
          </w:p>
        </w:tc>
        <w:tc>
          <w:tcPr>
            <w:tcW w:w="1814" w:type="dxa"/>
            <w:shd w:val="clear" w:color="auto" w:fill="EFEFEF"/>
          </w:tcPr>
          <w:p w14:paraId="59CCEEBE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干净侧误滤</w:t>
            </w:r>
          </w:p>
        </w:tc>
      </w:tr>
      <w:tr w14:paraId="2D4827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F5DEF3D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Qwen2.5-7B</w:t>
            </w:r>
          </w:p>
        </w:tc>
        <w:tc>
          <w:tcPr>
            <w:tcW w:w="1814" w:type="dxa"/>
          </w:tcPr>
          <w:p w14:paraId="3D389577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0.833</w:t>
            </w:r>
          </w:p>
        </w:tc>
        <w:tc>
          <w:tcPr>
            <w:tcW w:w="1814" w:type="dxa"/>
          </w:tcPr>
          <w:p w14:paraId="56C152EB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0.217 @ 40.0%</w:t>
            </w:r>
          </w:p>
        </w:tc>
        <w:tc>
          <w:tcPr>
            <w:tcW w:w="1814" w:type="dxa"/>
          </w:tcPr>
          <w:p w14:paraId="6AEFE102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0.583 @ 6.7%</w:t>
            </w:r>
          </w:p>
        </w:tc>
        <w:tc>
          <w:tcPr>
            <w:tcW w:w="1814" w:type="dxa"/>
          </w:tcPr>
          <w:p w14:paraId="55BAAA3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13.5%</w:t>
            </w:r>
          </w:p>
        </w:tc>
      </w:tr>
      <w:tr w14:paraId="18532D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E20B981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Llama-3.1-8B</w:t>
            </w:r>
          </w:p>
        </w:tc>
        <w:tc>
          <w:tcPr>
            <w:tcW w:w="1814" w:type="dxa"/>
          </w:tcPr>
          <w:p w14:paraId="0DDA9C2C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0.650</w:t>
            </w:r>
          </w:p>
        </w:tc>
        <w:tc>
          <w:tcPr>
            <w:tcW w:w="1814" w:type="dxa"/>
          </w:tcPr>
          <w:p w14:paraId="27754777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0.250 @ 41.7%</w:t>
            </w:r>
          </w:p>
        </w:tc>
        <w:tc>
          <w:tcPr>
            <w:tcW w:w="1814" w:type="dxa"/>
          </w:tcPr>
          <w:p w14:paraId="391ED71F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0.550 @ 11.7%</w:t>
            </w:r>
          </w:p>
        </w:tc>
        <w:tc>
          <w:tcPr>
            <w:tcW w:w="1814" w:type="dxa"/>
          </w:tcPr>
          <w:p w14:paraId="7173CF2B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7.1%</w:t>
            </w:r>
          </w:p>
        </w:tc>
      </w:tr>
    </w:tbl>
    <w:p w14:paraId="07D77BCD">
      <w:pPr>
        <w:jc w:val="left"/>
        <w:rPr>
          <w:rFonts w:ascii="Calibri" w:hAnsi="Calibri" w:eastAsia="宋体"/>
          <w:b w:val="0"/>
          <w:sz w:val="19"/>
        </w:rPr>
        <w:sectPr>
          <w:pgSz w:w="11906" w:h="16838"/>
          <w:pgMar w:top="1304" w:right="1417" w:bottom="1304" w:left="1417" w:header="720" w:footer="720" w:gutter="0"/>
          <w:cols w:space="720" w:num="1"/>
          <w:docGrid w:linePitch="360" w:charSpace="0"/>
        </w:sectPr>
      </w:pP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883"/>
        <w:gridCol w:w="915"/>
        <w:gridCol w:w="883"/>
        <w:gridCol w:w="839"/>
      </w:tblGrid>
      <w:tr w14:paraId="41D2C7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1070198">
            <w:pPr>
              <w:jc w:val="left"/>
            </w:pPr>
            <w:bookmarkStart w:id="0" w:name="_GoBack"/>
            <w:r>
              <w:rPr>
                <w:rFonts w:ascii="Calibri" w:hAnsi="Calibri" w:eastAsia="宋体"/>
                <w:b w:val="0"/>
                <w:sz w:val="19"/>
              </w:rPr>
              <w:t>Mistral-7B-v0.3</w:t>
            </w:r>
          </w:p>
        </w:tc>
        <w:tc>
          <w:tcPr>
            <w:tcW w:w="1814" w:type="dxa"/>
          </w:tcPr>
          <w:p w14:paraId="3843EA85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0.883</w:t>
            </w:r>
          </w:p>
        </w:tc>
        <w:tc>
          <w:tcPr>
            <w:tcW w:w="1814" w:type="dxa"/>
          </w:tcPr>
          <w:p w14:paraId="53131960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0.300 @ 33.3%</w:t>
            </w:r>
          </w:p>
        </w:tc>
        <w:tc>
          <w:tcPr>
            <w:tcW w:w="1814" w:type="dxa"/>
          </w:tcPr>
          <w:p w14:paraId="62BD5046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0.650 @ 0.0%</w:t>
            </w:r>
          </w:p>
        </w:tc>
        <w:tc>
          <w:tcPr>
            <w:tcW w:w="1814" w:type="dxa"/>
          </w:tcPr>
          <w:p w14:paraId="7054BE5A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7.1%</w:t>
            </w:r>
          </w:p>
        </w:tc>
      </w:tr>
    </w:tbl>
    <w:p w14:paraId="3B0CC262">
      <w:pPr>
        <w:spacing w:after="160"/>
        <w:rPr>
          <w:rFonts w:ascii="Calibri" w:hAnsi="Calibri" w:eastAsia="宋体"/>
          <w:b w:val="0"/>
          <w:color w:val="595959"/>
          <w:sz w:val="18"/>
        </w:rPr>
        <w:sectPr>
          <w:type w:val="continuous"/>
          <w:pgSz w:w="11906" w:h="16838"/>
          <w:pgMar w:top="1304" w:right="1417" w:bottom="1304" w:left="1417" w:header="720" w:footer="720" w:gutter="0"/>
          <w:cols w:equalWidth="0" w:num="2">
            <w:col w:w="4323" w:space="425"/>
            <w:col w:w="4323"/>
          </w:cols>
          <w:docGrid w:linePitch="360" w:charSpace="0"/>
        </w:sectPr>
      </w:pPr>
      <w:r>
        <w:rPr>
          <w:rFonts w:ascii="Calibri" w:hAnsi="Calibri" w:eastAsia="宋体"/>
          <w:b w:val="0"/>
          <w:color w:val="595959"/>
          <w:sz w:val="18"/>
        </w:rPr>
        <w:t>注：三个不同模型族的防御方向完全一致——强保护点压至 0.25–0.30，可用性点 0.55–0.65 且拒答极低。附带发</w:t>
      </w:r>
      <w:bookmarkEnd w:id="0"/>
    </w:p>
    <w:p w14:paraId="74BD921C">
      <w:pPr>
        <w:spacing w:after="160"/>
      </w:pPr>
      <w:r>
        <w:rPr>
          <w:rFonts w:ascii="Calibri" w:hAnsi="Calibri" w:eastAsia="宋体"/>
          <w:b w:val="0"/>
          <w:color w:val="595959"/>
          <w:sz w:val="18"/>
        </w:rPr>
        <w:t>现：Llama 天生更抗定向投毒（0.650），Mistral 最易被攻击（0.883）。</w:t>
      </w:r>
    </w:p>
    <w:p w14:paraId="34310948">
      <w:pPr>
        <w:spacing w:before="200" w:after="120"/>
      </w:pPr>
      <w:r>
        <w:rPr>
          <w:rFonts w:ascii="Calibri" w:hAnsi="Calibri" w:eastAsia="微软雅黑"/>
          <w:b/>
          <w:color w:val="2E74B5"/>
          <w:sz w:val="24"/>
        </w:rPr>
        <w:t>自适应攻防（攻击者在环，3 轮 + 未见变体族）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74AB8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FEFEF"/>
          </w:tcPr>
          <w:p w14:paraId="3AE51329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轮次</w:t>
            </w:r>
          </w:p>
        </w:tc>
        <w:tc>
          <w:tcPr>
            <w:tcW w:w="2268" w:type="dxa"/>
            <w:shd w:val="clear" w:color="auto" w:fill="EFEFEF"/>
          </w:tcPr>
          <w:p w14:paraId="3AEC9B59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检测器</w:t>
            </w:r>
          </w:p>
        </w:tc>
        <w:tc>
          <w:tcPr>
            <w:tcW w:w="2268" w:type="dxa"/>
            <w:shd w:val="clear" w:color="auto" w:fill="EFEFEF"/>
          </w:tcPr>
          <w:p w14:paraId="46223EC2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val AUC</w:t>
            </w:r>
          </w:p>
        </w:tc>
        <w:tc>
          <w:tcPr>
            <w:tcW w:w="2268" w:type="dxa"/>
            <w:shd w:val="clear" w:color="auto" w:fill="EFEFEF"/>
          </w:tcPr>
          <w:p w14:paraId="68AEF168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逃脱率 a / b / c</w:t>
            </w:r>
          </w:p>
        </w:tc>
      </w:tr>
      <w:tr w14:paraId="0F2B7E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91533B6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round 0</w:t>
            </w:r>
          </w:p>
        </w:tc>
        <w:tc>
          <w:tcPr>
            <w:tcW w:w="2268" w:type="dxa"/>
          </w:tcPr>
          <w:p w14:paraId="1BB3BBB3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规则</w:t>
            </w:r>
          </w:p>
        </w:tc>
        <w:tc>
          <w:tcPr>
            <w:tcW w:w="2268" w:type="dxa"/>
          </w:tcPr>
          <w:p w14:paraId="74F89750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0.886</w:t>
            </w:r>
          </w:p>
        </w:tc>
        <w:tc>
          <w:tcPr>
            <w:tcW w:w="2268" w:type="dxa"/>
          </w:tcPr>
          <w:p w14:paraId="18A13E13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0.00 / 0.00 / 0.00</w:t>
            </w:r>
          </w:p>
        </w:tc>
      </w:tr>
      <w:tr w14:paraId="265062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D071024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round 1</w:t>
            </w:r>
          </w:p>
        </w:tc>
        <w:tc>
          <w:tcPr>
            <w:tcW w:w="2268" w:type="dxa"/>
          </w:tcPr>
          <w:p w14:paraId="52583088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MLP</w:t>
            </w:r>
          </w:p>
        </w:tc>
        <w:tc>
          <w:tcPr>
            <w:tcW w:w="2268" w:type="dxa"/>
          </w:tcPr>
          <w:p w14:paraId="0B8D2B2D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0.812</w:t>
            </w:r>
          </w:p>
        </w:tc>
        <w:tc>
          <w:tcPr>
            <w:tcW w:w="2268" w:type="dxa"/>
          </w:tcPr>
          <w:p w14:paraId="3585C5FB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0.03 / 0.00 / 0.07</w:t>
            </w:r>
          </w:p>
        </w:tc>
      </w:tr>
      <w:tr w14:paraId="6C9974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9E12FD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round 2</w:t>
            </w:r>
          </w:p>
        </w:tc>
        <w:tc>
          <w:tcPr>
            <w:tcW w:w="2268" w:type="dxa"/>
          </w:tcPr>
          <w:p w14:paraId="18C237E3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MLP</w:t>
            </w:r>
          </w:p>
        </w:tc>
        <w:tc>
          <w:tcPr>
            <w:tcW w:w="2268" w:type="dxa"/>
          </w:tcPr>
          <w:p w14:paraId="06DBD87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0.837</w:t>
            </w:r>
          </w:p>
        </w:tc>
        <w:tc>
          <w:tcPr>
            <w:tcW w:w="2268" w:type="dxa"/>
          </w:tcPr>
          <w:p w14:paraId="6182164B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0.00 / 0.00 / 0.00</w:t>
            </w:r>
          </w:p>
        </w:tc>
      </w:tr>
      <w:tr w14:paraId="1E0E6A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</w:tcPr>
          <w:p w14:paraId="588B4D64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未见变体族 d/e/f</w:t>
            </w:r>
          </w:p>
        </w:tc>
        <w:tc>
          <w:tcPr>
            <w:tcW w:w="2268" w:type="dxa"/>
            <w:shd w:val="clear" w:color="auto" w:fill="D9D9D9"/>
          </w:tcPr>
          <w:p w14:paraId="2A0718C4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最终 MLP</w:t>
            </w:r>
          </w:p>
        </w:tc>
        <w:tc>
          <w:tcPr>
            <w:tcW w:w="2268" w:type="dxa"/>
            <w:shd w:val="clear" w:color="auto" w:fill="D9D9D9"/>
          </w:tcPr>
          <w:p w14:paraId="3B86CACC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0.865</w:t>
            </w:r>
          </w:p>
        </w:tc>
        <w:tc>
          <w:tcPr>
            <w:tcW w:w="2268" w:type="dxa"/>
            <w:shd w:val="clear" w:color="auto" w:fill="D9D9D9"/>
          </w:tcPr>
          <w:p w14:paraId="36C6FB5A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0.00 / 0.00 / 0.00</w:t>
            </w:r>
          </w:p>
        </w:tc>
      </w:tr>
    </w:tbl>
    <w:p w14:paraId="0AB9B1D0">
      <w:pPr>
        <w:spacing w:after="160"/>
      </w:pPr>
      <w:r>
        <w:rPr>
          <w:rFonts w:ascii="Calibri" w:hAnsi="Calibri" w:eastAsia="宋体"/>
          <w:b w:val="0"/>
          <w:color w:val="595959"/>
          <w:sz w:val="18"/>
        </w:rPr>
        <w:t>注：训练中见过的变体与完全未参与训练的 d/e/f 族，逃脱率均为 0；检测器 AUC 维持在 0.81–0.87。</w:t>
      </w:r>
    </w:p>
    <w:p w14:paraId="2764B031">
      <w:pPr>
        <w:spacing w:before="200" w:after="120"/>
      </w:pPr>
      <w:r>
        <w:rPr>
          <w:rFonts w:ascii="Calibri" w:hAnsi="Calibri" w:eastAsia="微软雅黑"/>
          <w:b/>
          <w:color w:val="2E74B5"/>
          <w:sz w:val="24"/>
        </w:rPr>
        <w:t>干净查询效用（clean_test 900 条）</w:t>
      </w:r>
    </w:p>
    <w:p w14:paraId="3AD90834">
      <w:pPr>
        <w:spacing w:before="0" w:after="120" w:line="324" w:lineRule="auto"/>
        <w:ind w:firstLine="440"/>
      </w:pPr>
      <w:r>
        <w:rPr>
          <w:rFonts w:ascii="Calibri" w:hAnsi="Calibri" w:eastAsia="宋体"/>
          <w:b w:val="0"/>
          <w:sz w:val="22"/>
        </w:rPr>
        <w:t>无防御 Vanilla 本身自带 28.6% 拒答（模型弃答基线）。防御的边际代价：G0 拒答 +3.3pp、良性误滤 8.7%；G1 拒答 +2.2pp、良性误滤 13.5%。效用保留良好（满足误滤 ≤15% 的协议约束）。</w:t>
      </w:r>
    </w:p>
    <w:p w14:paraId="48623943">
      <w:pPr>
        <w:spacing w:before="280" w:after="120"/>
      </w:pPr>
      <w:r>
        <w:rPr>
          <w:rFonts w:ascii="Calibri" w:hAnsi="Calibri" w:eastAsia="微软雅黑"/>
          <w:b/>
          <w:color w:val="2E74B5"/>
          <w:sz w:val="28"/>
        </w:rPr>
        <w:t>四、如实说明的三条限制（全部如实报告，不筛数）</w:t>
      </w:r>
    </w:p>
    <w:p w14:paraId="4BB5AEAA">
      <w:pPr>
        <w:spacing w:after="80" w:line="312" w:lineRule="auto"/>
        <w:ind w:left="320"/>
      </w:pPr>
      <w:r>
        <w:rPr>
          <w:rFonts w:ascii="Calibri" w:hAnsi="Calibri" w:eastAsia="宋体"/>
          <w:b/>
          <w:sz w:val="22"/>
        </w:rPr>
        <w:t>① 代理 CCI 与精确 CCI 仅中等相关（ρ≈0.39）：</w:t>
      </w:r>
      <w:r>
        <w:rPr>
          <w:rFonts w:ascii="Calibri" w:hAnsi="Calibri" w:eastAsia="宋体"/>
          <w:b w:val="0"/>
          <w:sz w:val="22"/>
        </w:rPr>
        <w:t>论文原先将影响形式化为生成分布的 JSD，实现用的是「答案支持分数」近似。已补做精确版本（teacher-forced 对齐前缀 + 逐位置 JSD），与代理的 Spearman 相关在 H=8/16/32 下稳定为 0.36/0.39/0.39。结论：代理是有效的排序信号，但不是强代理——论文不得声称「代理=JSD」，将改写为「证据侧近似 + 精确 CCI 对照分析（局限性栏）」。</w:t>
      </w:r>
    </w:p>
    <w:p w14:paraId="50C872CD">
      <w:pPr>
        <w:spacing w:after="80" w:line="312" w:lineRule="auto"/>
        <w:ind w:left="320"/>
      </w:pPr>
      <w:r>
        <w:rPr>
          <w:rFonts w:ascii="Calibri" w:hAnsi="Calibri" w:eastAsia="宋体"/>
          <w:b/>
          <w:sz w:val="22"/>
        </w:rPr>
        <w:t>② 规则风险在端到端指标上略优于 MLP：</w:t>
      </w:r>
      <w:r>
        <w:rPr>
          <w:rFonts w:ascii="Calibri" w:hAnsi="Calibri" w:eastAsia="宋体"/>
          <w:b w:val="0"/>
          <w:sz w:val="22"/>
        </w:rPr>
        <w:t>RuleRisk 规则与 MLP 学习器端到端对比（λ=0.2）：0.533/0.350 vs 0.583/0.300，规则略优。学习器价值体现在判别 AUC（0.79–0.86 vs 规则 0.32 系）与阈值自动化，而非端到端增益。如实写入，不拔高。</w:t>
      </w:r>
    </w:p>
    <w:p w14:paraId="32092EB0">
      <w:pPr>
        <w:spacing w:after="80" w:line="312" w:lineRule="auto"/>
        <w:ind w:left="320"/>
      </w:pPr>
      <w:r>
        <w:rPr>
          <w:rFonts w:ascii="Calibri" w:hAnsi="Calibri" w:eastAsia="宋体"/>
          <w:b/>
          <w:sz w:val="22"/>
        </w:rPr>
        <w:t>③ 高攻击密度下「强保护」与「低拒答」不可兼得：</w:t>
      </w:r>
      <w:r>
        <w:rPr>
          <w:rFonts w:ascii="Calibri" w:hAnsi="Calibri" w:eastAsia="宋体"/>
          <w:b w:val="0"/>
          <w:sz w:val="22"/>
        </w:rPr>
        <w:t>本设置下 58% 的查询整个 top-5 被同一联盟控制，此时拒答是正确动作而非缺陷。因此论文给出两个操作点（G0 强保护 / G1 可用性）而非单一最优。另：BEIR 当前快照不含 gold answer 文件，干净查询的答案准确率不可得，效用只能以误滤率为代理——限制如实标注。</w:t>
      </w:r>
    </w:p>
    <w:p w14:paraId="358D56B2">
      <w:pPr>
        <w:spacing w:before="280" w:after="120"/>
      </w:pPr>
      <w:r>
        <w:rPr>
          <w:rFonts w:ascii="Calibri" w:hAnsi="Calibri" w:eastAsia="微软雅黑"/>
          <w:b/>
          <w:color w:val="2E74B5"/>
          <w:sz w:val="28"/>
        </w:rPr>
        <w:t>五、下一步与时间线（目标：10 月前完成投稿）</w:t>
      </w:r>
    </w:p>
    <w:p w14:paraId="5D1B15E5">
      <w:pPr>
        <w:spacing w:before="0" w:after="120" w:line="324" w:lineRule="auto"/>
        <w:ind w:firstLine="440"/>
      </w:pPr>
      <w:r>
        <w:rPr>
          <w:rFonts w:ascii="Calibri" w:hAnsi="Calibri" w:eastAsia="宋体"/>
          <w:b w:val="0"/>
          <w:sz w:val="22"/>
        </w:rPr>
        <w:t>当前最重要的待办——论文与实验对齐：英文初稿写于最终数据产出之前，核心数字仍来自已作废的旧协议，且方法章节存在一处推理期 oracle 泄漏表述（候选答案写法与摘要声称的 target-free 矛盾）。为纯文字改写工作，1–2 天可完成，无需重跑任何实验。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E869D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FEFEF"/>
          </w:tcPr>
          <w:p w14:paraId="18BA9E9F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时间</w:t>
            </w:r>
          </w:p>
        </w:tc>
        <w:tc>
          <w:tcPr>
            <w:tcW w:w="3024" w:type="dxa"/>
            <w:shd w:val="clear" w:color="auto" w:fill="EFEFEF"/>
          </w:tcPr>
          <w:p w14:paraId="5510D378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任务</w:t>
            </w:r>
          </w:p>
        </w:tc>
        <w:tc>
          <w:tcPr>
            <w:tcW w:w="3024" w:type="dxa"/>
            <w:shd w:val="clear" w:color="auto" w:fill="EFEFEF"/>
          </w:tcPr>
          <w:p w14:paraId="0C895F4F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内容</w:t>
            </w:r>
          </w:p>
        </w:tc>
      </w:tr>
      <w:tr w14:paraId="49EA44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D14FE8F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第 1 周 9/01–9/07</w:t>
            </w:r>
          </w:p>
        </w:tc>
        <w:tc>
          <w:tcPr>
            <w:tcW w:w="3024" w:type="dxa"/>
          </w:tcPr>
          <w:p w14:paraId="09A52088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论文—实验对齐改写</w:t>
            </w:r>
          </w:p>
        </w:tc>
        <w:tc>
          <w:tcPr>
            <w:tcW w:w="3024" w:type="dxa"/>
          </w:tcPr>
          <w:p w14:paraId="0B0F6888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按冻结协议重写摘要与实验章节全部数字；修正方法章节 oracle 泄漏表述、联盟定义、学习器定位；重做 fig3/fig4</w:t>
            </w:r>
          </w:p>
        </w:tc>
      </w:tr>
      <w:tr w14:paraId="75AD14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1C3714F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第 2 周 9/08–9/14</w:t>
            </w:r>
          </w:p>
        </w:tc>
        <w:tc>
          <w:tcPr>
            <w:tcW w:w="3024" w:type="dxa"/>
          </w:tcPr>
          <w:p w14:paraId="07A9514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定刊与排版</w:t>
            </w:r>
          </w:p>
        </w:tc>
        <w:tc>
          <w:tcPr>
            <w:tcW w:w="3024" w:type="dxa"/>
          </w:tcPr>
          <w:p w14:paraId="32C5F525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确定 2–3 个 SCI 二区候选期刊并比对 scope 与页数限制；按目标模板排版；精修 Introduction 与 Related Work；核对参考文献</w:t>
            </w:r>
          </w:p>
        </w:tc>
      </w:tr>
      <w:tr w14:paraId="29ADDF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E2647A8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第 3 周 9/15–9/21</w:t>
            </w:r>
          </w:p>
        </w:tc>
        <w:tc>
          <w:tcPr>
            <w:tcW w:w="3024" w:type="dxa"/>
          </w:tcPr>
          <w:p w14:paraId="11437669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内部审读</w:t>
            </w:r>
          </w:p>
        </w:tc>
        <w:tc>
          <w:tcPr>
            <w:tcW w:w="3024" w:type="dxa"/>
          </w:tcPr>
          <w:p w14:paraId="7FC88621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请导师/同学通读一轮，收集意见修改；图表转高清矢量；术语与重复率检查</w:t>
            </w:r>
          </w:p>
        </w:tc>
      </w:tr>
      <w:tr w14:paraId="6CDD48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EC03A18">
            <w:pPr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第 4 周 9/22–9/30</w:t>
            </w:r>
          </w:p>
        </w:tc>
        <w:tc>
          <w:tcPr>
            <w:tcW w:w="3024" w:type="dxa"/>
          </w:tcPr>
          <w:p w14:paraId="1A4FDB2F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终稿与提交</w:t>
            </w:r>
          </w:p>
        </w:tc>
        <w:tc>
          <w:tcPr>
            <w:tcW w:w="3024" w:type="dxa"/>
          </w:tcPr>
          <w:p w14:paraId="44301F86">
            <w:pPr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语言润色、格式终检、cover letter、补充材料整理，完成投稿</w:t>
            </w:r>
          </w:p>
        </w:tc>
      </w:tr>
    </w:tbl>
    <w:p w14:paraId="682C5484">
      <w:pPr>
        <w:spacing w:before="0" w:after="120" w:line="324" w:lineRule="auto"/>
      </w:pPr>
      <w:r>
        <w:rPr>
          <w:rFonts w:ascii="Calibri" w:hAnsi="Calibri" w:eastAsia="宋体"/>
          <w:b/>
          <w:sz w:val="22"/>
        </w:rPr>
        <w:t>需要老师决策/把关的两点：</w:t>
      </w:r>
    </w:p>
    <w:p w14:paraId="25724020">
      <w:pPr>
        <w:spacing w:after="80" w:line="312" w:lineRule="auto"/>
        <w:ind w:left="320"/>
      </w:pPr>
      <w:r>
        <w:rPr>
          <w:rFonts w:ascii="Calibri" w:hAnsi="Calibri" w:eastAsia="宋体"/>
          <w:b/>
          <w:sz w:val="22"/>
        </w:rPr>
        <w:t>① 目标期刊选择：</w:t>
      </w:r>
      <w:r>
        <w:rPr>
          <w:rFonts w:ascii="Calibri" w:hAnsi="Calibri" w:eastAsia="宋体"/>
          <w:b w:val="0"/>
          <w:sz w:val="22"/>
        </w:rPr>
        <w:t>目前方向是 SCI 二区，具体刊物未定，希望老师推荐或帮助缩小范围。</w:t>
      </w:r>
    </w:p>
    <w:p w14:paraId="6D153869">
      <w:pPr>
        <w:spacing w:after="80" w:line="312" w:lineRule="auto"/>
        <w:ind w:left="320"/>
      </w:pPr>
      <w:r>
        <w:rPr>
          <w:rFonts w:ascii="Calibri" w:hAnsi="Calibri" w:eastAsia="宋体"/>
          <w:b/>
          <w:sz w:val="22"/>
        </w:rPr>
        <w:t>② 操作点取舍：</w:t>
      </w:r>
      <w:r>
        <w:rPr>
          <w:rFonts w:ascii="Calibri" w:hAnsi="Calibri" w:eastAsia="宋体"/>
          <w:b w:val="0"/>
          <w:sz w:val="22"/>
        </w:rPr>
        <w:t>论文是双点并列呈现（强保护 + 可用性），还是以可用性点为主、强保护点放附录？这会影响审稿人对「实用性」的观感。</w:t>
      </w:r>
    </w:p>
    <w:p w14:paraId="16D25E97">
      <w:pPr>
        <w:spacing w:after="160"/>
      </w:pPr>
      <w:r>
        <w:rPr>
          <w:rFonts w:ascii="Calibri" w:hAnsi="Calibri" w:eastAsia="宋体"/>
          <w:b w:val="0"/>
          <w:color w:val="595959"/>
          <w:sz w:val="18"/>
        </w:rPr>
        <w:t>数据来源：experiments/final_protocol/results/（冻结协议 v1.2，AutoDL 4090 真实产出）；权威解读：FINAL_EXPERIMENT_REPORT.md；审计记录：PROJECT_AUDIT.md。本报告不筛数、不修饰，负结果与限制全部保留。</w:t>
      </w:r>
    </w:p>
    <w:sectPr>
      <w:type w:val="continuous"/>
      <w:pgSz w:w="11906" w:h="16838"/>
      <w:pgMar w:top="1304" w:right="1417" w:bottom="130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AA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3116</Words>
  <Characters>4529</Characters>
  <Lines>0</Lines>
  <Paragraphs>0</Paragraphs>
  <TotalTime>58</TotalTime>
  <ScaleCrop>false</ScaleCrop>
  <LinksUpToDate>false</LinksUpToDate>
  <CharactersWithSpaces>4920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郑大-杨锦松</cp:lastModifiedBy>
  <dcterms:modified xsi:type="dcterms:W3CDTF">2026-09-01T09:26:07Z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eyJoZGlkIjoiYmE3OTFlMjgwNTJhZTY2NzZmYjI4Nzg3YWZiYTNjODkiLCJ1c2VySWQiOiIxMzg1ODk2MjM5In0=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161B1E6DBCF54B349B618C80881E2109_12</vt:lpwstr>
  </property>
</Properties>
</file>