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eastAsia="SimSun" w:hAnsi="Times New Roman"/>
          <w:b/>
          <w:bCs/>
          <w:sz w:val="32"/>
          <w:szCs w:val="32"/>
        </w:rPr>
        <w:t xml:space="preserve">RAG-ConGuard: Coalition-Aware Counterfactual Defense</w:t>
      </w:r>
    </w:p>
    <w:p>
      <w:pPr>
        <w:spacing w:after="240" w:before="0"/>
        <w:jc w:val="center"/>
      </w:pPr>
      <w:r>
        <w:rPr>
          <w:rFonts w:ascii="Times New Roman" w:eastAsia="SimSun" w:hAnsi="Times New Roman"/>
          <w:color w:val="808080"/>
          <w:sz w:val="20"/>
          <w:szCs w:val="20"/>
        </w:rPr>
        <w:t xml:space="preserve">论文模仿框架（大师兄三步法）· 主要参考文献: ShieldRAG (AAAI-26) · 目标: 三四区SCI 双栏IEEE风格</w:t>
      </w:r>
    </w:p>
    <w:p>
      <w:pPr>
        <w:spacing w:after="240" w:before="480"/>
      </w:pPr>
      <w:r>
        <w:rPr>
          <w:rFonts w:ascii="Times New Roman" w:eastAsia="SimSun" w:hAnsi="Times New Roman"/>
          <w:b/>
          <w:bCs/>
          <w:i w:val="false"/>
          <w:iCs w:val="false"/>
          <w:color w:val="000000"/>
          <w:sz w:val="22"/>
          <w:szCs w:val="22"/>
        </w:rPr>
        <w:t xml:space="preserve">使用说明</w:t>
      </w:r>
    </w:p>
    <w:p>
      <w:pPr>
        <w:spacing w:after="120" w:before="60"/>
      </w:pPr>
      <w:r>
        <w:rPr>
          <w:rFonts w:ascii="Times New Roman" w:eastAsia="SimSun" w:hAnsi="Times New Roman"/>
          <w:b w:val="false"/>
          <w:bCs w:val="false"/>
          <w:i w:val="false"/>
          <w:iCs w:val="false"/>
          <w:color w:val="000000"/>
          <w:sz w:val="18"/>
          <w:szCs w:val="18"/>
        </w:rPr>
        <w:t xml:space="preserve">① 按卡片编号顺序填写：先在 ✏️ 写作区写中文草稿 → 再按 💬 Reference pattern 套英文句式改写 → 每张卡片标注了篇幅目标（~words 数）。</w:t>
      </w:r>
    </w:p>
    <w:p>
      <w:pPr>
        <w:spacing w:after="120" w:before="60"/>
      </w:pPr>
      <w:r>
        <w:rPr>
          <w:rFonts w:ascii="Times New Roman" w:eastAsia="SimSun" w:hAnsi="Times New Roman"/>
          <w:b w:val="false"/>
          <w:bCs w:val="false"/>
          <w:i w:val="false"/>
          <w:iCs w:val="false"/>
          <w:color w:val="000000"/>
          <w:sz w:val="18"/>
          <w:szCs w:val="18"/>
        </w:rPr>
        <w:t xml:space="preserve">② 黄色虚线框是图表占位：编号、展示内容、参考来源（抄哪张图）、作图建议已给出，实验跑完后替换为真实图表。</w:t>
      </w:r>
    </w:p>
    <w:p>
      <w:pPr>
        <w:spacing w:after="120" w:before="60"/>
      </w:pPr>
      <w:r>
        <w:rPr>
          <w:rFonts w:ascii="Times New Roman" w:eastAsia="SimSun" w:hAnsi="Times New Roman"/>
          <w:b w:val="false"/>
          <w:bCs w:val="false"/>
          <w:i w:val="false"/>
          <w:iCs w:val="false"/>
          <w:color w:val="000000"/>
          <w:sz w:val="18"/>
          <w:szCs w:val="18"/>
        </w:rPr>
        <w:t xml:space="preserve">③ 关键卡片带 ★：I5 关键挑战、M4/M6/M7/M8/M9 核心机制、E8 对照实验、E5-E11 的「图→趋势→机制」三步是三四区审稿底线，务必按序写出。</w:t>
      </w:r>
    </w:p>
    <w:p>
      <w:pPr>
        <w:spacing w:after="120" w:before="60"/>
      </w:pPr>
      <w:r>
        <w:rPr>
          <w:rFonts w:ascii="Times New Roman" w:eastAsia="SimSun" w:hAnsi="Times New Roman"/>
          <w:b w:val="false"/>
          <w:bCs w:val="false"/>
          <w:i w:val="false"/>
          <w:iCs w:val="false"/>
          <w:color w:val="000000"/>
          <w:sz w:val="18"/>
          <w:szCs w:val="18"/>
        </w:rPr>
        <w:t xml:space="preserve">④ 全部卡片填完 = 初稿完成；回到对话可触发 Phase 3 降重（AI 降重 + 人工 2-3 遍），提交前通用术语检查一遍。</w:t>
      </w:r>
    </w:p>
    <w:p>
      <w:pPr>
        <w:spacing w:after="360" w:before="120"/>
      </w:pPr>
      <w:r>
        <w:rPr>
          <w:rFonts w:ascii="Times New Roman" w:eastAsia="SimSun" w:hAnsi="Times New Roman"/>
          <w:b/>
          <w:bCs/>
          <w:i w:val="false"/>
          <w:iCs w:val="false"/>
          <w:color w:val="000000"/>
          <w:sz w:val="18"/>
          <w:szCs w:val="18"/>
        </w:rPr>
        <w:t xml:space="preserve">推荐 Index Terms：</w:t>
      </w:r>
      <w:r>
        <w:rPr>
          <w:rFonts w:ascii="Times New Roman" w:eastAsia="SimSun" w:hAnsi="Times New Roman"/>
          <w:b w:val="false"/>
          <w:bCs w:val="false"/>
          <w:i w:val="false"/>
          <w:iCs w:val="false"/>
          <w:color w:val="000000"/>
          <w:sz w:val="18"/>
          <w:szCs w:val="18"/>
        </w:rPr>
        <w:t xml:space="preserve">Retrieval-Augmented Generation; Knowledge Poisoning Defense; Signed Evidence Graph; Coalitional Counterfactual Influence; Adversarial Training; Safe Context Selection</w:t>
      </w:r>
    </w:p>
    <w:p>
      <w:pPr>
        <w:spacing w:after="240" w:before="480"/>
      </w:pPr>
      <w:r>
        <w:rPr>
          <w:rFonts w:ascii="Times New Roman" w:eastAsia="SimSun" w:hAnsi="Times New Roman"/>
          <w:b/>
          <w:bCs/>
          <w:i w:val="false"/>
          <w:iCs w:val="false"/>
          <w:color w:val="000000"/>
          <w:sz w:val="22"/>
          <w:szCs w:val="22"/>
        </w:rPr>
        <w:t xml:space="preserve">Title（三选一，投稿前可按目标期刊长度微调）</w:t>
      </w:r>
    </w:p>
    <w:p>
      <w:pPr>
        <w:spacing w:after="60" w:before="180"/>
      </w:pPr>
      <w:r>
        <w:rPr>
          <w:rFonts w:ascii="Times New Roman" w:eastAsia="SimSun" w:hAnsi="Times New Roman"/>
          <w:b/>
          <w:bCs/>
          <w:i w:val="false"/>
          <w:iCs w:val="false"/>
          <w:color w:val="1F4E79"/>
          <w:sz w:val="20"/>
          <w:szCs w:val="20"/>
        </w:rPr>
        <w:t xml:space="preserve">「T1」A型 · 名字+问题域（推荐）</w:t>
      </w:r>
    </w:p>
    <w:p>
      <w:pPr>
        <w:spacing w:after="60" w:before="60"/>
      </w:pPr>
      <w:r>
        <w:rPr>
          <w:rFonts w:ascii="Times New Roman" w:eastAsia="SimSun" w:hAnsi="Times New Roman"/>
          <w:b/>
          <w:bCs/>
          <w:i w:val="false"/>
          <w:iCs w:val="false"/>
          <w:color w:val="000000"/>
          <w:sz w:val="20"/>
          <w:szCs w:val="20"/>
        </w:rPr>
        <w:t xml:space="preserve">RAG-ConGuard: Coalition-Aware Counterfactual Defense against Coordinated Knowledge Poisoning in Retrieval-Augmented Generation</w:t>
      </w:r>
    </w:p>
    <w:p>
      <w:pPr>
        <w:spacing w:after="240" w:before="60"/>
      </w:pPr>
      <w:r>
        <w:rPr>
          <w:rFonts w:ascii="Times New Roman" w:eastAsia="SimSun" w:hAnsi="Times New Roman"/>
          <w:b w:val="false"/>
          <w:bCs w:val="false"/>
          <w:i w:val="false"/>
          <w:iCs w:val="false"/>
          <w:color w:val="808080"/>
          <w:sz w:val="16"/>
          <w:szCs w:val="16"/>
        </w:rPr>
        <w:t xml:space="preserve">── | 句式来源: ShieldRAG 命名式 Name: Gerund from Threat</w:t>
      </w:r>
    </w:p>
    <w:p>
      <w:pPr>
        <w:spacing w:after="60" w:before="180"/>
      </w:pPr>
      <w:r>
        <w:rPr>
          <w:rFonts w:ascii="Times New Roman" w:eastAsia="SimSun" w:hAnsi="Times New Roman"/>
          <w:b/>
          <w:bCs/>
          <w:i w:val="false"/>
          <w:iCs w:val="false"/>
          <w:color w:val="1F4E79"/>
          <w:sz w:val="20"/>
          <w:szCs w:val="20"/>
        </w:rPr>
        <w:t xml:space="preserve">「T2」B型 · Safeguarding 式</w:t>
      </w:r>
    </w:p>
    <w:p>
      <w:pPr>
        <w:spacing w:after="60" w:before="60"/>
      </w:pPr>
      <w:r>
        <w:rPr>
          <w:rFonts w:ascii="Times New Roman" w:eastAsia="SimSun" w:hAnsi="Times New Roman"/>
          <w:b/>
          <w:bCs/>
          <w:i w:val="false"/>
          <w:iCs w:val="false"/>
          <w:color w:val="000000"/>
          <w:sz w:val="20"/>
          <w:szCs w:val="20"/>
        </w:rPr>
        <w:t xml:space="preserve">Safeguarding Retrieval-Augmented Generation from Coalitional Poisoning: Evidence-Graph-Guided Counterfactual Influence</w:t>
      </w:r>
    </w:p>
    <w:p>
      <w:pPr>
        <w:spacing w:after="240" w:before="60"/>
      </w:pPr>
      <w:r>
        <w:rPr>
          <w:rFonts w:ascii="Times New Roman" w:eastAsia="SimSun" w:hAnsi="Times New Roman"/>
          <w:b w:val="false"/>
          <w:bCs w:val="false"/>
          <w:i w:val="false"/>
          <w:iCs w:val="false"/>
          <w:color w:val="808080"/>
          <w:sz w:val="16"/>
          <w:szCs w:val="16"/>
        </w:rPr>
        <w:t xml:space="preserve">── | 句式来源: ShieldRAG 副标题式</w:t>
      </w:r>
    </w:p>
    <w:p>
      <w:pPr>
        <w:spacing w:after="60" w:before="180"/>
      </w:pPr>
      <w:r>
        <w:rPr>
          <w:rFonts w:ascii="Times New Roman" w:eastAsia="SimSun" w:hAnsi="Times New Roman"/>
          <w:b/>
          <w:bCs/>
          <w:i w:val="false"/>
          <w:iCs w:val="false"/>
          <w:color w:val="1F4E79"/>
          <w:sz w:val="20"/>
          <w:szCs w:val="20"/>
        </w:rPr>
        <w:t xml:space="preserve">「T3」C型 · 悬念式</w:t>
      </w:r>
    </w:p>
    <w:p>
      <w:pPr>
        <w:spacing w:after="60" w:before="60"/>
      </w:pPr>
      <w:r>
        <w:rPr>
          <w:rFonts w:ascii="Times New Roman" w:eastAsia="SimSun" w:hAnsi="Times New Roman"/>
          <w:b/>
          <w:bCs/>
          <w:i w:val="false"/>
          <w:iCs w:val="false"/>
          <w:color w:val="000000"/>
          <w:sz w:val="20"/>
          <w:szCs w:val="20"/>
        </w:rPr>
        <w:t xml:space="preserve">Uncovering Poisoning Coalitions: A Signed Evidence Graph and Coalitional Counterfactual Defense for RAG</w:t>
      </w:r>
    </w:p>
    <w:p>
      <w:pPr>
        <w:spacing w:after="240" w:before="60"/>
      </w:pPr>
      <w:r>
        <w:rPr>
          <w:rFonts w:ascii="Times New Roman" w:eastAsia="SimSun" w:hAnsi="Times New Roman"/>
          <w:b w:val="false"/>
          <w:bCs w:val="false"/>
          <w:i w:val="false"/>
          <w:iCs w:val="false"/>
          <w:color w:val="808080"/>
          <w:sz w:val="16"/>
          <w:szCs w:val="16"/>
        </w:rPr>
        <w:t xml:space="preserve">── | 若目标期刊喜悬念可用</w:t>
      </w:r>
    </w:p>
    <w:p>
      <w:pPr>
        <w:spacing w:after="240" w:before="480"/>
      </w:pPr>
      <w:r>
        <w:rPr>
          <w:rFonts w:ascii="Times New Roman" w:eastAsia="SimSun" w:hAnsi="Times New Roman"/>
          <w:b/>
          <w:bCs/>
          <w:i w:val="false"/>
          <w:iCs w:val="false"/>
          <w:color w:val="000000"/>
          <w:sz w:val="22"/>
          <w:szCs w:val="22"/>
        </w:rPr>
        <w:t xml:space="preserve">Abstract（单栏 · 打印样式 9pt）</w:t>
      </w:r>
    </w:p>
    <w:p>
      <w:pPr>
        <w:spacing w:after="120" w:before="360"/>
      </w:pPr>
      <w:r>
        <w:rPr>
          <w:rFonts w:ascii="Times New Roman" w:eastAsia="SimSun" w:hAnsi="Times New Roman"/>
          <w:b/>
          <w:bCs/>
          <w:i w:val="false"/>
          <w:iCs w:val="false"/>
          <w:color w:val="1F4E79"/>
          <w:sz w:val="22"/>
          <w:szCs w:val="22"/>
        </w:rPr>
        <w:t xml:space="preserve">「A1」背景现状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在 RAG 系统广泛集成开放知识库的背景下，指出开放来源未经过筛选、必然存在不可信内容。</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1 句：现象 + 固有风险。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bases (e.g., websites) are widely adopted in Retrieval-Augmented Generation (RAG) systems to provide supplementary knowledge. However, such sources inevitably contain biased or harmful content, and incorporating these untrusted contents into the RAG process introduces significant safety risks [cite].</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P-Abstract-1 | ~45 words | 引用: RAG 调研 1-2 条</w:t>
      </w:r>
    </w:p>
    <w:p>
      <w:pPr>
        <w:spacing w:after="120" w:before="360"/>
      </w:pPr>
      <w:r>
        <w:rPr>
          <w:rFonts w:ascii="Times New Roman" w:eastAsia="SimSun" w:hAnsi="Times New Roman"/>
          <w:b/>
          <w:bCs/>
          <w:i w:val="false"/>
          <w:iCs w:val="false"/>
          <w:color w:val="1F4E79"/>
          <w:sz w:val="22"/>
          <w:szCs w:val="22"/>
        </w:rPr>
        <w:t xml:space="preserve">「A2」协同投毒威胁</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2 句：投毒攻击放大风险，且已从单篇注入演变为【多篇互相支持、共同控制生成】的协同形式。</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要点："移除任何一篇仍有剩余控制力" 一句带出联盟概念。</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Recent studies have shown that this vulnerability can be further amplified by adversarial poisoning attacks specifically targeting the knowledge sources. More sophisticated attacks jointly inject multiple mutually-supporting passages so that collectively they dominate the generated output, and removing any single one of them leaves the remaining ones fully in control.</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P-Abstract-2 | ~50 words | 引用: 投毒攻击 1-2 条</w:t>
      </w:r>
    </w:p>
    <w:p>
      <w:pPr>
        <w:spacing w:after="120" w:before="360"/>
      </w:pPr>
      <w:r>
        <w:rPr>
          <w:rFonts w:ascii="Times New Roman" w:eastAsia="SimSun" w:hAnsi="Times New Roman"/>
          <w:b/>
          <w:bCs/>
          <w:i w:val="false"/>
          <w:iCs w:val="false"/>
          <w:color w:val="1F4E79"/>
          <w:sz w:val="22"/>
          <w:szCs w:val="22"/>
        </w:rPr>
        <w:t xml:space="preserve">「A3」现有防御局限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3 句：现有防御大多逐篇独立判断（困惑度/嵌入距离/文本相似度等人工统计特征），忽略候选文档间的结构与冗余关系，且在自适应攻击下退化。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留给你的一句话要能链接到 "Unsupported Influence" 缺位。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defenses examine each retrieved document independently using hand-crafted features such as perplexity, embedding distances, and textual similarity, failing to capture the structural relations among candidate documents; they also degrade under adaptive attacks.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P-Abstract-3 | ~40 words | 引用: 弱防御线 1-2 条</w:t>
      </w:r>
    </w:p>
    <w:p>
      <w:pPr>
        <w:spacing w:after="120" w:before="360"/>
      </w:pPr>
      <w:r>
        <w:rPr>
          <w:rFonts w:ascii="Times New Roman" w:eastAsia="SimSun" w:hAnsi="Times New Roman"/>
          <w:b/>
          <w:bCs/>
          <w:i w:val="false"/>
          <w:iCs w:val="false"/>
          <w:color w:val="1F4E79"/>
          <w:sz w:val="22"/>
          <w:szCs w:val="22"/>
        </w:rPr>
        <w:t xml:space="preserve">「A4」提出框架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4 句：提出 RAG-ConGuard——一个对检索证据集合做结构化风险推理的联盟感知反事实防御框架。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reasons over the structure of the retrieved evidence set through multi-view retrieval stability, a query-conditioned signed evidence graph, and coalition-level generation control.</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P-Abstract-4 | ~40 words | 无新引用</w:t>
      </w:r>
    </w:p>
    <w:p>
      <w:pPr>
        <w:spacing w:after="120" w:before="360"/>
      </w:pPr>
      <w:r>
        <w:rPr>
          <w:rFonts w:ascii="Times New Roman" w:eastAsia="SimSun" w:hAnsi="Times New Roman"/>
          <w:b/>
          <w:bCs/>
          <w:i w:val="false"/>
          <w:iCs w:val="false"/>
          <w:color w:val="1F4E79"/>
          <w:sz w:val="22"/>
          <w:szCs w:val="22"/>
        </w:rPr>
        <w:t xml:space="preserve">「A5」核心机制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5 句（本轮最重要）：先在证据图上发现联盟，再【整体删除联盟】测反事实生成影响（JS 散度），从而识别"缺少独立支持却不成比例控制生成"的投毒联盟。</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强调：无需事先知道攻击目标。</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core idea is to first discover evidence coalitions on the signed evidence graph and then measure their coalitional counterfactual influence: the Jensen–Shannon divergence of the generation distribution after removing the whole coalition. This captures the disproportionate, under-supported control of coordinated poisoned documents without knowing the attack target in advance.</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P-Abstract-5 | ~55 words | 无新引用</w:t>
      </w:r>
    </w:p>
    <w:p>
      <w:pPr>
        <w:spacing w:after="120" w:before="360"/>
      </w:pPr>
      <w:r>
        <w:rPr>
          <w:rFonts w:ascii="Times New Roman" w:eastAsia="SimSun" w:hAnsi="Times New Roman"/>
          <w:b/>
          <w:bCs/>
          <w:i w:val="false"/>
          <w:iCs w:val="false"/>
          <w:color w:val="1F4E79"/>
          <w:sz w:val="22"/>
          <w:szCs w:val="22"/>
        </w:rPr>
        <w:t xml:space="preserve">「A6」学习与生成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6 句：分层集合风险学习器（文档/联盟/查询三级风险）+ 风险约束安全上下文选择；再一句给出 ADSEA-C 联盟式自适应攻击与攻击者在环训练。</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this end, a hierarchical set-aware risk learner and a risk-constrained safe context selector jointly identify dangerous coalitions and construct safe evidence subsets, while a coalition-aware adaptive attack (ADSEA-C) drives adversary-in-the-loop training.</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P-Abstract-6 | ~40 words | 无新引用</w:t>
      </w:r>
    </w:p>
    <w:p>
      <w:pPr>
        <w:spacing w:after="120" w:before="360"/>
      </w:pPr>
      <w:r>
        <w:rPr>
          <w:rFonts w:ascii="Times New Roman" w:eastAsia="SimSun" w:hAnsi="Times New Roman"/>
          <w:b/>
          <w:bCs/>
          <w:i w:val="false"/>
          <w:iCs w:val="false"/>
          <w:color w:val="1F4E79"/>
          <w:sz w:val="22"/>
          <w:szCs w:val="22"/>
        </w:rPr>
        <w:t xml:space="preserve">「A7」实验设置与规模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7 句：在 [N] 个真实世界数据集、[L] 个主流行 LLM、[K] 种投毒攻击策略（含本文 ADSEA-C 与旧版基线）下评估，报告检索/生成 ASR、Recall@k 与生成准确率。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若实验已定稿，直接填数字。</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evaluate RAG-ConGuard on [N] real-world datasets with [L] widely-used LLMs under [K] poisoning attack strategies, reporting retrieval and generation attack success rates (ASR), Recall@k, and generation accuracy.</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P-Abstract-7 | ~40 words | 无新引用</w:t>
      </w:r>
    </w:p>
    <w:p>
      <w:pPr>
        <w:spacing w:after="120" w:before="360"/>
      </w:pPr>
      <w:r>
        <w:rPr>
          <w:rFonts w:ascii="Times New Roman" w:eastAsia="SimSun" w:hAnsi="Times New Roman"/>
          <w:b/>
          <w:bCs/>
          <w:i w:val="false"/>
          <w:iCs w:val="false"/>
          <w:color w:val="1F4E79"/>
          <w:sz w:val="22"/>
          <w:szCs w:val="22"/>
        </w:rPr>
        <w:t xml:space="preserve">「A8」结果与意义</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8 句：结果句（ASR 降至近零、精度/召回恢复至攻击前水平）+ 意义句（联盟级结构化推理是可信 RAG 的关键组件）。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可选：代码仓库。</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Code is available at [link].</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P-Abstract-8 | ~50 words | 无新引用</w:t>
      </w:r>
    </w:p>
    <w:p>
      <w:pPr>
        <w:sectPr>
          <w:pgSz w:w="11905" w:h="16837" w:orient="portrait"/>
          <w:pgMar w:top="1440" w:right="1133" w:bottom="1440" w:left="1133" w:header="708" w:footer="708" w:gutter="0"/>
          <w:pgNumType/>
          <w:cols w:space="340" w:num="1"/>
          <w:docGrid w:linePitch="360"/>
        </w:sectPr>
      </w:pPr>
    </w:p>
    <w:p>
      <w:pPr>
        <w:spacing w:after="240" w:before="480"/>
      </w:pPr>
      <w:r>
        <w:rPr>
          <w:rFonts w:ascii="Times New Roman" w:eastAsia="SimSun" w:hAnsi="Times New Roman"/>
          <w:b/>
          <w:bCs/>
          <w:i w:val="false"/>
          <w:iCs w:val="false"/>
          <w:color w:val="000000"/>
          <w:sz w:val="22"/>
          <w:szCs w:val="22"/>
        </w:rPr>
        <w:t xml:space="preserve">1. Introduction</w:t>
      </w:r>
    </w:p>
    <w:p>
      <w:pPr>
        <w:spacing w:after="120" w:before="360"/>
      </w:pPr>
      <w:r>
        <w:rPr>
          <w:rFonts w:ascii="Times New Roman" w:eastAsia="SimSun" w:hAnsi="Times New Roman"/>
          <w:b/>
          <w:bCs/>
          <w:i w:val="false"/>
          <w:iCs w:val="false"/>
          <w:color w:val="1F4E79"/>
          <w:sz w:val="22"/>
          <w:szCs w:val="22"/>
        </w:rPr>
        <w:t xml:space="preserve">「I1」RAG 普及与开放知识库价值</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三段式第 1 段（2-3 句）：①RAG 因"可访问最新/领域知识"成为主流；②开放来源是主要知识供给；③给 2-3 篇综述引用。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P-Intro-1 | ~110 words | 引用建议: [Gao et al. 2023], [Ni et al. 2025], [Huang et al. 2025]</w:t>
      </w:r>
    </w:p>
    <w:p>
      <w:pPr>
        <w:spacing w:after="120" w:before="360"/>
      </w:pPr>
      <w:r>
        <w:rPr>
          <w:rFonts w:ascii="Times New Roman" w:eastAsia="SimSun" w:hAnsi="Times New Roman"/>
          <w:b/>
          <w:bCs/>
          <w:i w:val="false"/>
          <w:iCs w:val="false"/>
          <w:color w:val="1F4E79"/>
          <w:sz w:val="22"/>
          <w:szCs w:val="22"/>
        </w:rPr>
        <w:t xml:space="preserve">「I2」开放知识库固有风险（Fig.1）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①未筛选来源必含偏差/有害内容；②有害段落进入 prompt 会触发三类失败模式（对应 Fig.1 情景图——请画【协同投毒联盟以"互相支持"伪装成多份独立证据，误导生成】）；③强调对用户可信度的侵蚀。</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情景图：协同投毒联盟欺骗性支持→错误回答 + 质量退化（3 种失败模式）</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1（改画威胁场景）</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PPT/Visio 画 3 个失败模式分支 + LLM 生成框；双栏半宽</w:t>
            </w:r>
          </w:p>
        </w:tc>
      </w:tr>
    </w:tbl>
    <w:p>
      <w:pPr>
        <w:spacing w:after="480" w:before="120"/>
      </w:pPr>
      <w:r>
        <w:rPr>
          <w:rFonts w:ascii="Times New Roman" w:eastAsia="SimSun" w:hAnsi="Times New Roman"/>
          <w:b w:val="false"/>
          <w:bCs w:val="false"/>
          <w:i w:val="false"/>
          <w:iCs w:val="false"/>
          <w:color w:val="808080"/>
          <w:sz w:val="16"/>
          <w:szCs w:val="16"/>
        </w:rPr>
        <w:t xml:space="preserve">── P-Intro-2 | ~130 words | 引用建议: 安全性风险 1-2 条</w:t>
      </w:r>
    </w:p>
    <w:p>
      <w:pPr>
        <w:spacing w:after="120" w:before="360"/>
      </w:pPr>
      <w:r>
        <w:rPr>
          <w:rFonts w:ascii="Times New Roman" w:eastAsia="SimSun" w:hAnsi="Times New Roman"/>
          <w:b/>
          <w:bCs/>
          <w:i w:val="false"/>
          <w:iCs w:val="false"/>
          <w:color w:val="1F4E79"/>
          <w:sz w:val="22"/>
          <w:szCs w:val="22"/>
        </w:rPr>
        <w:t xml:space="preserve">「I3」投毒攻击的演进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P-Intro-3 | ~140 words | 引用建议: [Zhong et al. 2023], [One Shot Dominance 2025], [RIPRAG 2026], 可选 [PoisonedRAG], [BadRAG]</w:t>
      </w:r>
    </w:p>
    <w:p>
      <w:pPr>
        <w:spacing w:after="120" w:before="360"/>
      </w:pPr>
      <w:r>
        <w:rPr>
          <w:rFonts w:ascii="Times New Roman" w:eastAsia="SimSun" w:hAnsi="Times New Roman"/>
          <w:b/>
          <w:bCs/>
          <w:i w:val="false"/>
          <w:iCs w:val="false"/>
          <w:color w:val="1F4E79"/>
          <w:sz w:val="22"/>
          <w:szCs w:val="22"/>
        </w:rPr>
        <w:t xml:space="preserve">「I4」现有防御的不足</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共同病根：**逐文档独立判断 + 静态阈值**，看不到"联盟级冗余控制"。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P-Intro-4 | ~160 words | 引用建议: [RobustRAG], [TrustRAG], [ReliabilityRAG], [AttnTrace], [Who Taught the Lie], [Push and Pull]</w:t>
      </w:r>
    </w:p>
    <w:p>
      <w:pPr>
        <w:spacing w:after="120" w:before="360"/>
      </w:pPr>
      <w:r>
        <w:rPr>
          <w:rFonts w:ascii="Times New Roman" w:eastAsia="SimSun" w:hAnsi="Times New Roman"/>
          <w:b/>
          <w:bCs/>
          <w:i w:val="false"/>
          <w:iCs w:val="false"/>
          <w:color w:val="1F4E79"/>
          <w:sz w:val="22"/>
          <w:szCs w:val="22"/>
        </w:rPr>
        <w:t xml:space="preserve">「I5」关键挑战 ★</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P-Intro-5 | ~120 words | 承接 I2-I4, 无新引用</w:t>
      </w:r>
    </w:p>
    <w:p>
      <w:pPr>
        <w:spacing w:after="120" w:before="360"/>
      </w:pPr>
      <w:r>
        <w:rPr>
          <w:rFonts w:ascii="Times New Roman" w:eastAsia="SimSun" w:hAnsi="Times New Roman"/>
          <w:b/>
          <w:bCs/>
          <w:i w:val="false"/>
          <w:iCs w:val="false"/>
          <w:color w:val="1F4E79"/>
          <w:sz w:val="22"/>
          <w:szCs w:val="22"/>
        </w:rPr>
        <w:t xml:space="preserve">「I6」本文提出 RAG-ConGuard</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P-Intro-6 | ~170 words | 无新引用</w:t>
      </w:r>
    </w:p>
    <w:p>
      <w:pPr>
        <w:spacing w:after="120" w:before="360"/>
      </w:pPr>
      <w:r>
        <w:rPr>
          <w:rFonts w:ascii="Times New Roman" w:eastAsia="SimSun" w:hAnsi="Times New Roman"/>
          <w:b/>
          <w:bCs/>
          <w:i w:val="false"/>
          <w:iCs w:val="false"/>
          <w:color w:val="1F4E79"/>
          <w:sz w:val="22"/>
          <w:szCs w:val="22"/>
        </w:rPr>
        <w:t xml:space="preserve">「I7」三贡献 bullets</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（"首次"措辞采用你设计文档第 17 节的组合级声明，逐组件不称首次。）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P-Intro-7 | ~150 words | 无新引用</w:t>
      </w:r>
    </w:p>
    <w:p>
      <w:pPr>
        <w:spacing w:after="240" w:before="480"/>
      </w:pPr>
      <w:r>
        <w:rPr>
          <w:rFonts w:ascii="Times New Roman" w:eastAsia="SimSun" w:hAnsi="Times New Roman"/>
          <w:b/>
          <w:bCs/>
          <w:i w:val="false"/>
          <w:iCs w:val="false"/>
          <w:color w:val="000000"/>
          <w:sz w:val="22"/>
          <w:szCs w:val="22"/>
        </w:rPr>
        <w:t xml:space="preserve">2. Related Work</w:t>
      </w:r>
    </w:p>
    <w:p>
      <w:pPr>
        <w:spacing w:after="120" w:before="360"/>
      </w:pPr>
      <w:r>
        <w:rPr>
          <w:rFonts w:ascii="Times New Roman" w:eastAsia="SimSun" w:hAnsi="Times New Roman"/>
          <w:b/>
          <w:bCs/>
          <w:i w:val="false"/>
          <w:iCs w:val="false"/>
          <w:color w:val="1F4E79"/>
          <w:sz w:val="22"/>
          <w:szCs w:val="22"/>
        </w:rPr>
        <w:t xml:space="preserve">「RW1a」Related Work 1 · 针对检索阶段与全系统的攻击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按攻击对象分级：先稠密检索层（Zhong’23 注入对抗段落、Long’24 语法隐门），说明"少量注入即误导检索"；为下一段过渡。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P-RW-1a | ~120 words | 引用建议: [Zhao et al. 2024], [Zhong et al. 2023], [Long et al. 2024]</w:t>
      </w:r>
    </w:p>
    <w:p>
      <w:pPr>
        <w:spacing w:after="120" w:before="360"/>
      </w:pPr>
      <w:r>
        <w:rPr>
          <w:rFonts w:ascii="Times New Roman" w:eastAsia="SimSun" w:hAnsi="Times New Roman"/>
          <w:b/>
          <w:bCs/>
          <w:i w:val="false"/>
          <w:iCs w:val="false"/>
          <w:color w:val="1F4E79"/>
          <w:sz w:val="22"/>
          <w:szCs w:val="22"/>
        </w:rPr>
        <w:t xml:space="preserve">「RW1b」Related Work 1 · 全系统与新兴协同/黑盒攻击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P-RW-1b | ~140 words | 引用建议: [PoisonedRAG], [BadRAG], [Tan et al. 2024b], [One Shot Dominance 2025], [RIPRAG 2026]</w:t>
      </w:r>
    </w:p>
    <w:p>
      <w:pPr>
        <w:spacing w:after="120" w:before="360"/>
      </w:pPr>
      <w:r>
        <w:rPr>
          <w:rFonts w:ascii="Times New Roman" w:eastAsia="SimSun" w:hAnsi="Times New Roman"/>
          <w:b/>
          <w:bCs/>
          <w:i w:val="false"/>
          <w:iCs w:val="false"/>
          <w:color w:val="1F4E79"/>
          <w:sz w:val="22"/>
          <w:szCs w:val="22"/>
        </w:rPr>
        <w:t xml:space="preserve">「RW2a」Related Work 2 · 手工特征与聚类/可证明防御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①一类：手工特征过滤（困惑度/嵌入距离，Zhong’23）；②二类：可证明鲁棒（RobustRAG 隔离响应聚合，计算成本高）；③三类：聚类+LLM 重排（TrustRAG，自适应攻击下退化）；④一句共同局限收尾。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P-RW-2a | ~120 words | 引用建议: [Xiang et al. 2024], [Zhou et al. 2025], [Zhong et al. 2023]</w:t>
      </w:r>
    </w:p>
    <w:p>
      <w:pPr>
        <w:spacing w:after="120" w:before="360"/>
      </w:pPr>
      <w:r>
        <w:rPr>
          <w:rFonts w:ascii="Times New Roman" w:eastAsia="SimSun" w:hAnsi="Times New Roman"/>
          <w:b/>
          <w:bCs/>
          <w:i w:val="false"/>
          <w:iCs w:val="false"/>
          <w:color w:val="1F4E79"/>
          <w:sz w:val="22"/>
          <w:szCs w:val="22"/>
        </w:rPr>
        <w:t xml:space="preserve">「RW2b」Related Work 2 · 结构/归因防御与差距陈述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①近年防御走向结构性信号：ReliabilityRAG 用 NLI 矛盾图 + 最大独立集找一致多数；AttnTrace 用注意力做上下文归因；Push and Pull 重塑嵌入空间；Who Taught the Lie 做投毒责任归因。</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②差异句（务必精确引用）：上述工作均逐文档或逐来源处理，无人把候选集建模为"支持-矛盾联盟"并测量联盟级生成控制力，也无人针对联盟式自适应攻击训练防御。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③落点句：当前的防御仍是分裂的、反应式的（改写 ShieldRAG 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P-RW-2b | ~150 words | 引用建议: [ReliabilityRAG], [AttnTrace], [Push and Pull], [Who Taught the Lie]</w:t>
      </w:r>
    </w:p>
    <w:p>
      <w:pPr>
        <w:spacing w:after="240" w:before="480"/>
      </w:pPr>
      <w:r>
        <w:rPr>
          <w:rFonts w:ascii="Times New Roman" w:eastAsia="SimSun" w:hAnsi="Times New Roman"/>
          <w:b/>
          <w:bCs/>
          <w:i w:val="false"/>
          <w:iCs w:val="false"/>
          <w:color w:val="000000"/>
          <w:sz w:val="22"/>
          <w:szCs w:val="22"/>
        </w:rPr>
        <w:t xml:space="preserve">3. Methods</w:t>
      </w:r>
    </w:p>
    <w:p>
      <w:pPr>
        <w:spacing w:after="120" w:before="360"/>
      </w:pPr>
      <w:r>
        <w:rPr>
          <w:rFonts w:ascii="Times New Roman" w:eastAsia="SimSun" w:hAnsi="Times New Roman"/>
          <w:b/>
          <w:bCs/>
          <w:i w:val="false"/>
          <w:iCs w:val="false"/>
          <w:color w:val="1F4E79"/>
          <w:sz w:val="22"/>
          <w:szCs w:val="22"/>
        </w:rPr>
        <w:t xml:space="preserve">「M1」Framework Overview（Fig.2）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①总览段（抄 ShieldRAG 结构）：提出 RAG-ConGuard，目的+威胁；②正式定义 Unsupported Influence 假设（符号化：影响高 + 独立支持低 = 危险）；③Fig.2 流水线：七模块单箭头 → 生成/拒答；④训练期攻防循环一句预告；⑤"详细方法如下"。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框架总览：①多视角检索 ②主张提取 ③有符号证据图 ④联盟发现 ⑤联盟级 CCI ⑥分层集合风险学习 ⑦安全子集构造 → 安全生成/拒答；训练侧 ADSEA-C 在环循环</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2（三模块流水线改七模块）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Visio/PowerPoint 上排主流水线 + 下排训练循环箭头；整宽</w:t>
            </w:r>
          </w:p>
        </w:tc>
      </w:tr>
    </w:tbl>
    <w:p>
      <w:pPr>
        <w:spacing w:after="480" w:before="120"/>
      </w:pPr>
      <w:r>
        <w:rPr>
          <w:rFonts w:ascii="Times New Roman" w:eastAsia="SimSun" w:hAnsi="Times New Roman"/>
          <w:b w:val="false"/>
          <w:bCs w:val="false"/>
          <w:i w:val="false"/>
          <w:iCs w:val="false"/>
          <w:color w:val="808080"/>
          <w:sz w:val="16"/>
          <w:szCs w:val="16"/>
        </w:rPr>
        <w:t xml:space="preserve">── P-Method-1 | ~180 words | 引用: 无新引用</w:t>
      </w:r>
    </w:p>
    <w:p>
      <w:pPr>
        <w:spacing w:after="120" w:before="360"/>
      </w:pPr>
      <w:r>
        <w:rPr>
          <w:rFonts w:ascii="Times New Roman" w:eastAsia="SimSun" w:hAnsi="Times New Roman"/>
          <w:b/>
          <w:bCs/>
          <w:i w:val="false"/>
          <w:iCs w:val="false"/>
          <w:color w:val="1F4E79"/>
          <w:sz w:val="22"/>
          <w:szCs w:val="22"/>
        </w:rPr>
        <w:t xml:space="preserve">「M2」多视角检索稳定性（辅助模块）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pPr>
        <w:spacing w:after="120" w:before="120"/>
        <w:jc w:val="center"/>
      </w:pPr>
      <w:r>
        <w:rPr>
          <w:rFonts w:ascii="Times New Roman" w:eastAsia="SimSun" w:hAnsi="Times New Roman"/>
          <w:b/>
          <w:bCs/>
          <w:i w:val="false"/>
          <w:iCs w:val="false"/>
          <w:color w:val="2E74B5"/>
          <w:sz w:val="18"/>
          <w:szCs w:val="18"/>
        </w:rPr>
        <w:t xml:space="preserve">📐 [Eq: 候选并集 D(q) = ⋃_v Top-k_v(q_v) — 在此补公式]</w:t>
      </w:r>
    </w:p>
    <w:p>
      <w:pPr>
        <w:spacing w:after="120" w:before="120"/>
        <w:jc w:val="center"/>
      </w:pPr>
      <w:r>
        <w:rPr>
          <w:rFonts w:ascii="Times New Roman" w:eastAsia="SimSun" w:hAnsi="Times New Roman"/>
          <w:b/>
          <w:bCs/>
          <w:i w:val="false"/>
          <w:iCs w:val="false"/>
          <w:color w:val="2E74B5"/>
          <w:sz w:val="18"/>
          <w:szCs w:val="18"/>
        </w:rPr>
        <w:t xml:space="preserve">📐 [Eq: 检索稳定性 r_d = f(rank_v(d) for v ∈ V)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P-Method-2 | ~170 words | 引用建议: 混合检索/查询改写 各 1 条</w:t>
      </w:r>
    </w:p>
    <w:p>
      <w:pPr>
        <w:spacing w:after="120" w:before="360"/>
      </w:pPr>
      <w:r>
        <w:rPr>
          <w:rFonts w:ascii="Times New Roman" w:eastAsia="SimSun" w:hAnsi="Times New Roman"/>
          <w:b/>
          <w:bCs/>
          <w:i w:val="false"/>
          <w:iCs w:val="false"/>
          <w:color w:val="1F4E79"/>
          <w:sz w:val="22"/>
          <w:szCs w:val="22"/>
        </w:rPr>
        <w:t xml:space="preserve">「M3」查询条件主张提取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①用轻量查询条件句子选择器（非 LLM 生成）为每篇文档选出 Top-K 相关主张 [Eq]；②两点优势：比整篇文档做 NLI 更准更快、避免 LLM 生成引入幻觉；③与 M4 衔接。</w:t>
      </w:r>
    </w:p>
    <w:p>
      <w:pPr>
        <w:spacing w:after="120" w:before="120"/>
        <w:jc w:val="center"/>
      </w:pPr>
      <w:r>
        <w:rPr>
          <w:rFonts w:ascii="Times New Roman" w:eastAsia="SimSun" w:hAnsi="Times New Roman"/>
          <w:b/>
          <w:bCs/>
          <w:i w:val="false"/>
          <w:iCs w:val="false"/>
          <w:color w:val="2E74B5"/>
          <w:sz w:val="18"/>
          <w:szCs w:val="18"/>
        </w:rPr>
        <w:t xml:space="preserve">📐 [Eq: e_d = top-K(argmax_{s∈d} rel(s, q))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P-Method-3 | ~120 words | 引用: 句子选择/抽取式 1 条</w:t>
      </w:r>
    </w:p>
    <w:p>
      <w:pPr>
        <w:spacing w:after="120" w:before="360"/>
      </w:pPr>
      <w:r>
        <w:rPr>
          <w:rFonts w:ascii="Times New Roman" w:eastAsia="SimSun" w:hAnsi="Times New Roman"/>
          <w:b/>
          <w:bCs/>
          <w:i w:val="false"/>
          <w:iCs w:val="false"/>
          <w:color w:val="1F4E79"/>
          <w:sz w:val="22"/>
          <w:szCs w:val="22"/>
        </w:rPr>
        <w:t xml:space="preserve">「M4」有符号证据图（核心机制组件）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pPr>
        <w:spacing w:after="120" w:before="120"/>
        <w:jc w:val="center"/>
      </w:pPr>
      <w:r>
        <w:rPr>
          <w:rFonts w:ascii="Times New Roman" w:eastAsia="SimSun" w:hAnsi="Times New Roman"/>
          <w:b/>
          <w:bCs/>
          <w:i w:val="false"/>
          <w:iCs w:val="false"/>
          <w:color w:val="2E74B5"/>
          <w:sz w:val="18"/>
          <w:szCs w:val="18"/>
        </w:rPr>
        <w:t xml:space="preserve">📐 [Eq: s_i = Σ_{j: e_ij = +} (1 − τ_ij) — 在此补公式]</w:t>
      </w:r>
    </w:p>
    <w:p>
      <w:pPr>
        <w:spacing w:after="120" w:before="120"/>
        <w:jc w:val="center"/>
      </w:pPr>
      <w:r>
        <w:rPr>
          <w:rFonts w:ascii="Times New Roman" w:eastAsia="SimSun" w:hAnsi="Times New Roman"/>
          <w:b/>
          <w:bCs/>
          <w:i w:val="false"/>
          <w:iCs w:val="false"/>
          <w:color w:val="2E74B5"/>
          <w:sz w:val="18"/>
          <w:szCs w:val="18"/>
        </w:rPr>
        <w:t xml:space="preserve">📐 [Eq: c_i = Σ_{j: e_ij = −} w_ij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P-Method-4 | ~170 words | 引用建议: [ReliabilityRAG] 差异声明必须写</w:t>
      </w:r>
    </w:p>
    <w:p>
      <w:pPr>
        <w:spacing w:after="120" w:before="360"/>
      </w:pPr>
      <w:r>
        <w:rPr>
          <w:rFonts w:ascii="Times New Roman" w:eastAsia="SimSun" w:hAnsi="Times New Roman"/>
          <w:b/>
          <w:bCs/>
          <w:i w:val="false"/>
          <w:iCs w:val="false"/>
          <w:color w:val="1F4E79"/>
          <w:sz w:val="22"/>
          <w:szCs w:val="22"/>
        </w:rPr>
        <w:t xml:space="preserve">「M5」证据联盟发现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①联盟定义 [Eq]：有符号图上按支持边阈值连通的文档组（可选 signed spectral / correlation clustering 精化）；②可解释性：联盟可能是多来源信任簇 / 近重复投毒簇 / 单篇强影响文档 / 竞争事实簇；③复杂度句：k 小计算可控。</w:t>
      </w:r>
    </w:p>
    <w:p>
      <w:pPr>
        <w:spacing w:after="120" w:before="120"/>
        <w:jc w:val="center"/>
      </w:pPr>
      <w:r>
        <w:rPr>
          <w:rFonts w:ascii="Times New Roman" w:eastAsia="SimSun" w:hAnsi="Times New Roman"/>
          <w:b/>
          <w:bCs/>
          <w:i w:val="false"/>
          <w:iCs w:val="false"/>
          <w:color w:val="2E74B5"/>
          <w:sz w:val="18"/>
          <w:szCs w:val="18"/>
        </w:rPr>
        <w:t xml:space="preserve">📐 [Eq: Π = {C_1, ..., C_m}, C_t 内支持边密度 ≥ τ_c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P-Method-5 | ~130 words | 引用: 聚类/谱聚类 1 条</w:t>
      </w:r>
    </w:p>
    <w:p>
      <w:pPr>
        <w:spacing w:after="120" w:before="360"/>
      </w:pPr>
      <w:r>
        <w:rPr>
          <w:rFonts w:ascii="Times New Roman" w:eastAsia="SimSun" w:hAnsi="Times New Roman"/>
          <w:b/>
          <w:bCs/>
          <w:i w:val="false"/>
          <w:iCs w:val="false"/>
          <w:color w:val="1F4E79"/>
          <w:sz w:val="22"/>
          <w:szCs w:val="22"/>
        </w:rPr>
        <w:t xml:space="preserve">「M6」联盟级反事实生成影响 CCI ★核心贡献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pPr>
        <w:spacing w:after="120" w:before="120"/>
        <w:jc w:val="center"/>
      </w:pPr>
      <w:r>
        <w:rPr>
          <w:rFonts w:ascii="Times New Roman" w:eastAsia="SimSun" w:hAnsi="Times New Roman"/>
          <w:b/>
          <w:bCs/>
          <w:i w:val="false"/>
          <w:iCs w:val="false"/>
          <w:color w:val="2E74B5"/>
          <w:sz w:val="18"/>
          <w:szCs w:val="18"/>
        </w:rPr>
        <w:t xml:space="preserve">📐 [Eq: p_t^full = P(token_t | prefix_{&lt;t}, q, D, θ) — 在此补公式]</w:t>
      </w:r>
    </w:p>
    <w:p>
      <w:pPr>
        <w:spacing w:after="120" w:before="120"/>
        <w:jc w:val="center"/>
      </w:pPr>
      <w:r>
        <w:rPr>
          <w:rFonts w:ascii="Times New Roman" w:eastAsia="SimSun" w:hAnsi="Times New Roman"/>
          <w:b/>
          <w:bCs/>
          <w:i w:val="false"/>
          <w:iCs w:val="false"/>
          <w:color w:val="2E74B5"/>
          <w:sz w:val="18"/>
          <w:szCs w:val="18"/>
        </w:rPr>
        <w:t xml:space="preserve">📐 [Eq: p_t^{−C} = P(token_t | prefix_{&lt;t}, q, D \ C, θ) — 在此补公式]</w:t>
      </w:r>
    </w:p>
    <w:p>
      <w:pPr>
        <w:spacing w:after="120" w:before="120"/>
        <w:jc w:val="center"/>
      </w:pPr>
      <w:r>
        <w:rPr>
          <w:rFonts w:ascii="Times New Roman" w:eastAsia="SimSun" w:hAnsi="Times New Roman"/>
          <w:b/>
          <w:bCs/>
          <w:i w:val="false"/>
          <w:iCs w:val="false"/>
          <w:color w:val="2E74B5"/>
          <w:sz w:val="18"/>
          <w:szCs w:val="18"/>
        </w:rPr>
        <w:t xml:space="preserve">📐 [Eq: CCI(C) = JSD(p^full_t ∥ p^{−C}_t)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P-Method-6 | ~200 words | 引用建议: [RAGuard (leave-one-out)] 对比必须; 禁用"首次反事实删除"</w:t>
      </w:r>
    </w:p>
    <w:p>
      <w:pPr>
        <w:spacing w:after="120" w:before="360"/>
      </w:pPr>
      <w:r>
        <w:rPr>
          <w:rFonts w:ascii="Times New Roman" w:eastAsia="SimSun" w:hAnsi="Times New Roman"/>
          <w:b/>
          <w:bCs/>
          <w:i w:val="false"/>
          <w:iCs w:val="false"/>
          <w:color w:val="1F4E79"/>
          <w:sz w:val="22"/>
          <w:szCs w:val="22"/>
        </w:rPr>
        <w:t xml:space="preserve">「M7」分层集合风险学习器 ★核心贡献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pPr>
        <w:spacing w:after="120" w:before="120"/>
        <w:jc w:val="center"/>
      </w:pPr>
      <w:r>
        <w:rPr>
          <w:rFonts w:ascii="Times New Roman" w:eastAsia="SimSun" w:hAnsi="Times New Roman"/>
          <w:b/>
          <w:bCs/>
          <w:i w:val="false"/>
          <w:iCs w:val="false"/>
          <w:color w:val="2E74B5"/>
          <w:sz w:val="18"/>
          <w:szCs w:val="18"/>
        </w:rPr>
        <w:t xml:space="preserve">📐 [Eq: h_d^{(0)} = [r_d; s_d; c_d; rel(q,d); n_d] — 在此补公式]</w:t>
      </w:r>
    </w:p>
    <w:p>
      <w:pPr>
        <w:spacing w:after="120" w:before="120"/>
        <w:jc w:val="center"/>
      </w:pPr>
      <w:r>
        <w:rPr>
          <w:rFonts w:ascii="Times New Roman" w:eastAsia="SimSun" w:hAnsi="Times New Roman"/>
          <w:b/>
          <w:bCs/>
          <w:i w:val="false"/>
          <w:iCs w:val="false"/>
          <w:color w:val="2E74B5"/>
          <w:sz w:val="18"/>
          <w:szCs w:val="18"/>
        </w:rPr>
        <w:t xml:space="preserve">📐 [Eq: h_d^{(ℓ+1)} = GAT(h_d^{(ℓ)}, E) — 在此补公式]</w:t>
      </w:r>
    </w:p>
    <w:p>
      <w:pPr>
        <w:spacing w:after="120" w:before="120"/>
        <w:jc w:val="center"/>
      </w:pPr>
      <w:r>
        <w:rPr>
          <w:rFonts w:ascii="Times New Roman" w:eastAsia="SimSun" w:hAnsi="Times New Roman"/>
          <w:b/>
          <w:bCs/>
          <w:i w:val="false"/>
          <w:iCs w:val="false"/>
          <w:color w:val="2E74B5"/>
          <w:sz w:val="18"/>
          <w:szCs w:val="18"/>
        </w:rPr>
        <w:t xml:space="preserve">📐 [Eq: z_C = SetAttn({h_d : d ∈ C}) — 在此补公式]</w:t>
      </w:r>
    </w:p>
    <w:p>
      <w:pPr>
        <w:spacing w:after="120" w:before="120"/>
        <w:jc w:val="center"/>
      </w:pPr>
      <w:r>
        <w:rPr>
          <w:rFonts w:ascii="Times New Roman" w:eastAsia="SimSun" w:hAnsi="Times New Roman"/>
          <w:b/>
          <w:bCs/>
          <w:i w:val="false"/>
          <w:iCs w:val="false"/>
          <w:color w:val="2E74B5"/>
          <w:sz w:val="18"/>
          <w:szCs w:val="18"/>
        </w:rPr>
        <w:t xml:space="preserve">📐 [Eq: ŷ_d, ŷ_C, ŷ_q — 在此补公式]</w:t>
      </w:r>
    </w:p>
    <w:p>
      <w:pPr>
        <w:spacing w:after="120" w:before="120"/>
        <w:jc w:val="center"/>
      </w:pPr>
      <w:r>
        <w:rPr>
          <w:rFonts w:ascii="Times New Roman" w:eastAsia="SimSun" w:hAnsi="Times New Roman"/>
          <w:b/>
          <w:bCs/>
          <w:i w:val="false"/>
          <w:iCs w:val="false"/>
          <w:color w:val="2E74B5"/>
          <w:sz w:val="18"/>
          <w:szCs w:val="18"/>
        </w:rPr>
        <w:t xml:space="preserve">📐 [Eq: L = Σ BCE(ŷ_d,y_d) + BCE(ŷ_C,y_C) + BCE(ŷ_q,y_q) + λ_rank · L_rank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P-Method-7 | ~220 words | 引用建议: 图注意力 + 集合注意力 各 1 条</w:t>
      </w:r>
    </w:p>
    <w:p>
      <w:pPr>
        <w:spacing w:after="120" w:before="360"/>
      </w:pPr>
      <w:r>
        <w:rPr>
          <w:rFonts w:ascii="Times New Roman" w:eastAsia="SimSun" w:hAnsi="Times New Roman"/>
          <w:b/>
          <w:bCs/>
          <w:i w:val="false"/>
          <w:iCs w:val="false"/>
          <w:color w:val="1F4E79"/>
          <w:sz w:val="22"/>
          <w:szCs w:val="22"/>
        </w:rPr>
        <w:t xml:space="preserve">「M8」风险约束安全上下文选择 ★核心贡献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pPr>
        <w:spacing w:after="120" w:before="120"/>
        <w:jc w:val="center"/>
      </w:pPr>
      <w:r>
        <w:rPr>
          <w:rFonts w:ascii="Times New Roman" w:eastAsia="SimSun" w:hAnsi="Times New Roman"/>
          <w:b/>
          <w:bCs/>
          <w:i w:val="false"/>
          <w:iCs w:val="false"/>
          <w:color w:val="2E74B5"/>
          <w:sz w:val="18"/>
          <w:szCs w:val="18"/>
        </w:rPr>
        <w:t xml:space="preserve">📐 [Eq: D* = argmax_{S ⊆ D} U(S)  s.t. 风险预算 / 相关性 / 无内部矛盾联盟 — 在此补公式]</w:t>
      </w:r>
    </w:p>
    <w:p>
      <w:pPr>
        <w:spacing w:after="120" w:before="120"/>
        <w:jc w:val="center"/>
      </w:pPr>
      <w:r>
        <w:rPr>
          <w:rFonts w:ascii="Times New Roman" w:eastAsia="SimSun" w:hAnsi="Times New Roman"/>
          <w:b/>
          <w:bCs/>
          <w:i w:val="false"/>
          <w:iCs w:val="false"/>
          <w:color w:val="2E74B5"/>
          <w:sz w:val="18"/>
          <w:szCs w:val="18"/>
        </w:rPr>
        <w:t xml:space="preserve">📐 [Eq: P(误删良性) ≤ α (conformal calibration)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P-Method-8 | ~180 words | 引用建议: conformal prediction 1 条</w:t>
      </w:r>
    </w:p>
    <w:p>
      <w:pPr>
        <w:spacing w:after="120" w:before="360"/>
      </w:pPr>
      <w:r>
        <w:rPr>
          <w:rFonts w:ascii="Times New Roman" w:eastAsia="SimSun" w:hAnsi="Times New Roman"/>
          <w:b/>
          <w:bCs/>
          <w:i w:val="false"/>
          <w:iCs w:val="false"/>
          <w:color w:val="1F4E79"/>
          <w:sz w:val="22"/>
          <w:szCs w:val="22"/>
        </w:rPr>
        <w:t xml:space="preserve">「M9」ADSEA-C 联盟式自适应攻击 ★核心贡献 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pPr>
        <w:spacing w:after="120" w:before="120"/>
        <w:jc w:val="center"/>
      </w:pPr>
      <w:r>
        <w:rPr>
          <w:rFonts w:ascii="Times New Roman" w:eastAsia="SimSun" w:hAnsi="Times New Roman"/>
          <w:b/>
          <w:bCs/>
          <w:i w:val="false"/>
          <w:iCs w:val="false"/>
          <w:color w:val="2E74B5"/>
          <w:sz w:val="18"/>
          <w:szCs w:val="18"/>
        </w:rPr>
        <w:t xml:space="preserve">📐 [Eq: max_{x_1..x_b} Σ_t R_attack − λ_d Σ risk 检测 — 在此补公式]</w:t>
      </w:r>
    </w:p>
    <w:p>
      <w:pPr>
        <w:spacing w:after="120" w:before="120"/>
        <w:jc w:val="center"/>
      </w:pPr>
      <w:r>
        <w:rPr>
          <w:rFonts w:ascii="Times New Roman" w:eastAsia="SimSun" w:hAnsi="Times New Roman"/>
          <w:b/>
          <w:bCs/>
          <w:i w:val="false"/>
          <w:iCs w:val="false"/>
          <w:color w:val="2E74B5"/>
          <w:sz w:val="18"/>
          <w:szCs w:val="18"/>
        </w:rPr>
        <w:t xml:space="preserve">📐 [Eq: 攻击者只需绕过"当前检测器"即视为成功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P-Method-9 | ~180 words | 引用建议: [GCG], [PoisonedRAG], [BadRAG]</w:t>
      </w:r>
    </w:p>
    <w:p>
      <w:pPr>
        <w:spacing w:after="120" w:before="360"/>
      </w:pPr>
      <w:r>
        <w:rPr>
          <w:rFonts w:ascii="Times New Roman" w:eastAsia="SimSun" w:hAnsi="Times New Roman"/>
          <w:b/>
          <w:bCs/>
          <w:i w:val="false"/>
          <w:iCs w:val="false"/>
          <w:color w:val="1F4E79"/>
          <w:sz w:val="22"/>
          <w:szCs w:val="22"/>
        </w:rPr>
        <w:t xml:space="preserve">「M10」攻击者在环的对抗训练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P-Method-10 | ~170 words | 引用建议: [PoisonedRAG/Joint-GCG 训练], 差异声明对标 2026 注意类工作</w:t>
      </w:r>
    </w:p>
    <w:p>
      <w:pPr>
        <w:spacing w:after="240" w:before="480"/>
      </w:pPr>
      <w:r>
        <w:rPr>
          <w:rFonts w:ascii="Times New Roman" w:eastAsia="SimSun" w:hAnsi="Times New Roman"/>
          <w:b/>
          <w:bCs/>
          <w:i w:val="false"/>
          <w:iCs w:val="false"/>
          <w:color w:val="000000"/>
          <w:sz w:val="22"/>
          <w:szCs w:val="22"/>
        </w:rPr>
        <w:t xml:space="preserve">4. Experiments and Analysis</w:t>
      </w:r>
    </w:p>
    <w:p>
      <w:pPr>
        <w:spacing w:after="120" w:before="360"/>
      </w:pPr>
      <w:r>
        <w:rPr>
          <w:rFonts w:ascii="Times New Roman" w:eastAsia="SimSun" w:hAnsi="Times New Roman"/>
          <w:b/>
          <w:bCs/>
          <w:i w:val="false"/>
          <w:iCs w:val="false"/>
          <w:color w:val="1F4E79"/>
          <w:sz w:val="22"/>
          <w:szCs w:val="22"/>
        </w:rPr>
        <w:t xml:space="preserve">「E1」Setup · 目标与指标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P-Exp-1 | ~140 words | 引用: 无新引用</w:t>
      </w:r>
    </w:p>
    <w:p>
      <w:pPr>
        <w:spacing w:after="120" w:before="360"/>
      </w:pPr>
      <w:r>
        <w:rPr>
          <w:rFonts w:ascii="Times New Roman" w:eastAsia="SimSun" w:hAnsi="Times New Roman"/>
          <w:b/>
          <w:bCs/>
          <w:i w:val="false"/>
          <w:iCs w:val="false"/>
          <w:color w:val="1F4E79"/>
          <w:sz w:val="22"/>
          <w:szCs w:val="22"/>
        </w:rPr>
        <w:t xml:space="preserve">「E2」Setup · 攻击设置</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P-Exp-2 | ~120 words | 引用建议: [Tan et al. 2024b], [Xue et al. 2024] + 本文 ADSEA-C</w:t>
      </w:r>
    </w:p>
    <w:p>
      <w:pPr>
        <w:spacing w:after="120" w:before="360"/>
      </w:pPr>
      <w:r>
        <w:rPr>
          <w:rFonts w:ascii="Times New Roman" w:eastAsia="SimSun" w:hAnsi="Times New Roman"/>
          <w:b/>
          <w:bCs/>
          <w:i w:val="false"/>
          <w:iCs w:val="false"/>
          <w:color w:val="1F4E79"/>
          <w:sz w:val="22"/>
          <w:szCs w:val="22"/>
        </w:rPr>
        <w:t xml:space="preserve">「E3」Setup · 基线</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P-Exp-3 | ~110 words | 引用建议: [TrustRAG], [ReliabilityRAG] 可选</w:t>
      </w:r>
    </w:p>
    <w:p>
      <w:pPr>
        <w:spacing w:after="120" w:before="360"/>
      </w:pPr>
      <w:r>
        <w:rPr>
          <w:rFonts w:ascii="Times New Roman" w:eastAsia="SimSun" w:hAnsi="Times New Roman"/>
          <w:b/>
          <w:bCs/>
          <w:i w:val="false"/>
          <w:iCs w:val="false"/>
          <w:color w:val="1F4E79"/>
          <w:sz w:val="22"/>
          <w:szCs w:val="22"/>
        </w:rPr>
        <w:t xml:space="preserve">「E4」Setup · 数据集与模型</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P-Exp-4 | ~130 words | 引用建议: [NQ], [HotpotQA], [MS MARCO], [SQuAD], 毒性集可选</w:t>
      </w:r>
    </w:p>
    <w:p>
      <w:pPr>
        <w:spacing w:after="120" w:before="360"/>
      </w:pPr>
      <w:r>
        <w:rPr>
          <w:rFonts w:ascii="Times New Roman" w:eastAsia="SimSun" w:hAnsi="Times New Roman"/>
          <w:b/>
          <w:bCs/>
          <w:i w:val="false"/>
          <w:iCs w:val="false"/>
          <w:color w:val="1F4E79"/>
          <w:sz w:val="22"/>
          <w:szCs w:val="22"/>
        </w:rPr>
        <w:t xml:space="preserve">「E5」Main Results · 检索阶段（Table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检索攻防矩阵：7(3)数据集 × Top@1/3/5 × {Recall@k, ASR@k}，行=方法（Vanilla/TrustRAG/旧版/RAG-ConGuard）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1（改行结构）</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三线表，参照 ShieldRAG 双栏整宽；列太多可拆两半表</w:t>
            </w:r>
          </w:p>
        </w:tc>
      </w:tr>
    </w:tbl>
    <w:p>
      <w:pPr>
        <w:spacing w:after="480" w:before="120"/>
      </w:pPr>
      <w:r>
        <w:rPr>
          <w:rFonts w:ascii="Times New Roman" w:eastAsia="SimSun" w:hAnsi="Times New Roman"/>
          <w:b w:val="false"/>
          <w:bCs w:val="false"/>
          <w:i w:val="false"/>
          <w:iCs w:val="false"/>
          <w:color w:val="808080"/>
          <w:sz w:val="16"/>
          <w:szCs w:val="16"/>
        </w:rPr>
        <w:t xml:space="preserve">── P-Exp-5 | ~160 words | 无新引用</w:t>
      </w:r>
    </w:p>
    <w:p>
      <w:pPr>
        <w:spacing w:after="120" w:before="360"/>
      </w:pPr>
      <w:r>
        <w:rPr>
          <w:rFonts w:ascii="Times New Roman" w:eastAsia="SimSun" w:hAnsi="Times New Roman"/>
          <w:b/>
          <w:bCs/>
          <w:i w:val="false"/>
          <w:iCs w:val="false"/>
          <w:color w:val="1F4E79"/>
          <w:sz w:val="22"/>
          <w:szCs w:val="22"/>
        </w:rPr>
        <w:t xml:space="preserve">「E6」Main Results · 生成阶段（Table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 ASR 矩阵：数据集 × LLM（Llama-3/Qwen2.5/DeepSeek-V3/GPT-4o-mini/GPT-4o 可选）× {Vanilla,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2</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三线表；LLM 列多可拆分</w:t>
            </w:r>
          </w:p>
        </w:tc>
      </w:tr>
    </w:tbl>
    <w:p>
      <w:pPr>
        <w:spacing w:after="480" w:before="120"/>
      </w:pPr>
      <w:r>
        <w:rPr>
          <w:rFonts w:ascii="Times New Roman" w:eastAsia="SimSun" w:hAnsi="Times New Roman"/>
          <w:b w:val="false"/>
          <w:bCs w:val="false"/>
          <w:i w:val="false"/>
          <w:iCs w:val="false"/>
          <w:color w:val="808080"/>
          <w:sz w:val="16"/>
          <w:szCs w:val="16"/>
        </w:rPr>
        <w:t xml:space="preserve">── P-Exp-6 | ~140 words | 无新引用</w:t>
      </w:r>
    </w:p>
    <w:p>
      <w:pPr>
        <w:spacing w:after="120" w:before="360"/>
      </w:pPr>
      <w:r>
        <w:rPr>
          <w:rFonts w:ascii="Times New Roman" w:eastAsia="SimSun" w:hAnsi="Times New Roman"/>
          <w:b/>
          <w:bCs/>
          <w:i w:val="false"/>
          <w:iCs w:val="false"/>
          <w:color w:val="1F4E79"/>
          <w:sz w:val="22"/>
          <w:szCs w:val="22"/>
        </w:rPr>
        <w:t xml:space="preserve">「E7」Main Results · 生成精度恢复（Table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①Table 3：{无攻击 / 受攻 / TrustRAG / 旧版 / 新框架} × LLM 的生成准确率；②趋势：受攻大幅下降，新框架恢复接近无攻击；③机制句：既移除控制联盟又保留高相关证据——对比旧版 "滤得狠→伤精度" 的现象，用 FPR 预算实验佐证]。</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生成准确率：LLM × {attack-free, attacked,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3</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三线表，单栏半宽</w:t>
            </w:r>
          </w:p>
        </w:tc>
      </w:tr>
    </w:tbl>
    <w:p>
      <w:pPr>
        <w:spacing w:after="480" w:before="120"/>
      </w:pPr>
      <w:r>
        <w:rPr>
          <w:rFonts w:ascii="Times New Roman" w:eastAsia="SimSun" w:hAnsi="Times New Roman"/>
          <w:b w:val="false"/>
          <w:bCs w:val="false"/>
          <w:i w:val="false"/>
          <w:iCs w:val="false"/>
          <w:color w:val="808080"/>
          <w:sz w:val="16"/>
          <w:szCs w:val="16"/>
        </w:rPr>
        <w:t xml:space="preserve">── P-Exp-7 | ~120 words | 无新引用</w:t>
      </w:r>
    </w:p>
    <w:p>
      <w:pPr>
        <w:spacing w:after="120" w:before="360"/>
      </w:pPr>
      <w:r>
        <w:rPr>
          <w:rFonts w:ascii="Times New Roman" w:eastAsia="SimSun" w:hAnsi="Times New Roman"/>
          <w:b/>
          <w:bCs/>
          <w:i w:val="false"/>
          <w:iCs w:val="false"/>
          <w:color w:val="1F4E79"/>
          <w:sz w:val="22"/>
          <w:szCs w:val="22"/>
        </w:rPr>
        <w:t xml:space="preserve">「E8」对照组 · 冗余投毒下 LOO vs CCI（Table 4）★★ 多块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（这是把你 M6 的论证变成数字的最关键实验。）</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冗余投毒场景：{逐文档 LOO ×3 / 整体删除 LOO / 联盟级 CCI} 的影响值与判定结果</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自建（ShieldRAG 无对应）</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三线表；可配一个小柱状图（影响值对比）</w:t>
            </w:r>
          </w:p>
        </w:tc>
      </w:tr>
    </w:tbl>
    <w:p>
      <w:pPr>
        <w:spacing w:after="480" w:before="120"/>
      </w:pPr>
      <w:r>
        <w:rPr>
          <w:rFonts w:ascii="Times New Roman" w:eastAsia="SimSun" w:hAnsi="Times New Roman"/>
          <w:b w:val="false"/>
          <w:bCs w:val="false"/>
          <w:i w:val="false"/>
          <w:iCs w:val="false"/>
          <w:color w:val="808080"/>
          <w:sz w:val="16"/>
          <w:szCs w:val="16"/>
        </w:rPr>
        <w:t xml:space="preserve">── P-Exp-8 | ~150 words | 引用建议: 已在 M6 引 [RAGuard]</w:t>
      </w:r>
    </w:p>
    <w:p>
      <w:pPr>
        <w:spacing w:after="120" w:before="360"/>
      </w:pPr>
      <w:r>
        <w:rPr>
          <w:rFonts w:ascii="Times New Roman" w:eastAsia="SimSun" w:hAnsi="Times New Roman"/>
          <w:b/>
          <w:bCs/>
          <w:i w:val="false"/>
          <w:iCs w:val="false"/>
          <w:color w:val="1F4E79"/>
          <w:sz w:val="22"/>
          <w:szCs w:val="22"/>
        </w:rPr>
        <w:t xml:space="preserve">「E9」对比 · 与 LLM 安全评估器（Fig.3）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三维对比：Recall@1 / ASR@1 / 延迟，方法={GPT-4o, Gemini-2.5, Claude-3.5, Llama-3-8B,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3（改方法名列）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雷达图或散点图；双栏半宽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P-Exp-9 | ~130 words | 引用建议: [GPT-4o], [Gemini 2.5], [Claude-3.5] 模型卡</w:t>
      </w:r>
    </w:p>
    <w:p>
      <w:pPr>
        <w:spacing w:after="120" w:before="360"/>
      </w:pPr>
      <w:r>
        <w:rPr>
          <w:rFonts w:ascii="Times New Roman" w:eastAsia="SimSun" w:hAnsi="Times New Roman"/>
          <w:b/>
          <w:bCs/>
          <w:i w:val="false"/>
          <w:iCs w:val="false"/>
          <w:color w:val="1F4E79"/>
          <w:sz w:val="22"/>
          <w:szCs w:val="22"/>
        </w:rPr>
        <w:t xml:space="preserve">「E10」结果 · 投毒率扫描（Fig.4）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①横轴 0.02%~2.0% 投毒占比，双轴：Recall@1（w/o Attack 基线 / 受攻）+ ASR@1；②趋势句：占比增 → 受攻组 Recall 持续下滑、ASR 飙升，新框架保持近零 ASR 与高位 Recall；③机制句：大污染下依然有效 = 联盟级信号不依赖"少数异常"假设。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投毒占比扫描：x=0.02%/0.05%/0.5%/1.0%/2.0%，y=Recall@1 与 ASR@1（双轴）</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4</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双轴折线；双栏半宽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P-Exp-10 | ~120 words | 无新引用</w:t>
      </w:r>
    </w:p>
    <w:p>
      <w:pPr>
        <w:spacing w:after="120" w:before="360"/>
      </w:pPr>
      <w:r>
        <w:rPr>
          <w:rFonts w:ascii="Times New Roman" w:eastAsia="SimSun" w:hAnsi="Times New Roman"/>
          <w:b/>
          <w:bCs/>
          <w:i w:val="false"/>
          <w:iCs w:val="false"/>
          <w:color w:val="1F4E79"/>
          <w:sz w:val="22"/>
          <w:szCs w:val="22"/>
        </w:rPr>
        <w:t xml:space="preserve">「E11」Ablation · 消融（Fig.5）</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5</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消融双面板：左 ASR 右 Recall，@Top1/3/5，系列={w/o 证据图, w/o CCI, w/o 集合学习, w/o 在环训练,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5（改系列名）</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分组柱状；整宽</w:t>
            </w:r>
          </w:p>
        </w:tc>
      </w:tr>
    </w:tbl>
    <w:p>
      <w:pPr>
        <w:spacing w:after="480" w:before="120"/>
      </w:pPr>
      <w:r>
        <w:rPr>
          <w:rFonts w:ascii="Times New Roman" w:eastAsia="SimSun" w:hAnsi="Times New Roman"/>
          <w:b w:val="false"/>
          <w:bCs w:val="false"/>
          <w:i w:val="false"/>
          <w:iCs w:val="false"/>
          <w:color w:val="808080"/>
          <w:sz w:val="16"/>
          <w:szCs w:val="16"/>
        </w:rPr>
        <w:t xml:space="preserve">── P-Exp-11 | ~130 words | 无新引用</w:t>
      </w:r>
    </w:p>
    <w:p>
      <w:pPr>
        <w:spacing w:after="120" w:before="360"/>
      </w:pPr>
      <w:r>
        <w:rPr>
          <w:rFonts w:ascii="Times New Roman" w:eastAsia="SimSun" w:hAnsi="Times New Roman"/>
          <w:b/>
          <w:bCs/>
          <w:i w:val="false"/>
          <w:iCs w:val="false"/>
          <w:color w:val="1F4E79"/>
          <w:sz w:val="22"/>
          <w:szCs w:val="22"/>
        </w:rPr>
        <w:t xml:space="preserve">「E12」Sensitivity · 敏感性（Fig.6）</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①主变元：联盟支持阈值 τ（或图密度）与探针长度 H；②可选：学习样本量 2k-10k（对齐 ShieldRAG 口径，证明数据效率）；③趋势+含义句：τ 宽范围稳健、小 H 即够 → 方法不依赖脆弱工作点/昂贵探测。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6</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敏感：x=τ（联盟阈值）或 样本量，y=Recall@1 与 ASR@1；可选第二面板 H=探针 token 数</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6（改变元）</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P-Exp-12 | ~110 words | 无新引用</w:t>
      </w:r>
    </w:p>
    <w:p>
      <w:pPr>
        <w:spacing w:after="240" w:before="480"/>
      </w:pPr>
      <w:r>
        <w:rPr>
          <w:rFonts w:ascii="Times New Roman" w:eastAsia="SimSun" w:hAnsi="Times New Roman"/>
          <w:b/>
          <w:bCs/>
          <w:i w:val="false"/>
          <w:iCs w:val="false"/>
          <w:color w:val="000000"/>
          <w:sz w:val="22"/>
          <w:szCs w:val="22"/>
        </w:rPr>
        <w:t xml:space="preserve">5. Conclusion</w:t>
      </w:r>
    </w:p>
    <w:p>
      <w:pPr>
        <w:spacing w:after="120" w:before="360"/>
      </w:pPr>
      <w:r>
        <w:rPr>
          <w:rFonts w:ascii="Times New Roman" w:eastAsia="SimSun" w:hAnsi="Times New Roman"/>
          <w:b/>
          <w:bCs/>
          <w:i w:val="false"/>
          <w:iCs w:val="false"/>
          <w:color w:val="1F4E79"/>
          <w:sz w:val="22"/>
          <w:szCs w:val="22"/>
        </w:rPr>
        <w:t xml:space="preserve">「CL-帽」结语帽段</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帽段：本文提出 + 应对什么 + 用什么机制（一句话总纲，复写创新声明组合级措辞）。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enhances the robustness of RAG systems against coordinated knowledge poisoning in untrusted knowledge bases.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P-Concl-Hat | ~70 words</w:t>
      </w:r>
    </w:p>
    <w:p>
      <w:pPr>
        <w:spacing w:after="120" w:before="360"/>
      </w:pPr>
      <w:r>
        <w:rPr>
          <w:rFonts w:ascii="Times New Roman" w:eastAsia="SimSun" w:hAnsi="Times New Roman"/>
          <w:b/>
          <w:bCs/>
          <w:i w:val="false"/>
          <w:iCs w:val="false"/>
          <w:color w:val="1F4E79"/>
          <w:sz w:val="22"/>
          <w:szCs w:val="22"/>
        </w:rPr>
        <w:t xml:space="preserve">「CL-1」结论 1 · 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1：把检索证据建模为查询条件有符号图 + 联盟级反事实生成影响 → 无需先验攻击目标即可识别无独立支持的不成比例控制联盟。</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P-Concl-1 | ~60 words</w:t>
      </w:r>
    </w:p>
    <w:p>
      <w:pPr>
        <w:spacing w:after="120" w:before="360"/>
      </w:pPr>
      <w:r>
        <w:rPr>
          <w:rFonts w:ascii="Times New Roman" w:eastAsia="SimSun" w:hAnsi="Times New Roman"/>
          <w:b/>
          <w:bCs/>
          <w:i w:val="false"/>
          <w:iCs w:val="false"/>
          <w:color w:val="1F4E79"/>
          <w:sz w:val="22"/>
          <w:szCs w:val="22"/>
        </w:rPr>
        <w:t xml:space="preserve">「CL-2」结论 2 · 集合学习与安全选择</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2：分层集合风险学习器 + 风险约束安全上下文选择，把"文档异常检测"升级为"安全上下文构造"，并以显式误删预算保住效用。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hierarchical set-aware risk learner and the risk-constrained safe context selector jointly transform per-document anomaly detection into safe context construction, which preserves generation utility through an explicit benign mis-filtering budget.</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P-Concl-2 | ~55 words</w:t>
      </w:r>
    </w:p>
    <w:p>
      <w:pPr>
        <w:spacing w:after="120" w:before="360"/>
      </w:pPr>
      <w:r>
        <w:rPr>
          <w:rFonts w:ascii="Times New Roman" w:eastAsia="SimSun" w:hAnsi="Times New Roman"/>
          <w:b/>
          <w:bCs/>
          <w:i w:val="false"/>
          <w:iCs w:val="false"/>
          <w:color w:val="1F4E79"/>
          <w:sz w:val="22"/>
          <w:szCs w:val="22"/>
        </w:rPr>
        <w:t xml:space="preserve">「CL-3」结论 3 · 实验与训练机制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3：在多个数据集/LLM/攻击策略（含本文 ADSEA-C 与攻击者在环训练）下，鲁棒性显著增强且精度不掉。</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Extensive experiments across multiple datasets, LLMs, and attack strategies—including the coalition-aware adaptive attack and adversary-in-the-loop training—demonstrate that RAG-ConGuard substantially enhances robustness without sacrificing accuracy or efficiency.</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P-Concl-3 | ~65 words</w:t>
      </w:r>
    </w:p>
    <w:p>
      <w:pPr>
        <w:spacing w:after="120" w:before="360"/>
      </w:pPr>
      <w:r>
        <w:rPr>
          <w:rFonts w:ascii="Times New Roman" w:eastAsia="SimSun" w:hAnsi="Times New Roman"/>
          <w:b/>
          <w:bCs/>
          <w:i w:val="false"/>
          <w:iCs w:val="false"/>
          <w:color w:val="1F4E79"/>
          <w:sz w:val="22"/>
          <w:szCs w:val="22"/>
        </w:rPr>
        <w:t xml:space="preserve">「CL-4」结论 4 · 意义与展望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意义句 + 局限/未来：①NLI 边误差的级联（可用领域自适应/多模型投票）；②探针的生成开销；③更隐匿攻击下的鲁棒性；④未来：把联盟推理扩展到多跳/代理场景。</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pPr>
        <w:spacing w:after="120" w:before="120"/>
      </w:pPr>
      <w:r>
        <w:rPr>
          <w:rFonts w:ascii="Times New Roman" w:eastAsia="SimSun" w:hAnsi="Times New Roman"/>
          <w:b w:val="false"/>
          <w:bCs w:val="false"/>
          <w:i w:val="false"/>
          <w:iCs w:val="false"/>
          <w:color w:val="A6A6A6"/>
          <w:sz w:val="20"/>
          <w:szCs w:val="20"/>
        </w:rPr>
        <w:t xml:space="preserve">✏️ 写作区：</w:t>
      </w:r>
      <w:r>
        <w:rPr>
          <w:rFonts w:ascii="Times New Roman" w:eastAsia="SimSun" w:hAnsi="Times New Roman"/>
          <w:b w:val="false"/>
          <w:bCs w:val="false"/>
          <w:i/>
          <w:iCs/>
          <w:color w:val="A6A6A6"/>
          <w:sz w:val="20"/>
          <w:szCs w:val="20"/>
        </w:rPr>
        <w:t xml:space="preserve">[Write your content here...]</w:t>
      </w:r>
    </w:p>
    <w:p>
      <w:pPr>
        <w:spacing w:after="480" w:before="120"/>
      </w:pPr>
      <w:r>
        <w:rPr>
          <w:rFonts w:ascii="Times New Roman" w:eastAsia="SimSun" w:hAnsi="Times New Roman"/>
          <w:b w:val="false"/>
          <w:bCs w:val="false"/>
          <w:i w:val="false"/>
          <w:iCs w:val="false"/>
          <w:color w:val="808080"/>
          <w:sz w:val="16"/>
          <w:szCs w:val="16"/>
        </w:rPr>
        <w:t xml:space="preserve">── P-Concl-4 | ~80 words</w:t>
      </w:r>
    </w:p>
    <w:p>
      <w:pPr>
        <w:spacing w:after="240" w:before="480"/>
      </w:pPr>
      <w:r>
        <w:rPr>
          <w:rFonts w:ascii="Times New Roman" w:eastAsia="SimSun" w:hAnsi="Times New Roman"/>
          <w:b/>
          <w:bCs/>
          <w:i w:val="false"/>
          <w:iCs w:val="false"/>
          <w:color w:val="000000"/>
          <w:sz w:val="22"/>
          <w:szCs w:val="22"/>
        </w:rPr>
        <w:t xml:space="preserve">附录 · 图表清单一览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before="60"/>
            </w:pPr>
            <w:r>
              <w:rPr>
                <w:rFonts w:ascii="Times New Roman" w:eastAsia="SimSun" w:hAnsi="Times New Roman"/>
                <w:b w:val="false"/>
                <w:bCs w:val="false"/>
                <w:i w:val="false"/>
                <w:iCs w:val="false"/>
                <w:color w:val="000000"/>
                <w:sz w:val="17"/>
                <w:szCs w:val="17"/>
              </w:rPr>
              <w:t xml:space="preserve">Fig. 1 | 情景图：协同投毒联盟欺骗性支持（3 失败模式）| 参考 ShieldRAG Fig. 1 | I2</w:t>
            </w:r>
          </w:p>
        </w:tc>
        <w:tc>
          <w:p>
            <w:pPr>
              <w:spacing w:after="60" w:before="60"/>
            </w:pPr>
            <w:r>
              <w:rPr>
                <w:rFonts w:ascii="Times New Roman" w:eastAsia="SimSun" w:hAnsi="Times New Roman"/>
                <w:b w:val="false"/>
                <w:bCs w:val="false"/>
                <w:i w:val="false"/>
                <w:iCs w:val="false"/>
                <w:color w:val="000000"/>
                <w:sz w:val="17"/>
                <w:szCs w:val="17"/>
              </w:rPr>
              <w:t xml:space="preserve">Table 4 | LOO vs 联盟级 CCI 对照（独有卖点表）| 自建 | E8</w:t>
            </w:r>
          </w:p>
        </w:tc>
      </w:tr>
      <w:tr>
        <w:tc>
          <w:p>
            <w:pPr>
              <w:spacing w:after="60" w:before="60"/>
            </w:pPr>
            <w:r>
              <w:rPr>
                <w:rFonts w:ascii="Times New Roman" w:eastAsia="SimSun" w:hAnsi="Times New Roman"/>
                <w:b w:val="false"/>
                <w:bCs w:val="false"/>
                <w:i w:val="false"/>
                <w:iCs w:val="false"/>
                <w:color w:val="000000"/>
                <w:sz w:val="17"/>
                <w:szCs w:val="17"/>
              </w:rPr>
              <w:t xml:space="preserve">Fig. 2 | 框架总览 7 模块 + 训练循环 | 参考 ShieldRAG Fig. 2 | M1</w:t>
            </w:r>
          </w:p>
        </w:tc>
        <w:tc>
          <w:p>
            <w:pPr>
              <w:spacing w:after="60" w:before="60"/>
            </w:pPr>
            <w:r>
              <w:rPr>
                <w:rFonts w:ascii="Times New Roman" w:eastAsia="SimSun" w:hAnsi="Times New Roman"/>
                <w:b w:val="false"/>
                <w:bCs w:val="false"/>
                <w:i w:val="false"/>
                <w:iCs w:val="false"/>
                <w:color w:val="000000"/>
                <w:sz w:val="17"/>
                <w:szCs w:val="17"/>
              </w:rPr>
              <w:t xml:space="preserve">Fig. 3 | 与 LLM 安全评估器三维对比 | 参考 ShieldRAG Fig. 3 | E9</w:t>
            </w:r>
          </w:p>
        </w:tc>
      </w:tr>
      <w:tr>
        <w:tc>
          <w:p>
            <w:pPr>
              <w:spacing w:after="60" w:before="60"/>
            </w:pPr>
            <w:r>
              <w:rPr>
                <w:rFonts w:ascii="Times New Roman" w:eastAsia="SimSun" w:hAnsi="Times New Roman"/>
                <w:b w:val="false"/>
                <w:bCs w:val="false"/>
                <w:i w:val="false"/>
                <w:iCs w:val="false"/>
                <w:color w:val="000000"/>
                <w:sz w:val="17"/>
                <w:szCs w:val="17"/>
              </w:rPr>
              <w:t xml:space="preserve">Table 1 | 检索攻防矩阵 Recall/ASR @Top1/3/5 | 参考 ShieldRAG Table 1 | E5</w:t>
            </w:r>
          </w:p>
        </w:tc>
        <w:tc>
          <w:p>
            <w:pPr>
              <w:spacing w:after="60" w:before="60"/>
            </w:pPr>
            <w:r>
              <w:rPr>
                <w:rFonts w:ascii="Times New Roman" w:eastAsia="SimSun" w:hAnsi="Times New Roman"/>
                <w:b w:val="false"/>
                <w:bCs w:val="false"/>
                <w:i w:val="false"/>
                <w:iCs w:val="false"/>
                <w:color w:val="000000"/>
                <w:sz w:val="17"/>
                <w:szCs w:val="17"/>
              </w:rPr>
              <w:t xml:space="preserve">Fig. 4 | 投毒占比扫描（双轴）| 参考 ShieldRAG Fig. 4 | E10</w:t>
            </w:r>
          </w:p>
        </w:tc>
      </w:tr>
      <w:tr>
        <w:tc>
          <w:p>
            <w:pPr>
              <w:spacing w:after="60" w:before="60"/>
            </w:pPr>
            <w:r>
              <w:rPr>
                <w:rFonts w:ascii="Times New Roman" w:eastAsia="SimSun" w:hAnsi="Times New Roman"/>
                <w:b w:val="false"/>
                <w:bCs w:val="false"/>
                <w:i w:val="false"/>
                <w:iCs w:val="false"/>
                <w:color w:val="000000"/>
                <w:sz w:val="17"/>
                <w:szCs w:val="17"/>
              </w:rPr>
              <w:t xml:space="preserve">Table 2 | 生成 ASR 矩阵（数据集 × LLM）| 参考 ShieldRAG Table 2 | E6</w:t>
            </w:r>
          </w:p>
        </w:tc>
        <w:tc>
          <w:p>
            <w:pPr>
              <w:spacing w:after="60" w:before="60"/>
            </w:pPr>
            <w:r>
              <w:rPr>
                <w:rFonts w:ascii="Times New Roman" w:eastAsia="SimSun" w:hAnsi="Times New Roman"/>
                <w:b w:val="false"/>
                <w:bCs w:val="false"/>
                <w:i w:val="false"/>
                <w:iCs w:val="false"/>
                <w:color w:val="000000"/>
                <w:sz w:val="17"/>
                <w:szCs w:val="17"/>
              </w:rPr>
              <w:t xml:space="preserve">Fig. 5 | 消融双面板（4 变体）| 参考 ShieldRAG Fig. 5 | E11</w:t>
            </w:r>
          </w:p>
        </w:tc>
      </w:tr>
      <w:tr>
        <w:tc>
          <w:p>
            <w:pPr>
              <w:spacing w:after="60" w:before="60"/>
            </w:pPr>
            <w:r>
              <w:rPr>
                <w:rFonts w:ascii="Times New Roman" w:eastAsia="SimSun" w:hAnsi="Times New Roman"/>
                <w:b w:val="false"/>
                <w:bCs w:val="false"/>
                <w:i w:val="false"/>
                <w:iCs w:val="false"/>
                <w:color w:val="000000"/>
                <w:sz w:val="17"/>
                <w:szCs w:val="17"/>
              </w:rPr>
              <w:t xml:space="preserve">Table 3 | 生成准确率恢复矩阵 | 参考 ShieldRAG Table 3 | E7</w:t>
            </w:r>
          </w:p>
        </w:tc>
        <w:tc>
          <w:p>
            <w:pPr>
              <w:spacing w:after="60" w:before="60"/>
            </w:pPr>
            <w:r>
              <w:rPr>
                <w:rFonts w:ascii="Times New Roman" w:eastAsia="SimSun" w:hAnsi="Times New Roman"/>
                <w:b w:val="false"/>
                <w:bCs w:val="false"/>
                <w:i w:val="false"/>
                <w:iCs w:val="false"/>
                <w:color w:val="000000"/>
                <w:sz w:val="17"/>
                <w:szCs w:val="17"/>
              </w:rPr>
              <w:t xml:space="preserve">Fig. 6 | 敏感性（τ / H 或样本量）| 参考 ShieldRAG Fig. 6 | E12</w:t>
            </w:r>
          </w:p>
        </w:tc>
      </w:tr>
    </w:tbl>
    <w:sectPr>
      <w:pgSz w:w="11905" w:h="16837" w:orient="portrait"/>
      <w:pgMar w:top="1440" w:right="1133" w:bottom="1440" w:left="1133"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2026-08-22T03:03:19.850Z</dcterms:created>
  <dcterms:modified xsi:type="dcterms:W3CDTF">2026-08-22T03:03:19.850Z</dcterms:modified>
</cp:coreProperties>
</file>

<file path=docProps/custom.xml><?xml version="1.0" encoding="utf-8"?>
<Properties xmlns="http://schemas.openxmlformats.org/officeDocument/2006/custom-properties" xmlns:vt="http://schemas.openxmlformats.org/officeDocument/2006/docPropsVTypes"/>
</file>