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54D3" w14:textId="02F73B70" w:rsidR="00182C05" w:rsidRPr="00722A79" w:rsidRDefault="00722A79" w:rsidP="00722A79">
      <w:pPr>
        <w:jc w:val="center"/>
        <w:rPr>
          <w:b/>
          <w:bCs/>
          <w:sz w:val="28"/>
          <w:szCs w:val="28"/>
        </w:rPr>
      </w:pPr>
      <w:r w:rsidRPr="00722A79">
        <w:rPr>
          <w:b/>
          <w:bCs/>
          <w:noProof/>
          <w:sz w:val="28"/>
          <w:szCs w:val="28"/>
        </w:rPr>
        <w:t>Summary From the recent research</w:t>
      </w:r>
    </w:p>
    <w:p w14:paraId="33DDA771" w14:textId="77777777" w:rsidR="00722A79" w:rsidRDefault="00722A79">
      <w:pPr>
        <w:rPr>
          <w:rFonts w:ascii="Times New Roman" w:hAnsi="Times New Roman" w:cs="Times New Roman"/>
          <w:sz w:val="28"/>
          <w:szCs w:val="28"/>
        </w:rPr>
      </w:pPr>
    </w:p>
    <w:p w14:paraId="29FC43B0" w14:textId="769C6883" w:rsidR="00452071" w:rsidRPr="00722A79" w:rsidRDefault="00722A79">
      <w:pPr>
        <w:rPr>
          <w:rFonts w:ascii="Times New Roman" w:hAnsi="Times New Roman" w:cs="Times New Roman"/>
          <w:sz w:val="28"/>
          <w:szCs w:val="28"/>
        </w:rPr>
      </w:pPr>
      <w:r w:rsidRPr="00722A79">
        <w:rPr>
          <w:rFonts w:ascii="Times New Roman" w:hAnsi="Times New Roman" w:cs="Times New Roman"/>
          <w:sz w:val="28"/>
          <w:szCs w:val="28"/>
        </w:rPr>
        <w:t>Monkeypox Skin Lesion Detection with Deep Learning and Machine Learning</w:t>
      </w:r>
      <w:r w:rsidR="00AB0D05">
        <w:rPr>
          <w:rFonts w:ascii="Times New Roman" w:hAnsi="Times New Roman" w:cs="Times New Roman"/>
          <w:sz w:val="28"/>
          <w:szCs w:val="28"/>
        </w:rPr>
        <w:t>:</w:t>
      </w:r>
      <w:r w:rsidR="00AB0D05">
        <w:rPr>
          <w:rFonts w:ascii="Times New Roman" w:hAnsi="Times New Roman" w:cs="Times New Roman"/>
          <w:sz w:val="28"/>
          <w:szCs w:val="28"/>
        </w:rPr>
        <w:br/>
      </w:r>
      <w:hyperlink r:id="rId4" w:history="1">
        <w:r w:rsidR="00AB0D05" w:rsidRPr="00AB0D05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https://www.kaggle.com/datasets/nafin59/monkeypox-skin-lesion-dataset</w:t>
        </w:r>
      </w:hyperlink>
    </w:p>
    <w:p w14:paraId="4B58AC6E" w14:textId="77777777" w:rsidR="00722A79" w:rsidRPr="00722A79" w:rsidRDefault="00722A7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065"/>
        <w:gridCol w:w="1208"/>
        <w:gridCol w:w="869"/>
        <w:gridCol w:w="1015"/>
        <w:gridCol w:w="1078"/>
        <w:gridCol w:w="1374"/>
        <w:gridCol w:w="1270"/>
      </w:tblGrid>
      <w:tr w:rsidR="00332FDF" w14:paraId="2E8C44B1" w14:textId="77777777" w:rsidTr="00722A79">
        <w:tc>
          <w:tcPr>
            <w:tcW w:w="1471" w:type="dxa"/>
            <w:vAlign w:val="center"/>
          </w:tcPr>
          <w:p w14:paraId="367596ED" w14:textId="7E99B4B1" w:rsidR="00332FDF" w:rsidRDefault="00332FDF" w:rsidP="0048575A">
            <w:pPr>
              <w:jc w:val="center"/>
            </w:pPr>
            <w:r>
              <w:t>Author</w:t>
            </w:r>
          </w:p>
        </w:tc>
        <w:tc>
          <w:tcPr>
            <w:tcW w:w="1065" w:type="dxa"/>
            <w:vAlign w:val="center"/>
          </w:tcPr>
          <w:p w14:paraId="582BDCE9" w14:textId="1BA179B6" w:rsidR="00332FDF" w:rsidRDefault="00332FDF" w:rsidP="0048575A">
            <w:pPr>
              <w:jc w:val="center"/>
            </w:pPr>
            <w:r>
              <w:t>Year</w:t>
            </w:r>
          </w:p>
        </w:tc>
        <w:tc>
          <w:tcPr>
            <w:tcW w:w="1208" w:type="dxa"/>
            <w:vAlign w:val="center"/>
          </w:tcPr>
          <w:p w14:paraId="25C6B62E" w14:textId="1EB961C2" w:rsidR="00332FDF" w:rsidRDefault="00332FDF" w:rsidP="0048575A">
            <w:pPr>
              <w:jc w:val="center"/>
            </w:pPr>
            <w:r>
              <w:t>Dataset</w:t>
            </w:r>
          </w:p>
        </w:tc>
        <w:tc>
          <w:tcPr>
            <w:tcW w:w="869" w:type="dxa"/>
            <w:vAlign w:val="center"/>
          </w:tcPr>
          <w:p w14:paraId="7DB8883E" w14:textId="581855BB" w:rsidR="00332FDF" w:rsidRDefault="00332FDF" w:rsidP="0048575A">
            <w:pPr>
              <w:jc w:val="center"/>
            </w:pPr>
            <w:r>
              <w:t>Data Split</w:t>
            </w:r>
          </w:p>
        </w:tc>
        <w:tc>
          <w:tcPr>
            <w:tcW w:w="1015" w:type="dxa"/>
            <w:vAlign w:val="center"/>
          </w:tcPr>
          <w:p w14:paraId="3B1BBD40" w14:textId="5DAE2B1B" w:rsidR="00332FDF" w:rsidRDefault="00332FDF" w:rsidP="0048575A">
            <w:pPr>
              <w:jc w:val="center"/>
            </w:pPr>
            <w:r>
              <w:t>Model</w:t>
            </w:r>
          </w:p>
        </w:tc>
        <w:tc>
          <w:tcPr>
            <w:tcW w:w="1078" w:type="dxa"/>
            <w:vAlign w:val="center"/>
          </w:tcPr>
          <w:p w14:paraId="5347CCE4" w14:textId="7196A3ED" w:rsidR="00332FDF" w:rsidRDefault="00332FDF" w:rsidP="0048575A">
            <w:pPr>
              <w:jc w:val="center"/>
            </w:pPr>
            <w:r>
              <w:t>Total Data</w:t>
            </w:r>
          </w:p>
        </w:tc>
        <w:tc>
          <w:tcPr>
            <w:tcW w:w="1374" w:type="dxa"/>
            <w:vAlign w:val="center"/>
          </w:tcPr>
          <w:p w14:paraId="048C19ED" w14:textId="5FBD2E22" w:rsidR="00332FDF" w:rsidRDefault="00332FDF" w:rsidP="0048575A">
            <w:pPr>
              <w:jc w:val="center"/>
            </w:pPr>
            <w:r>
              <w:t>Learning Type</w:t>
            </w:r>
          </w:p>
        </w:tc>
        <w:tc>
          <w:tcPr>
            <w:tcW w:w="1270" w:type="dxa"/>
            <w:vAlign w:val="center"/>
          </w:tcPr>
          <w:p w14:paraId="0DCB5D70" w14:textId="212D689F" w:rsidR="00332FDF" w:rsidRDefault="00332FDF" w:rsidP="0048575A">
            <w:pPr>
              <w:jc w:val="center"/>
            </w:pPr>
            <w:r>
              <w:t>Overall Accuracy</w:t>
            </w:r>
          </w:p>
        </w:tc>
      </w:tr>
      <w:tr w:rsidR="00332FDF" w14:paraId="05B716FF" w14:textId="77777777" w:rsidTr="00722A79">
        <w:trPr>
          <w:trHeight w:val="782"/>
        </w:trPr>
        <w:tc>
          <w:tcPr>
            <w:tcW w:w="1471" w:type="dxa"/>
            <w:vAlign w:val="center"/>
          </w:tcPr>
          <w:p w14:paraId="56341018" w14:textId="5881547A" w:rsidR="00332FDF" w:rsidRDefault="00332FDF" w:rsidP="0048575A">
            <w:pPr>
              <w:jc w:val="center"/>
            </w:pPr>
            <w:proofErr w:type="spellStart"/>
            <w:r w:rsidRPr="00332FDF">
              <w:t>Saznila</w:t>
            </w:r>
            <w:proofErr w:type="spellEnd"/>
            <w:r w:rsidRPr="00332FDF">
              <w:t xml:space="preserve"> Islam, </w:t>
            </w:r>
            <w:proofErr w:type="spellStart"/>
            <w:r w:rsidRPr="00332FDF">
              <w:t>Fhamida</w:t>
            </w:r>
            <w:proofErr w:type="spellEnd"/>
            <w:r w:rsidRPr="00332FDF">
              <w:t xml:space="preserve"> Akter Nishi, Tahmina Akter, Muhammad Anwarul Azim</w:t>
            </w:r>
          </w:p>
        </w:tc>
        <w:tc>
          <w:tcPr>
            <w:tcW w:w="1065" w:type="dxa"/>
            <w:vAlign w:val="center"/>
          </w:tcPr>
          <w:p w14:paraId="265A41BC" w14:textId="4441280D" w:rsidR="00332FDF" w:rsidRDefault="00332FDF" w:rsidP="0048575A">
            <w:pPr>
              <w:jc w:val="center"/>
            </w:pPr>
            <w:r>
              <w:t>2023</w:t>
            </w:r>
          </w:p>
        </w:tc>
        <w:tc>
          <w:tcPr>
            <w:tcW w:w="1208" w:type="dxa"/>
            <w:vAlign w:val="center"/>
          </w:tcPr>
          <w:p w14:paraId="6F989B0B" w14:textId="287FF9DE" w:rsidR="00332FDF" w:rsidRDefault="00332FDF" w:rsidP="0048575A">
            <w:pPr>
              <w:jc w:val="center"/>
            </w:pPr>
            <w:r>
              <w:t>Kaggle</w:t>
            </w:r>
            <w:r w:rsidRPr="00C7469A">
              <w:t xml:space="preserve"> dataset</w:t>
            </w:r>
          </w:p>
        </w:tc>
        <w:tc>
          <w:tcPr>
            <w:tcW w:w="869" w:type="dxa"/>
            <w:vAlign w:val="center"/>
          </w:tcPr>
          <w:p w14:paraId="28B11C1D" w14:textId="15988378" w:rsidR="00332FDF" w:rsidRPr="00332FDF" w:rsidRDefault="00722A79" w:rsidP="0048575A">
            <w:pPr>
              <w:jc w:val="center"/>
            </w:pPr>
            <w:r>
              <w:t>80% - 20%</w:t>
            </w:r>
          </w:p>
        </w:tc>
        <w:tc>
          <w:tcPr>
            <w:tcW w:w="1015" w:type="dxa"/>
            <w:vAlign w:val="center"/>
          </w:tcPr>
          <w:p w14:paraId="2A7F165C" w14:textId="2B4F9FC5" w:rsidR="00332FDF" w:rsidRDefault="00332FDF" w:rsidP="0048575A">
            <w:pPr>
              <w:jc w:val="center"/>
            </w:pPr>
            <w:r w:rsidRPr="00332FDF">
              <w:t>VGG19</w:t>
            </w:r>
          </w:p>
        </w:tc>
        <w:tc>
          <w:tcPr>
            <w:tcW w:w="1078" w:type="dxa"/>
            <w:vAlign w:val="center"/>
          </w:tcPr>
          <w:p w14:paraId="4C80D55A" w14:textId="0F6B6F46" w:rsidR="00332FDF" w:rsidRDefault="00332FDF" w:rsidP="0048575A">
            <w:pPr>
              <w:jc w:val="center"/>
            </w:pPr>
            <w:r>
              <w:t>1040</w:t>
            </w:r>
          </w:p>
        </w:tc>
        <w:tc>
          <w:tcPr>
            <w:tcW w:w="1374" w:type="dxa"/>
            <w:vAlign w:val="center"/>
          </w:tcPr>
          <w:p w14:paraId="0585CE51" w14:textId="3F8EEA06" w:rsidR="00332FDF" w:rsidRDefault="00332FDF" w:rsidP="0048575A">
            <w:pPr>
              <w:jc w:val="center"/>
            </w:pPr>
            <w:r>
              <w:t>Supervised</w:t>
            </w:r>
          </w:p>
        </w:tc>
        <w:tc>
          <w:tcPr>
            <w:tcW w:w="1270" w:type="dxa"/>
            <w:vAlign w:val="center"/>
          </w:tcPr>
          <w:p w14:paraId="7948AD20" w14:textId="76BE7562" w:rsidR="00332FDF" w:rsidRDefault="00332FDF" w:rsidP="0048575A">
            <w:pPr>
              <w:jc w:val="center"/>
            </w:pPr>
            <w:r>
              <w:t>99.52%</w:t>
            </w:r>
          </w:p>
        </w:tc>
      </w:tr>
    </w:tbl>
    <w:p w14:paraId="390237F2" w14:textId="77777777" w:rsidR="00452071" w:rsidRDefault="00452071"/>
    <w:p w14:paraId="0CAF2C08" w14:textId="2C1A03BE" w:rsidR="000F2150" w:rsidRDefault="000F2150" w:rsidP="000F2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Achievements: </w:t>
      </w:r>
    </w:p>
    <w:p w14:paraId="6633CA85" w14:textId="0279C30E" w:rsidR="000F2150" w:rsidRPr="000F2150" w:rsidRDefault="00466753" w:rsidP="000F2150">
      <w:pPr>
        <w:rPr>
          <w:rFonts w:ascii="Times New Roman" w:hAnsi="Times New Roman" w:cs="Times New Roman"/>
        </w:rPr>
      </w:pPr>
      <w:r w:rsidRPr="00466753">
        <w:rPr>
          <w:rFonts w:ascii="Times New Roman" w:hAnsi="Times New Roman" w:cs="Times New Roman"/>
        </w:rPr>
        <w:t>VGG19 with 99.52% accuracy on custom 3-class dataset</w:t>
      </w:r>
      <w:r w:rsidR="000F2150" w:rsidRPr="000F2150">
        <w:rPr>
          <w:rFonts w:ascii="Times New Roman" w:hAnsi="Times New Roman" w:cs="Times New Roman"/>
        </w:rPr>
        <w:t>, wide model comparison, extensive tuning</w:t>
      </w:r>
      <w:r w:rsidR="000F2150">
        <w:rPr>
          <w:rFonts w:ascii="Times New Roman" w:hAnsi="Times New Roman" w:cs="Times New Roman"/>
        </w:rPr>
        <w:t>.</w:t>
      </w:r>
    </w:p>
    <w:p w14:paraId="5E359E07" w14:textId="77777777" w:rsidR="000F2150" w:rsidRDefault="000F2150" w:rsidP="000F2150">
      <w:pPr>
        <w:rPr>
          <w:rFonts w:ascii="Times New Roman" w:hAnsi="Times New Roman" w:cs="Times New Roman"/>
          <w:sz w:val="28"/>
          <w:szCs w:val="28"/>
        </w:rPr>
      </w:pPr>
    </w:p>
    <w:p w14:paraId="56540158" w14:textId="4F6B30A2" w:rsidR="000F2150" w:rsidRPr="000F2150" w:rsidRDefault="000F2150" w:rsidP="000F2150">
      <w:pPr>
        <w:rPr>
          <w:rFonts w:ascii="Times New Roman" w:hAnsi="Times New Roman" w:cs="Times New Roman"/>
          <w:sz w:val="28"/>
          <w:szCs w:val="28"/>
        </w:rPr>
      </w:pPr>
      <w:r w:rsidRPr="000F2150">
        <w:rPr>
          <w:rFonts w:ascii="Times New Roman" w:hAnsi="Times New Roman" w:cs="Times New Roman"/>
          <w:sz w:val="28"/>
          <w:szCs w:val="28"/>
        </w:rPr>
        <w:t>Limitations:</w:t>
      </w:r>
    </w:p>
    <w:p w14:paraId="77DAF9F4" w14:textId="0E835A28" w:rsidR="000F2150" w:rsidRPr="000F2150" w:rsidRDefault="000F2150" w:rsidP="000F2150">
      <w:pPr>
        <w:rPr>
          <w:rFonts w:ascii="Times New Roman" w:hAnsi="Times New Roman" w:cs="Times New Roman"/>
        </w:rPr>
      </w:pPr>
      <w:r w:rsidRPr="000F2150">
        <w:rPr>
          <w:rFonts w:ascii="Times New Roman" w:hAnsi="Times New Roman" w:cs="Times New Roman"/>
        </w:rPr>
        <w:t>Custom data from the web</w:t>
      </w:r>
      <w:r>
        <w:rPr>
          <w:rFonts w:ascii="Times New Roman" w:hAnsi="Times New Roman" w:cs="Times New Roman"/>
        </w:rPr>
        <w:t>,</w:t>
      </w:r>
      <w:r w:rsidRPr="000F2150">
        <w:rPr>
          <w:rFonts w:ascii="Times New Roman" w:hAnsi="Times New Roman" w:cs="Times New Roman"/>
        </w:rPr>
        <w:t xml:space="preserve"> limited categories</w:t>
      </w:r>
      <w:r w:rsidR="00466753">
        <w:rPr>
          <w:rFonts w:ascii="Times New Roman" w:hAnsi="Times New Roman" w:cs="Times New Roman"/>
        </w:rPr>
        <w:t>.</w:t>
      </w:r>
    </w:p>
    <w:p w14:paraId="621A8F2E" w14:textId="77777777" w:rsidR="000F2150" w:rsidRPr="000F2150" w:rsidRDefault="000F2150">
      <w:pPr>
        <w:rPr>
          <w:rFonts w:ascii="Times New Roman" w:hAnsi="Times New Roman" w:cs="Times New Roman"/>
        </w:rPr>
      </w:pPr>
    </w:p>
    <w:p w14:paraId="1C49D85E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53A94072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4D4B42FD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0351C0F1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7326AF8A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7D71EC5E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79F700B2" w14:textId="5A6BF716" w:rsidR="0048575A" w:rsidRPr="00722A79" w:rsidRDefault="00332FDF">
      <w:pPr>
        <w:rPr>
          <w:rFonts w:ascii="Times New Roman" w:hAnsi="Times New Roman" w:cs="Times New Roman"/>
        </w:rPr>
      </w:pPr>
      <w:r w:rsidRPr="00722A79">
        <w:rPr>
          <w:rFonts w:ascii="Times New Roman" w:hAnsi="Times New Roman" w:cs="Times New Roman"/>
          <w:sz w:val="28"/>
          <w:szCs w:val="28"/>
        </w:rPr>
        <w:lastRenderedPageBreak/>
        <w:t>Vision transformer and CNN-based skin lesion analysis: classification of monkeypox</w:t>
      </w:r>
      <w:r w:rsidR="00AB0D05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AB0D05" w:rsidRPr="00AB0D05">
          <w:rPr>
            <w:rStyle w:val="Hyperlink"/>
            <w:rFonts w:ascii="Times New Roman" w:hAnsi="Times New Roman" w:cs="Times New Roman"/>
            <w:sz w:val="28"/>
            <w:szCs w:val="28"/>
          </w:rPr>
          <w:t>https://data.mendeley.com/datasets/zr7vgbcyr2/1</w:t>
        </w:r>
      </w:hyperlink>
      <w:r w:rsidR="00AB0D05">
        <w:rPr>
          <w:rFonts w:ascii="Times New Roman" w:hAnsi="Times New Roman" w:cs="Times New Roman"/>
          <w:sz w:val="28"/>
          <w:szCs w:val="28"/>
        </w:rPr>
        <w:t xml:space="preserve"> and </w:t>
      </w:r>
      <w:hyperlink r:id="rId6" w:history="1">
        <w:r w:rsidR="00AB0D05" w:rsidRPr="00AB0D05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https://www.kaggle.com/datasets/nafin59/monkeypox-skin-lesion-dataset</w:t>
        </w:r>
      </w:hyperlink>
    </w:p>
    <w:p w14:paraId="7CEA1D62" w14:textId="77777777" w:rsidR="0048575A" w:rsidRDefault="0048575A" w:rsidP="004857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936"/>
        <w:gridCol w:w="1223"/>
        <w:gridCol w:w="944"/>
        <w:gridCol w:w="1640"/>
        <w:gridCol w:w="935"/>
        <w:gridCol w:w="1374"/>
        <w:gridCol w:w="1234"/>
      </w:tblGrid>
      <w:tr w:rsidR="00332FDF" w14:paraId="2824CD61" w14:textId="77777777" w:rsidTr="00332FDF">
        <w:tc>
          <w:tcPr>
            <w:tcW w:w="1073" w:type="dxa"/>
            <w:vAlign w:val="center"/>
          </w:tcPr>
          <w:p w14:paraId="3C76301D" w14:textId="77777777" w:rsidR="00332FDF" w:rsidRDefault="00332FDF" w:rsidP="001B1EF9">
            <w:pPr>
              <w:jc w:val="center"/>
            </w:pPr>
            <w:r>
              <w:t>Author</w:t>
            </w:r>
          </w:p>
        </w:tc>
        <w:tc>
          <w:tcPr>
            <w:tcW w:w="948" w:type="dxa"/>
            <w:vAlign w:val="center"/>
          </w:tcPr>
          <w:p w14:paraId="1D209796" w14:textId="77777777" w:rsidR="00332FDF" w:rsidRDefault="00332FDF" w:rsidP="001B1EF9">
            <w:pPr>
              <w:jc w:val="center"/>
            </w:pPr>
            <w:r>
              <w:t>Year</w:t>
            </w:r>
          </w:p>
        </w:tc>
        <w:tc>
          <w:tcPr>
            <w:tcW w:w="1173" w:type="dxa"/>
            <w:vAlign w:val="center"/>
          </w:tcPr>
          <w:p w14:paraId="0664212C" w14:textId="77777777" w:rsidR="00332FDF" w:rsidRDefault="00332FDF" w:rsidP="001B1EF9">
            <w:pPr>
              <w:jc w:val="center"/>
            </w:pPr>
            <w:r>
              <w:t>Dataset</w:t>
            </w:r>
          </w:p>
        </w:tc>
        <w:tc>
          <w:tcPr>
            <w:tcW w:w="958" w:type="dxa"/>
            <w:vAlign w:val="center"/>
          </w:tcPr>
          <w:p w14:paraId="463D8A6D" w14:textId="3D229147" w:rsidR="00332FDF" w:rsidRDefault="00332FDF" w:rsidP="001B1EF9">
            <w:pPr>
              <w:jc w:val="center"/>
            </w:pPr>
            <w:r>
              <w:t>Data Split</w:t>
            </w:r>
          </w:p>
        </w:tc>
        <w:tc>
          <w:tcPr>
            <w:tcW w:w="1640" w:type="dxa"/>
            <w:vAlign w:val="center"/>
          </w:tcPr>
          <w:p w14:paraId="4A5959FE" w14:textId="6AD69C78" w:rsidR="00332FDF" w:rsidRDefault="00332FDF" w:rsidP="001B1EF9">
            <w:pPr>
              <w:jc w:val="center"/>
            </w:pPr>
            <w:r>
              <w:t>Model</w:t>
            </w:r>
          </w:p>
        </w:tc>
        <w:tc>
          <w:tcPr>
            <w:tcW w:w="947" w:type="dxa"/>
            <w:vAlign w:val="center"/>
          </w:tcPr>
          <w:p w14:paraId="60DE4A46" w14:textId="77777777" w:rsidR="00332FDF" w:rsidRDefault="00332FDF" w:rsidP="001B1EF9">
            <w:pPr>
              <w:jc w:val="center"/>
            </w:pPr>
            <w:r>
              <w:t>Total Data</w:t>
            </w:r>
          </w:p>
        </w:tc>
        <w:tc>
          <w:tcPr>
            <w:tcW w:w="1374" w:type="dxa"/>
            <w:vAlign w:val="center"/>
          </w:tcPr>
          <w:p w14:paraId="4AD459F0" w14:textId="55B46658" w:rsidR="00332FDF" w:rsidRDefault="00332FDF" w:rsidP="001B1EF9">
            <w:pPr>
              <w:jc w:val="center"/>
            </w:pPr>
            <w:r>
              <w:t>Learning Method</w:t>
            </w:r>
          </w:p>
        </w:tc>
        <w:tc>
          <w:tcPr>
            <w:tcW w:w="1237" w:type="dxa"/>
            <w:vAlign w:val="center"/>
          </w:tcPr>
          <w:p w14:paraId="4F8B255A" w14:textId="77777777" w:rsidR="00332FDF" w:rsidRDefault="00332FDF" w:rsidP="001B1EF9">
            <w:pPr>
              <w:jc w:val="center"/>
            </w:pPr>
            <w:r>
              <w:t>Overall Accuracy</w:t>
            </w:r>
          </w:p>
        </w:tc>
      </w:tr>
      <w:tr w:rsidR="00332FDF" w14:paraId="1776E948" w14:textId="77777777" w:rsidTr="00332FDF">
        <w:tc>
          <w:tcPr>
            <w:tcW w:w="1073" w:type="dxa"/>
            <w:vAlign w:val="center"/>
          </w:tcPr>
          <w:p w14:paraId="26E7DA5B" w14:textId="77777777" w:rsidR="00332FDF" w:rsidRDefault="00332FDF" w:rsidP="001B1EF9">
            <w:pPr>
              <w:jc w:val="center"/>
            </w:pPr>
            <w:r w:rsidRPr="009C21C4">
              <w:t>Gozde</w:t>
            </w:r>
            <w:r>
              <w:t xml:space="preserve"> </w:t>
            </w:r>
            <w:r w:rsidRPr="009C21C4">
              <w:t>Yolcu</w:t>
            </w:r>
            <w:r>
              <w:t xml:space="preserve"> </w:t>
            </w:r>
            <w:r w:rsidRPr="009C21C4">
              <w:t>Oztel</w:t>
            </w:r>
          </w:p>
        </w:tc>
        <w:tc>
          <w:tcPr>
            <w:tcW w:w="948" w:type="dxa"/>
            <w:vAlign w:val="center"/>
          </w:tcPr>
          <w:p w14:paraId="27B09FEA" w14:textId="77777777" w:rsidR="00332FDF" w:rsidRDefault="00332FDF" w:rsidP="001B1EF9">
            <w:pPr>
              <w:jc w:val="center"/>
            </w:pPr>
            <w:r>
              <w:t>2024</w:t>
            </w:r>
          </w:p>
        </w:tc>
        <w:tc>
          <w:tcPr>
            <w:tcW w:w="1173" w:type="dxa"/>
            <w:vAlign w:val="center"/>
          </w:tcPr>
          <w:p w14:paraId="3DF39918" w14:textId="662BDFF6" w:rsidR="00332FDF" w:rsidRDefault="00AB0D05" w:rsidP="001B1EF9">
            <w:pPr>
              <w:jc w:val="center"/>
            </w:pPr>
            <w:r>
              <w:t>Mendeley Dataset</w:t>
            </w:r>
            <w:r w:rsidR="00332FDF">
              <w:t xml:space="preserve"> (Skin Cancer) +</w:t>
            </w:r>
            <w:r w:rsidR="00332FDF">
              <w:br/>
              <w:t>Kaggle</w:t>
            </w:r>
            <w:r w:rsidR="00332FDF" w:rsidRPr="00C7469A">
              <w:t xml:space="preserve"> dataset</w:t>
            </w:r>
            <w:r w:rsidR="00332FDF">
              <w:t xml:space="preserve"> (Monkey Pox)</w:t>
            </w:r>
          </w:p>
        </w:tc>
        <w:tc>
          <w:tcPr>
            <w:tcW w:w="958" w:type="dxa"/>
            <w:vAlign w:val="center"/>
          </w:tcPr>
          <w:p w14:paraId="5283A2C7" w14:textId="0EA68CE7" w:rsidR="00332FDF" w:rsidRPr="00C7469A" w:rsidRDefault="00332FDF" w:rsidP="001B1EF9">
            <w:pPr>
              <w:jc w:val="center"/>
            </w:pPr>
            <w:r>
              <w:t>80% -20%</w:t>
            </w:r>
          </w:p>
        </w:tc>
        <w:tc>
          <w:tcPr>
            <w:tcW w:w="1640" w:type="dxa"/>
            <w:vAlign w:val="center"/>
          </w:tcPr>
          <w:p w14:paraId="4544F354" w14:textId="41F4418D" w:rsidR="00332FDF" w:rsidRDefault="00332FDF" w:rsidP="001B1EF9">
            <w:pPr>
              <w:jc w:val="center"/>
            </w:pPr>
            <w:proofErr w:type="spellStart"/>
            <w:r w:rsidRPr="00C7469A">
              <w:t>ViT</w:t>
            </w:r>
            <w:proofErr w:type="spellEnd"/>
            <w:r w:rsidRPr="00C7469A">
              <w:t xml:space="preserve"> + DenseNet201</w:t>
            </w:r>
          </w:p>
        </w:tc>
        <w:tc>
          <w:tcPr>
            <w:tcW w:w="947" w:type="dxa"/>
            <w:vAlign w:val="center"/>
          </w:tcPr>
          <w:p w14:paraId="0137AD8B" w14:textId="4549A566" w:rsidR="00332FDF" w:rsidRDefault="00722A79" w:rsidP="001B1EF9">
            <w:pPr>
              <w:jc w:val="center"/>
            </w:pPr>
            <w:r>
              <w:t xml:space="preserve">2298 + </w:t>
            </w:r>
            <w:r w:rsidR="00332FDF">
              <w:t>102</w:t>
            </w:r>
          </w:p>
        </w:tc>
        <w:tc>
          <w:tcPr>
            <w:tcW w:w="1374" w:type="dxa"/>
            <w:vAlign w:val="center"/>
          </w:tcPr>
          <w:p w14:paraId="500960AC" w14:textId="77777777" w:rsidR="00332FDF" w:rsidRDefault="00332FDF" w:rsidP="001B1EF9">
            <w:pPr>
              <w:jc w:val="center"/>
            </w:pPr>
            <w:r>
              <w:t>Supervised</w:t>
            </w:r>
          </w:p>
        </w:tc>
        <w:tc>
          <w:tcPr>
            <w:tcW w:w="1237" w:type="dxa"/>
            <w:vAlign w:val="center"/>
          </w:tcPr>
          <w:p w14:paraId="12CE82A7" w14:textId="77777777" w:rsidR="00332FDF" w:rsidRDefault="00332FDF" w:rsidP="001B1EF9">
            <w:pPr>
              <w:jc w:val="center"/>
            </w:pPr>
            <w:r>
              <w:t>81.91%</w:t>
            </w:r>
          </w:p>
        </w:tc>
      </w:tr>
    </w:tbl>
    <w:p w14:paraId="77F7EA72" w14:textId="77777777" w:rsidR="0048575A" w:rsidRDefault="0048575A"/>
    <w:p w14:paraId="2380796E" w14:textId="20E7785E" w:rsidR="000F2150" w:rsidRDefault="000F2150">
      <w:r>
        <w:t>Achievements:</w:t>
      </w:r>
    </w:p>
    <w:p w14:paraId="25CE6522" w14:textId="469138ED" w:rsidR="000F2150" w:rsidRDefault="00466753" w:rsidP="00466753">
      <w:proofErr w:type="spellStart"/>
      <w:r w:rsidRPr="00466753">
        <w:t>ViT</w:t>
      </w:r>
      <w:proofErr w:type="spellEnd"/>
      <w:r w:rsidRPr="00466753">
        <w:t xml:space="preserve"> + </w:t>
      </w:r>
      <w:proofErr w:type="spellStart"/>
      <w:r w:rsidRPr="00466753">
        <w:t>DenseNet</w:t>
      </w:r>
      <w:proofErr w:type="spellEnd"/>
      <w:r w:rsidRPr="00466753">
        <w:t xml:space="preserve"> ensemble for 7-class classification, robust ensemble + transfer learning, rich performance metrics</w:t>
      </w:r>
      <w:r>
        <w:t xml:space="preserve"> (Jaccard Index Added due to highly imbalance data).</w:t>
      </w:r>
    </w:p>
    <w:p w14:paraId="275F32F5" w14:textId="77777777" w:rsidR="00466753" w:rsidRDefault="00466753" w:rsidP="00466753"/>
    <w:p w14:paraId="71C4D5BA" w14:textId="77777777" w:rsidR="00466753" w:rsidRDefault="00466753" w:rsidP="00466753">
      <w:pPr>
        <w:rPr>
          <w:sz w:val="28"/>
          <w:szCs w:val="28"/>
        </w:rPr>
      </w:pPr>
      <w:r w:rsidRPr="00466753">
        <w:rPr>
          <w:sz w:val="28"/>
          <w:szCs w:val="28"/>
        </w:rPr>
        <w:t>Limitations:</w:t>
      </w:r>
    </w:p>
    <w:p w14:paraId="16EDE8DA" w14:textId="01F9A3BB" w:rsidR="00466753" w:rsidRPr="00466753" w:rsidRDefault="00466753" w:rsidP="00466753">
      <w:r w:rsidRPr="00466753">
        <w:t>Small dataset</w:t>
      </w:r>
      <w:r>
        <w:t>,</w:t>
      </w:r>
      <w:r w:rsidRPr="00466753">
        <w:t xml:space="preserve"> limited</w:t>
      </w:r>
      <w:r>
        <w:t xml:space="preserve"> sample</w:t>
      </w:r>
      <w:r w:rsidRPr="00466753">
        <w:t xml:space="preserve"> monkeypox</w:t>
      </w:r>
      <w:r>
        <w:t>.</w:t>
      </w:r>
    </w:p>
    <w:sectPr w:rsidR="00466753" w:rsidRPr="0046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71"/>
    <w:rsid w:val="000F2150"/>
    <w:rsid w:val="00182C05"/>
    <w:rsid w:val="002047E6"/>
    <w:rsid w:val="00332FDF"/>
    <w:rsid w:val="00452071"/>
    <w:rsid w:val="00466753"/>
    <w:rsid w:val="004847C7"/>
    <w:rsid w:val="0048575A"/>
    <w:rsid w:val="00722A79"/>
    <w:rsid w:val="00883627"/>
    <w:rsid w:val="009C21C4"/>
    <w:rsid w:val="00AB0D05"/>
    <w:rsid w:val="00C7469A"/>
    <w:rsid w:val="00C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2F8E"/>
  <w15:chartTrackingRefBased/>
  <w15:docId w15:val="{B0FACA8D-D722-4505-906F-3BB1ADC1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75A"/>
  </w:style>
  <w:style w:type="paragraph" w:styleId="Heading1">
    <w:name w:val="heading 1"/>
    <w:basedOn w:val="Normal"/>
    <w:next w:val="Normal"/>
    <w:link w:val="Heading1Char"/>
    <w:uiPriority w:val="9"/>
    <w:qFormat/>
    <w:rsid w:val="00452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0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0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0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07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07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07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0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07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07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5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nafin59/monkeypox-skin-lesion-dataset" TargetMode="External"/><Relationship Id="rId5" Type="http://schemas.openxmlformats.org/officeDocument/2006/relationships/hyperlink" Target="https://data.mendeley.com/datasets/zr7vgbcyr2/1" TargetMode="External"/><Relationship Id="rId4" Type="http://schemas.openxmlformats.org/officeDocument/2006/relationships/hyperlink" Target="https://www.kaggle.com/datasets/nafin59/monkeypox-skin-les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Nuzhat Nijhu</dc:creator>
  <cp:keywords/>
  <dc:description/>
  <cp:lastModifiedBy>Nuzhat Nijhu</cp:lastModifiedBy>
  <cp:revision>2</cp:revision>
  <dcterms:created xsi:type="dcterms:W3CDTF">2025-07-08T18:12:00Z</dcterms:created>
  <dcterms:modified xsi:type="dcterms:W3CDTF">2025-07-09T14:38:00Z</dcterms:modified>
</cp:coreProperties>
</file>