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KALATRACE — Roadmap Fase 5</w:t>
      </w:r>
    </w:p>
    <w:p>
      <w:r>
        <w:t>Atualização: Simulation v1.0.0</w:t>
      </w:r>
    </w:p>
    <w:p>
      <w:pPr>
        <w:pStyle w:val="Heading1"/>
      </w:pPr>
      <w:r>
        <w:t>Status da sequência</w:t>
      </w:r>
    </w:p>
    <w:p>
      <w:pPr>
        <w:pStyle w:val="ListBullet"/>
      </w:pPr>
      <w:r>
        <w:t>PARSI — CONCLUÍDO</w:t>
      </w:r>
    </w:p>
    <w:p>
      <w:pPr>
        <w:pStyle w:val="ListBullet"/>
      </w:pPr>
      <w:r>
        <w:t>StarHouse — CONCLUÍDO</w:t>
      </w:r>
    </w:p>
    <w:p>
      <w:pPr>
        <w:pStyle w:val="ListBullet"/>
      </w:pPr>
      <w:r>
        <w:t>Horse — CONCLUÍDO</w:t>
      </w:r>
    </w:p>
    <w:p>
      <w:pPr>
        <w:pStyle w:val="ListBullet"/>
      </w:pPr>
      <w:r>
        <w:t>Prediction — CONCLUÍDO</w:t>
      </w:r>
    </w:p>
    <w:p>
      <w:pPr>
        <w:pStyle w:val="ListBullet"/>
      </w:pPr>
      <w:r>
        <w:t>Simulation — CONCLUÍDO</w:t>
      </w:r>
    </w:p>
    <w:p>
      <w:pPr>
        <w:pStyle w:val="Heading1"/>
      </w:pPr>
      <w:r>
        <w:t>Simulation v1.0.0 — CONCLUÍDO</w:t>
      </w:r>
    </w:p>
    <w:p>
      <w:pPr>
        <w:pStyle w:val="ListBullet"/>
      </w:pPr>
      <w:r>
        <w:t>SimulationEngine e contratos SimulationChange, SimulationOutcome, SimulationScenario e SimulationResult.</w:t>
      </w:r>
    </w:p>
    <w:p>
      <w:pPr>
        <w:pStyle w:val="ListBullet"/>
      </w:pPr>
      <w:r>
        <w:t>Experimentação hipotética isolada, sem mutação do KnowledgeGraph.</w:t>
      </w:r>
    </w:p>
    <w:p>
      <w:pPr>
        <w:pStyle w:val="ListBullet"/>
      </w:pPr>
      <w:r>
        <w:t>Consumo de sinais de Prediction, Horse e StarHouse.</w:t>
      </w:r>
    </w:p>
    <w:p>
      <w:pPr>
        <w:pStyle w:val="ListBullet"/>
      </w:pPr>
      <w:r>
        <w:t>Registro de pressupostos, incerteza, advertências e proveniência.</w:t>
      </w:r>
    </w:p>
    <w:p>
      <w:pPr>
        <w:pStyle w:val="ListBullet"/>
      </w:pPr>
      <w:r>
        <w:t>Integração consultiva ao CognitiveOrchestrator por simulate_knowledge().</w:t>
      </w:r>
    </w:p>
    <w:p>
      <w:pPr>
        <w:pStyle w:val="ListBullet"/>
      </w:pPr>
      <w:r>
        <w:t>DMI-SIMULATION.md e README atualizados.</w:t>
      </w:r>
    </w:p>
    <w:p>
      <w:pPr>
        <w:pStyle w:val="ListBullet"/>
      </w:pPr>
      <w:r>
        <w:t>Testes preservados e nova cobertura de Simulation.</w:t>
      </w:r>
    </w:p>
    <w:p>
      <w:pPr>
        <w:pStyle w:val="Heading1"/>
      </w:pPr>
      <w:r>
        <w:t>Invariantes arquiteturais</w:t>
      </w:r>
    </w:p>
    <w:p>
      <w:pPr>
        <w:pStyle w:val="ListBullet"/>
      </w:pPr>
      <w:r>
        <w:t>Não altera conhecimento oficial.</w:t>
      </w:r>
    </w:p>
    <w:p>
      <w:pPr>
        <w:pStyle w:val="ListBullet"/>
      </w:pPr>
      <w:r>
        <w:t>Não valida hipóteses ou evidências.</w:t>
      </w:r>
    </w:p>
    <w:p>
      <w:pPr>
        <w:pStyle w:val="ListBullet"/>
      </w:pPr>
      <w:r>
        <w:t>Não estabelece causalidade.</w:t>
      </w:r>
    </w:p>
    <w:p>
      <w:pPr>
        <w:pStyle w:val="ListBullet"/>
      </w:pPr>
      <w:r>
        <w:t>Resultados simulados não são fatos observados nem conhecimento epistemicamente incorporado.</w:t>
      </w:r>
    </w:p>
    <w:p>
      <w:pPr>
        <w:pStyle w:val="Heading1"/>
      </w:pPr>
      <w:r>
        <w:t>Validação</w:t>
      </w:r>
    </w:p>
    <w:p>
      <w:r>
        <w:t>Suíte completa: 473 testes passando — 0 falhas.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