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40"/>
          <w:sz w:val="40"/>
        </w:rPr>
        <w:t>Cinder: The Autonomous AI-Powered Wire Service &amp; Narrative Trading Engine</w:t>
      </w:r>
    </w:p>
    <w:p>
      <w:pPr>
        <w:jc w:val="center"/>
      </w:pPr>
      <w:r>
        <w:rPr>
          <w:rFonts w:ascii="Arial" w:hAnsi="Arial"/>
          <w:i/>
          <w:color w:val="646E78"/>
          <w:sz w:val="24"/>
        </w:rPr>
        <w:t>A Complete Overview of the Autonomous Lifecycle, Strengths, and Risks</w:t>
      </w:r>
    </w:p>
    <w:p>
      <w:pPr>
        <w:spacing w:after="400"/>
      </w:pPr>
    </w:p>
    <w:p>
      <w:pPr>
        <w:spacing w:after="240"/>
      </w:pPr>
      <w:r>
        <w:t>Cinder is an autonomous, non-custodial trading system and financial wire service. Instead of trading purely on traditional technical indicators (like moving averages), Cinder trades on market narratives (such as 'Institutional Accumulation', 'Layer 2 Expansion', or 'Meme Season'). It parses real-world news and raw data in real-time, quantifies narrative shifts, and executes trades autonomously.</w:t>
      </w:r>
    </w:p>
    <w:p>
      <w:pPr>
        <w:pStyle w:val="Heading1"/>
        <w:spacing w:before="360" w:after="160"/>
      </w:pPr>
      <w:r>
        <w:rPr>
          <w:rFonts w:ascii="Arial" w:hAnsi="Arial"/>
          <w:b/>
          <w:color w:val="0A2540"/>
          <w:sz w:val="32"/>
        </w:rPr>
        <w:t>🔄 The Autonomous Lifecycle</w:t>
      </w:r>
    </w:p>
    <w:p>
      <w:pPr>
        <w:spacing w:after="240"/>
        <w:jc w:val="center"/>
      </w:pPr>
      <w:r>
        <w:rPr>
          <w:b/>
          <w:color w:val="0078D7"/>
          <w:sz w:val="20"/>
        </w:rPr>
        <w:t>[Ingest Raw Data] -&gt; [AI Refinement &amp; Sentiment Analysis] -&gt; [Narrative Heat Calculation] -&gt; [Regime Shift Detection] -&gt; [Risk Gate Valuation] -&gt; [On-Chain Execution &amp; Stop-Loss]</w:t>
      </w:r>
    </w:p>
    <w:p>
      <w:pPr>
        <w:spacing w:after="160"/>
      </w:pPr>
      <w:r>
        <w:rPr>
          <w:b/>
          <w:color w:val="0A2540"/>
        </w:rPr>
        <w:t xml:space="preserve">1. Ingestion &amp; Sentiment Analysis: </w:t>
      </w:r>
      <w:r>
        <w:t>Every hour, Cinder ingests raw financial news, sector performance metrics, and spot ETF inflows. It passes the raw news through an LLM layer to strip out noise, refine the content, and categorize each piece of news into specific market narrative regimes.</w:t>
      </w:r>
    </w:p>
    <w:p>
      <w:pPr>
        <w:spacing w:after="160"/>
      </w:pPr>
      <w:r>
        <w:rPr>
          <w:b/>
          <w:color w:val="0A2540"/>
        </w:rPr>
        <w:t xml:space="preserve">2. Measuring Narrative "Temperature": </w:t>
      </w:r>
      <w:r>
        <w:t>Cinder combines news sentiment, ETF flow volumes, and sector rotation to calculate a daily 'temperature' (0 to 100 degrees) for each market narrative. A high temperature represents strong momentum and capital inflows, while a low temperature indicates narrative fatigue and capital outflows.</w:t>
      </w:r>
    </w:p>
    <w:p>
      <w:pPr>
        <w:spacing w:after="160"/>
      </w:pPr>
      <w:r>
        <w:rPr>
          <w:b/>
          <w:color w:val="0A2540"/>
        </w:rPr>
        <w:t xml:space="preserve">3. Narrative Regime Shift Detection: </w:t>
      </w:r>
      <w:r>
        <w:t>The engine's shift detector checks if the dominant market narrative is cooling down (cooling by 15°+) while an emerging narrative is rapidly heating up (heating by 20°+). When these conditions align across multiple independent data streams, a Regime Shift is declared.</w:t>
      </w:r>
    </w:p>
    <w:p>
      <w:pPr>
        <w:spacing w:after="160"/>
      </w:pPr>
      <w:r>
        <w:rPr>
          <w:b/>
          <w:color w:val="0A2540"/>
        </w:rPr>
        <w:t xml:space="preserve">4. Risk Evaluation &amp; Autonomous Trading: </w:t>
      </w:r>
      <w:r>
        <w:t>Before executing any trade, the execution engine routes the transaction through five strict risk gates: Kill-Switch, Cooldown (48 hours), Position Limits, Daily Loss Cap, and Asset Balance Checks. If all gates pass, Cinder calculates the exact position size and executes a spot buy order for the token leading the new narrative.</w:t>
      </w:r>
    </w:p>
    <w:p>
      <w:pPr>
        <w:spacing w:after="160"/>
      </w:pPr>
      <w:r>
        <w:rPr>
          <w:b/>
          <w:color w:val="0A2540"/>
        </w:rPr>
        <w:t xml:space="preserve">5. Stop-Loss &amp; Risk Management: </w:t>
      </w:r>
      <w:r>
        <w:t>Cinder actively manages risk after purchase. It runs an hourly monitor. If the market price of an open trade drops 8% below its entry price, Cinder automatically triggers a stop-loss sell order to protect capital.</w:t>
      </w:r>
    </w:p>
    <w:p>
      <w:pPr>
        <w:spacing w:after="160"/>
      </w:pPr>
      <w:r>
        <w:rPr>
          <w:b/>
          <w:color w:val="0A2540"/>
        </w:rPr>
        <w:t xml:space="preserve">6. Fidelity-Checked Wire Publishing: </w:t>
      </w:r>
      <w:r>
        <w:t>Cinder's AI writes an institutional-grade news wire detailing the regime shift and execution rationale. Before publishing, a data validator cross-references every number in the story against actual database records. If the AI hallucinated any figures, Cinder rejects the text and publishes a structured fallback template to maintain strict data integrity.</w:t>
      </w:r>
    </w:p>
    <w:p>
      <w:pPr>
        <w:spacing w:after="160"/>
      </w:pPr>
      <w:r>
        <w:rPr>
          <w:b/>
          <w:color w:val="0A2540"/>
        </w:rPr>
        <w:t xml:space="preserve">7. Instant Notifications: </w:t>
      </w:r>
      <w:r>
        <w:t>Whenever a narrative shift is detected, a trade is executed, or a stop-loss is hit, Cinder pushes structured alerts directly to a configured Telegram channel.</w:t>
      </w:r>
    </w:p>
    <w:p>
      <w:pPr>
        <w:pStyle w:val="Heading1"/>
        <w:spacing w:before="360" w:after="160"/>
      </w:pPr>
      <w:r>
        <w:rPr>
          <w:rFonts w:ascii="Arial" w:hAnsi="Arial"/>
          <w:b/>
          <w:color w:val="0A2540"/>
          <w:sz w:val="32"/>
        </w:rPr>
        <w:t>Strengths &amp; Limitations (Pros &amp; Cons)</w:t>
      </w:r>
    </w:p>
    <w:p>
      <w:pPr>
        <w:pStyle w:val="Heading2"/>
        <w:spacing w:before="200" w:after="120"/>
      </w:pPr>
      <w:r>
        <w:rPr>
          <w:rFonts w:ascii="Arial" w:hAnsi="Arial"/>
          <w:b/>
          <w:color w:val="2E7D32"/>
          <w:sz w:val="26"/>
        </w:rPr>
        <w:t>The Pros (Strengths &amp; Benefits)</w:t>
      </w:r>
    </w:p>
    <w:p>
      <w:pPr>
        <w:pStyle w:val="ListBullet"/>
        <w:spacing w:after="80"/>
      </w:pPr>
      <w:r>
        <w:t>Trading the Narrative, Not Just the Chart: Most bots trade purely on price action (lagging indicators). Cinder captures the catalysts behind the price action (inflow volume, news sentiment, and rotation) to frontrun emerging trends.</w:t>
      </w:r>
    </w:p>
    <w:p>
      <w:pPr>
        <w:pStyle w:val="ListBullet"/>
        <w:spacing w:after="80"/>
      </w:pPr>
      <w:r>
        <w:t>Emotionless Risk Management: Hardcoded risk gates and automatic 8% trailing stop-losses eliminate human greed and hesitation.</w:t>
      </w:r>
    </w:p>
    <w:p>
      <w:pPr>
        <w:pStyle w:val="ListBullet"/>
        <w:spacing w:after="80"/>
      </w:pPr>
      <w:r>
        <w:t>Uncompromising Data Fidelity: The integrated story validator completely eliminates LLM hallucinations. If the AI writes a story citing '$900M inflows' when the actual data is '$250M', the system blocks the article and outputs a template.</w:t>
      </w:r>
    </w:p>
    <w:p>
      <w:pPr>
        <w:pStyle w:val="ListBullet"/>
        <w:spacing w:after="80"/>
      </w:pPr>
      <w:r>
        <w:t>Gasless User Experience (ERC-4337): Through the smart account integration, users can claim and interact with Cinder's CNDR utility token on Arbitrum Sepolia gaslessly. The transaction fee is fully sponsored by a Paymaster, requiring zero setup or gas from the end-user.</w:t>
      </w:r>
    </w:p>
    <w:p>
      <w:pPr>
        <w:pStyle w:val="ListBullet"/>
        <w:spacing w:after="80"/>
      </w:pPr>
      <w:r>
        <w:t>Non-Custodial Design: Daily trading uses restricted API credentials, ensuring the master wallet private key is never exposed or logged.</w:t>
      </w:r>
    </w:p>
    <w:p>
      <w:pPr>
        <w:pStyle w:val="Heading2"/>
        <w:spacing w:before="200" w:after="120"/>
      </w:pPr>
      <w:r>
        <w:rPr>
          <w:rFonts w:ascii="Arial" w:hAnsi="Arial"/>
          <w:b/>
          <w:color w:val="C62828"/>
          <w:sz w:val="26"/>
        </w:rPr>
        <w:t>The Cons (Risks &amp; Limitations)</w:t>
      </w:r>
    </w:p>
    <w:p>
      <w:pPr>
        <w:pStyle w:val="ListBullet"/>
        <w:spacing w:after="80"/>
      </w:pPr>
      <w:r>
        <w:t>LLM Latency &amp; Cost: Performing real-time news refinement and story generation via OpenAI models takes time (several seconds per request) and incurs ongoing API costs.</w:t>
      </w:r>
    </w:p>
    <w:p>
      <w:pPr>
        <w:pStyle w:val="ListBullet"/>
        <w:spacing w:after="80"/>
      </w:pPr>
      <w:r>
        <w:t>Cold-Start Sensitivity: The shift-detection logic requires at least 48 hours of historical narrative temperatures to identify cooling/heating trends. On initial setup, it defaults to a safe-mode baseline to prevent false signals.</w:t>
      </w:r>
    </w:p>
    <w:p>
      <w:pPr>
        <w:pStyle w:val="ListBullet"/>
        <w:spacing w:after="80"/>
      </w:pPr>
      <w:r>
        <w:t>Testnet Gas Requirements: Although the API Gateway handles authentication cryptographically, executing the initial key registration on-chain requires native gas (such as testnet SOSO or USDC depending on network configuration) to broadcast transactions.</w:t>
      </w:r>
    </w:p>
    <w:p>
      <w:pPr>
        <w:pStyle w:val="ListBullet"/>
        <w:spacing w:after="80"/>
      </w:pPr>
      <w:r>
        <w:t>Strict Dependency on External Data: If the underlying APIs (e.g., SoSoValue or the blockchain RPC) experience downtime, narrative temperature scores may lag, postponing shift detection.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