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officeDocument/2006/relationships/styles" Target="word/styles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Kymider</w:t>
      </w:r>
    </w:p>
    <w:p>
      <w:pPr>
        <w:pStyle w:val="Subtitle"/>
      </w:pPr>
      <w:r>
        <w:t xml:space="preserve">Privacy-First Loan Underwriting on Midnight</w:t>
      </w:r>
    </w:p>
    <w:p>
      <w:r>
        <w:t xml:space="preserve">Documentation v1.1 - revised for the corrected per-instance architecture</w:t>
      </w:r>
    </w:p>
    <w:p>
      <w:r>
        <w:t xml:space="preserve"/>
      </w:r>
    </w:p>
    <w:p>
      <w:r>
        <w:t xml:space="preserve">Kymider lets borrowers prove they are creditworthy - solvency, liquidity, payment history, and debt ratios - to lenders using zero-knowledge proofs, without ever revealing balances, transaction history, or identity. Each borrower owns their own private on-chain state. This document answers the four Ws (What, Why, When, Who) and the one H (How).</w:t>
      </w:r>
    </w:p>
    <w:p>
      <w:r>
        <w:t xml:space="preserve"/>
      </w:r>
    </w:p>
    <w:p>
      <w:pPr>
        <w:pStyle w:val="Heading1"/>
      </w:pPr>
      <w:r>
        <w:t xml:space="preserve">1. What is Kymider?</w:t>
      </w:r>
    </w:p>
    <w:p>
      <w:r>
        <w:t xml:space="preserve">Kymider is a privacy-first decentralized loan underwriting protocol built on the Midnight blockchain. It makes credit verifiable without making it visible.</w:t>
      </w:r>
    </w:p>
    <w:p>
      <w:r>
        <w:t xml:space="preserve">At its core, Kymider replaces "share your bank statements" with "prove your facts." Each borrower deploys their own SolvencyProof contract instance whose private state holds their financial data. When a lender needs to assess risk, the borrower generates a zero-knowledge proof that answers the lender's questions - solvency, liquidity, income, debt levels, payment history - without exposing the underlying data. A shared, public-only Registry indexes borrower instances so lenders can discover and request claims.</w:t>
      </w:r>
    </w:p>
    <w:p>
      <w:r>
        <w:t xml:space="preserve">The result: borrowers own their financial data. Lenders get network-verified facts. Nobody gets the raw data.</w:t>
      </w:r>
    </w:p>
    <w:p>
      <w:r>
        <w:t xml:space="preserve"/>
      </w:r>
    </w:p>
    <w:p>
      <w:pPr>
        <w:pStyle w:val="Heading1"/>
      </w:pPr>
      <w:r>
        <w:t xml:space="preserve">2. Why build it on Midnight?</w:t>
      </w:r>
    </w:p>
    <w:p>
      <w:r>
        <w:t xml:space="preserve">Underwriting today forces borrowers to hand over full bank statements and transaction histories. That is a massive privacy leak and an identity risk, and it excludes people who cannot produce traditional paperwork - gig workers, freelancers, and the underbanked.</w:t>
      </w:r>
    </w:p>
    <w:p>
      <w:r>
        <w:t xml:space="preserve">On public blockchains, on-chain credit is fully transparent. Anyone can see who borrowed what, when, and whether they defaulted. That destroys privacy for exactly the people who need credit most.</w:t>
      </w:r>
    </w:p>
    <w:p>
      <w:r>
        <w:t xml:space="preserve">Midnight is uniquely suited to fix this:</w:t>
      </w:r>
    </w:p>
    <w:p>
      <w:r>
        <w:t xml:space="preserve">- Dual-ledger model: private state (facts) and public state (commitments, attestations) per contract instance.</w:t>
      </w:r>
    </w:p>
    <w:p>
      <w:r>
        <w:t xml:space="preserve">- Compact smart contracts in TypeScript abstract the zero-knowledge complexity.</w:t>
      </w:r>
    </w:p>
    <w:p>
      <w:r>
        <w:t xml:space="preserve">- Proofs are verified by the Midnight network at submission - no one can submit a false proof.</w:t>
      </w:r>
    </w:p>
    <w:p>
      <w:r>
        <w:t xml:space="preserve">- Selective disclosure: reveal only the minimum fact required, scoped and time-boxed.</w:t>
      </w:r>
    </w:p>
    <w:p>
      <w:r>
        <w:t xml:space="preserve">- Cardano interoperability for public settlement and escrow.</w:t>
      </w:r>
    </w:p>
    <w:p>
      <w:r>
        <w:t xml:space="preserve">Why privacy is the product, not an add-on: a lending decision is a binary outcome (approve or reject, plus terms). The data behind that decision never needs to leave the borrower's control.</w:t>
      </w:r>
    </w:p>
    <w:p>
      <w:r>
        <w:t xml:space="preserve">Honest framing: zero-knowledge proves computation, not honesty. In the demo, facts are self-reported; production uses attested data providers that co-sign facts into private state (Wave 3) so claims carry real provenance.</w:t>
      </w:r>
    </w:p>
    <w:p>
      <w:r>
        <w:t xml:space="preserve"/>
      </w:r>
    </w:p>
    <w:p>
      <w:pPr>
        <w:pStyle w:val="Heading1"/>
      </w:pPr>
      <w:r>
        <w:t xml:space="preserve">3. Who needs it?</w:t>
      </w:r>
    </w:p>
    <w:p>
      <w:r>
        <w:t xml:space="preserve">- Borrowers: the underbanked, gig workers, freelancers, and privacy-conscious individuals who want credit without surrendering financial data or identity.</w:t>
      </w:r>
    </w:p>
    <w:p>
      <w:r>
        <w:t xml:space="preserve">- Lenders: DeFi protocols, fintechs, credit unions, and P2P lenders that want verifiable credit risk without the liability of holding sensitive data.</w:t>
      </w:r>
    </w:p>
    <w:p>
      <w:r>
        <w:t xml:space="preserve">- Platforms: gig and marketplace platforms that underwrite workers, or run buy-now-pay-later and equipment financing.</w:t>
      </w:r>
    </w:p>
    <w:p>
      <w:r>
        <w:t xml:space="preserve">- Auditors and regulators: receive compliance attestations such as "borrower verified" or "loan in good standing" without access to individual data.</w:t>
      </w:r>
    </w:p>
    <w:p>
      <w:r>
        <w:t xml:space="preserve"/>
      </w:r>
    </w:p>
    <w:p>
      <w:pPr>
        <w:pStyle w:val="Heading1"/>
      </w:pPr>
      <w:r>
        <w:t xml:space="preserve">4. When is it used?</w:t>
      </w:r>
    </w:p>
    <w:p>
      <w:r>
        <w:t xml:space="preserve">- Loan origination: proving creditworthiness at application time.</w:t>
      </w:r>
    </w:p>
    <w:p>
      <w:r>
        <w:t xml:space="preserve">- Recurring verification: time-boxed proofs that refresh - for example, a monthly "still solvent" proof to maintain a credit line.</w:t>
      </w:r>
    </w:p>
    <w:p>
      <w:r>
        <w:t xml:space="preserve">- Marketplace moments: BNPL checkout, rental applications, equipment leasing, and merchant cash advances.</w:t>
      </w:r>
    </w:p>
    <w:p>
      <w:r>
        <w:t xml:space="preserve">- Portable credit: one credential reused across many lenders, so users never re-share their data.</w:t>
      </w:r>
    </w:p>
    <w:p>
      <w:r>
        <w:t xml:space="preserve">Buildathon roadmap:</w:t>
      </w:r>
    </w:p>
    <w:p>
      <w:r>
        <w:t xml:space="preserve">- Wave 1: per-borrower proof-of-solvency Compact contracts plus a public Registry, with a demo frontend.</w:t>
      </w:r>
    </w:p>
    <w:p>
      <w:r>
        <w:t xml:space="preserve">- Wave 2: per-loan lifecycle contract, payment-history proofs, and credit-line management.</w:t>
      </w:r>
    </w:p>
    <w:p>
      <w:r>
        <w:t xml:space="preserve">- Wave 3: attested data provenance, the traditional-bank attestation channel, auditor and KYC/AML hooks, and polish.</w:t>
      </w:r>
    </w:p>
    <w:p>
      <w:r>
        <w:t xml:space="preserve"/>
      </w:r>
    </w:p>
    <w:p>
      <w:pPr>
        <w:pStyle w:val="Heading1"/>
      </w:pPr>
      <w:r>
        <w:t xml:space="preserve">5. How does it work?</w:t>
      </w:r>
    </w:p>
    <w:p>
      <w:r>
        <w:t xml:space="preserve">1. Per-borrower deployment. Each borrower deploys their own SolvencyProof contract instance. Financial facts are committed into its private state; only commitments (hashes) appear on the public ledger.</w:t>
      </w:r>
    </w:p>
    <w:p>
      <w:r>
        <w:t xml:space="preserve">2. Registration. The borrower registers the instance in a shared, public-only Registry that lenders query.</w:t>
      </w:r>
    </w:p>
    <w:p>
      <w:r>
        <w:t xml:space="preserve">3. Verification request. A lender issues a query - for example, "prove net worth &gt;= $X and debt-to-income &lt;= 40%."</w:t>
      </w:r>
    </w:p>
    <w:p>
      <w:r>
        <w:t xml:space="preserve">4. Zero-knowledge proof. The borrower's client generates a proof locally; the Midnight network verifies it at submission. Only the fact is revealed; raw data stays hidden.</w:t>
      </w:r>
    </w:p>
    <w:p>
      <w:r>
        <w:t xml:space="preserve">5. Selective disclosure. The borrower controls the minimum information revealed. Proofs are scoped and time-boxed, with expiry.</w:t>
      </w:r>
    </w:p>
    <w:p>
      <w:r>
        <w:t xml:space="preserve">6. Loan lifecycle on-chain. Each loan is its own contract instance. Terms are public; disbursement and repayment are contract-enforced (simulated funds in the demo).</w:t>
      </w:r>
    </w:p>
    <w:p>
      <w:r>
        <w:t xml:space="preserve">7. Ongoing attestation. Proofs refresh over time; a borrower can later prove "loan in good standing" to a new lender without re-sharing any data. In production, attested data providers co-sign facts so every claim carries provenance.</w:t>
      </w:r>
    </w:p>
    <w:p>
      <w:r>
        <w:t xml:space="preserve">Authorization: every privileged transition checks the caller - only the borrower controls their instance, and only authorized lenders can approve, reject, underwrite, or mark default.</w:t>
      </w:r>
    </w:p>
    <w:p>
      <w:r>
        <w:t xml:space="preserve"/>
      </w:r>
    </w:p>
    <w:p>
      <w:pPr>
        <w:pStyle w:val="Heading1"/>
      </w:pPr>
      <w:r>
        <w:t xml:space="preserve">6. Technical Stack</w:t>
      </w:r>
    </w:p>
    <w:p>
      <w:r>
        <w:t xml:space="preserve">- Compact (TypeScript-based) for privacy-enabled smart contracts.</w:t>
      </w:r>
    </w:p>
    <w:p>
      <w:r>
        <w:t xml:space="preserve">- Midnight TypeScript SDK for off-chain clients and proof orchestration.</w:t>
      </w:r>
    </w:p>
    <w:p>
      <w:r>
        <w:t xml:space="preserve">- midnight-local-dev for local testing and simulation.</w:t>
      </w:r>
    </w:p>
    <w:p>
      <w:r>
        <w:t xml:space="preserve">- Frontend dApp for borrowers and a lender dashboard.</w:t>
      </w:r>
    </w:p>
    <w:p>
      <w:r>
        <w:t xml:space="preserve"/>
      </w:r>
    </w:p>
    <w:p>
      <w:pPr>
        <w:pStyle w:val="Heading1"/>
      </w:pPr>
      <w:r>
        <w:t xml:space="preserve">Summary: The 4 Ws + 1 H at a glance</w:t>
      </w:r>
    </w:p>
    <w:tbl>
      <w:tblPr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W w:w="0" w:type="auto"/>
      </w:tblPr>
      <w:tblGrid>
        <w:gridCol w:w="1200"/>
        <w:gridCol w:w="2400"/>
        <w:gridCol w:w="7200"/>
      </w:tblGrid>
      <w:tr>
        <w:tc>
          <w:tcPr>
            <w:tcW w:w="1200" w:type="dxa"/>
          </w:tcPr>
          <w:p>
            <w:r>
              <w:t xml:space="preserve">W/H</w:t>
            </w:r>
          </w:p>
        </w:tc>
        <w:tc>
          <w:tcPr>
            <w:tcW w:w="2400" w:type="dxa"/>
          </w:tcPr>
          <w:p>
            <w:r>
              <w:t xml:space="preserve">Question</w:t>
            </w:r>
          </w:p>
        </w:tc>
        <w:tc>
          <w:tcPr>
            <w:tcW w:w="7200" w:type="dxa"/>
          </w:tcPr>
          <w:p>
            <w:r>
              <w:t xml:space="preserve">Answer</w:t>
            </w:r>
          </w:p>
        </w:tc>
      </w:tr>
      <w:tr>
        <w:tc>
          <w:tcPr>
            <w:tcW w:w="1200" w:type="dxa"/>
          </w:tcPr>
          <w:p>
            <w:r>
              <w:t xml:space="preserve">What</w:t>
            </w:r>
          </w:p>
        </w:tc>
        <w:tc>
          <w:tcPr>
            <w:tcW w:w="2400" w:type="dxa"/>
          </w:tcPr>
          <w:p>
            <w:r>
              <w:t xml:space="preserve">What is it?</w:t>
            </w:r>
          </w:p>
        </w:tc>
        <w:tc>
          <w:tcPr>
            <w:tcW w:w="7200" w:type="dxa"/>
          </w:tcPr>
          <w:p>
            <w:r>
              <w:t xml:space="preserve">A privacy-first decentralized loan underwriting protocol on Midnight using zero-knowledge proofs, with per-borrower contract instances.</w:t>
            </w:r>
          </w:p>
        </w:tc>
      </w:tr>
      <w:tr>
        <w:tc>
          <w:tcPr>
            <w:tcW w:w="1200" w:type="dxa"/>
          </w:tcPr>
          <w:p>
            <w:r>
              <w:t xml:space="preserve">Why</w:t>
            </w:r>
          </w:p>
        </w:tc>
        <w:tc>
          <w:tcPr>
            <w:tcW w:w="2400" w:type="dxa"/>
          </w:tcPr>
          <w:p>
            <w:r>
              <w:t xml:space="preserve">Why is it needed?</w:t>
            </w:r>
          </w:p>
        </w:tc>
        <w:tc>
          <w:tcPr>
            <w:tcW w:w="7200" w:type="dxa"/>
          </w:tcPr>
          <w:p>
            <w:r>
              <w:t xml:space="preserve">Current underwriting leaks sensitive data and public chains are fully transparent; Midnight enables selective disclosure with network-verified proofs.</w:t>
            </w:r>
          </w:p>
        </w:tc>
      </w:tr>
      <w:tr>
        <w:tc>
          <w:tcPr>
            <w:tcW w:w="1200" w:type="dxa"/>
          </w:tcPr>
          <w:p>
            <w:r>
              <w:t xml:space="preserve">When</w:t>
            </w:r>
          </w:p>
        </w:tc>
        <w:tc>
          <w:tcPr>
            <w:tcW w:w="2400" w:type="dxa"/>
          </w:tcPr>
          <w:p>
            <w:r>
              <w:t xml:space="preserve">When is it used?</w:t>
            </w:r>
          </w:p>
        </w:tc>
        <w:tc>
          <w:tcPr>
            <w:tcW w:w="7200" w:type="dxa"/>
          </w:tcPr>
          <w:p>
            <w:r>
              <w:t xml:space="preserve">Loan origination, recurring solvency checks, credit-line maintenance, and portable credit across lenders.</w:t>
            </w:r>
          </w:p>
        </w:tc>
      </w:tr>
      <w:tr>
        <w:tc>
          <w:tcPr>
            <w:tcW w:w="1200" w:type="dxa"/>
          </w:tcPr>
          <w:p>
            <w:r>
              <w:t xml:space="preserve">Who</w:t>
            </w:r>
          </w:p>
        </w:tc>
        <w:tc>
          <w:tcPr>
            <w:tcW w:w="2400" w:type="dxa"/>
          </w:tcPr>
          <w:p>
            <w:r>
              <w:t xml:space="preserve">Who needs it?</w:t>
            </w:r>
          </w:p>
        </w:tc>
        <w:tc>
          <w:tcPr>
            <w:tcW w:w="7200" w:type="dxa"/>
          </w:tcPr>
          <w:p>
            <w:r>
              <w:t xml:space="preserve">Borrowers, lenders, gig and marketplace platforms, and auditors and regulators.</w:t>
            </w:r>
          </w:p>
        </w:tc>
      </w:tr>
      <w:tr>
        <w:tc>
          <w:tcPr>
            <w:tcW w:w="1200" w:type="dxa"/>
          </w:tcPr>
          <w:p>
            <w:r>
              <w:t xml:space="preserve">How</w:t>
            </w:r>
          </w:p>
        </w:tc>
        <w:tc>
          <w:tcPr>
            <w:tcW w:w="2400" w:type="dxa"/>
          </w:tcPr>
          <w:p>
            <w:r>
              <w:t xml:space="preserve">How does it work?</w:t>
            </w:r>
          </w:p>
        </w:tc>
        <w:tc>
          <w:tcPr>
            <w:tcW w:w="7200" w:type="dxa"/>
          </w:tcPr>
          <w:p>
            <w:r>
              <w:t xml:space="preserve">Per-borrower private state plus ZK proofs, a public Registry, explicit caller authorization, network-verified proofs, and an on-chain loan lifecycle.</w:t>
            </w:r>
          </w:p>
        </w:tc>
      </w:tr>
    </w:tbl>
    <w:p>
      <w:r>
        <w:t xml:space="preserve"/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styleId="Normal">
    <w:name w:val="Normal"/>
  </w:style>
  <w:style w:type="paragraph" w:styleId="Title">
    <w:name w:val="Title"/>
    <w:basedOn w:val="Normal"/>
    <w:pPr>
      <w:spacing w:after="120"/>
    </w:pPr>
    <w:rPr>
      <w:b/>
      <w:sz w:val="48"/>
      <w:color w:val="1F3864"/>
    </w:rPr>
  </w:style>
  <w:style w:type="paragraph" w:styleId="Subtitle">
    <w:name w:val="Subtitle"/>
    <w:basedOn w:val="Normal"/>
    <w:pPr>
      <w:spacing w:after="120"/>
    </w:pPr>
    <w:rPr>
      <w:i/>
      <w:sz w:val="26"/>
      <w:color w:val="595959"/>
    </w:rPr>
  </w:style>
  <w:style w:type="paragraph" w:styleId="Heading1">
    <w:name w:val="heading 1"/>
    <w:basedOn w:val="Normal"/>
    <w:next w:val="Normal"/>
    <w:pPr>
      <w:spacing w:before="280" w:after="120"/>
      <w:outlineLvl w:val="0"/>
    </w:pPr>
    <w:rPr>
      <w:b/>
      <w:sz w:val="30"/>
      <w:color w:val="2E74B5"/>
    </w:rPr>
  </w:style>
</w:styles>
</file>