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Kymider</w:t>
      </w:r>
    </w:p>
    <w:p>
      <w:pPr>
        <w:pStyle w:val="Subtitle"/>
      </w:pPr>
      <w:r>
        <w:t xml:space="preserve">Product Requirements Document (PRD)</w:t>
      </w:r>
    </w:p>
    <w:p>
      <w:r>
        <w:t xml:space="preserve">Privacy-First Loan Underwriting on Midnight | 3-Wave Buildathon Edition</w:t>
      </w:r>
    </w:p>
    <w:p>
      <w:r>
        <w:t xml:space="preserve">Revision v1.1 - reflects the corrected per-instance architecture and red-flag review fixes</w:t>
      </w:r>
    </w:p>
    <w:p>
      <w:r>
        <w:t xml:space="preserve"/>
      </w:r>
    </w:p>
    <w:p>
      <w:pPr>
        <w:pStyle w:val="Heading1"/>
      </w:pPr>
      <w:r>
        <w:t xml:space="preserve">1. Product Overview</w:t>
      </w:r>
    </w:p>
    <w:p>
      <w:r>
        <w:t xml:space="preserve">Kymider is a privacy-first decentralized loan underwriting protocol built on the Midnight blockchain. Borrowers prove creditworthiness - solvency, liquidity, payment history, and debt ratios - to lenders using zero-knowledge proofs, without ever revealing balances, transaction history, or identity.</w:t>
      </w:r>
    </w:p>
    <w:p>
      <w:r>
        <w:t xml:space="preserve">Architecture basis:</w:t>
      </w:r>
    </w:p>
    <w:p>
      <w:r>
        <w:t xml:space="preserve">- Each borrower deploys their own SolvencyProof contract instance; private state holds only that borrower's facts. A shared, public-only Registry indexes instances for lenders.</w:t>
      </w:r>
    </w:p>
    <w:p>
      <w:r>
        <w:t xml:space="preserve">- Each loan is its own Loan contract instance; a public LoanDirectory indexes loans.</w:t>
      </w:r>
    </w:p>
    <w:p>
      <w:r>
        <w:t xml:space="preserve">- Proofs are verified by the Midnight network at submission; every privileged transition carries an explicit caller check.</w:t>
      </w:r>
    </w:p>
    <w:p>
      <w:r>
        <w:t xml:space="preserve">- Kymider serves two lender channels from a single proof engine: on-chain lenders (Compact contracts, Cardano settlement as a roadmap milestone) and traditional banks (signed, expirable off-chain attestations in Wave 3).</w:t>
      </w:r>
    </w:p>
    <w:p>
      <w:r>
        <w:t xml:space="preserve">This document defines requirements and scope for the three Buildathon waves: Wave 1 (Proof of Solvency MVP), Wave 2 (Loan Lifecycle), Wave 3 (Attestations and Polish).</w:t>
      </w:r>
    </w:p>
    <w:p>
      <w:r>
        <w:t xml:space="preserve"/>
      </w:r>
    </w:p>
    <w:p>
      <w:pPr>
        <w:pStyle w:val="Heading1"/>
      </w:pPr>
      <w:r>
        <w:t xml:space="preserve">2. Goals and Success Metrics</w:t>
      </w:r>
    </w:p>
    <w:p>
      <w:r>
        <w:t xml:space="preserve">G1. Ship a working privacy-first underwriting flow end-to-end by the end of Wave 1.</w:t>
      </w:r>
    </w:p>
    <w:p>
      <w:r>
        <w:t xml:space="preserve">G2. Demonstrate meaningful new functionality in every wave, per the Buildathon "continuous progress" model.</w:t>
      </w:r>
    </w:p>
    <w:p>
      <w:r>
        <w:t xml:space="preserve">G3. Prove the dual-channel thesis: one proof engine serving both on-chain lenders and traditional banks.</w:t>
      </w:r>
    </w:p>
    <w:p>
      <w:r>
        <w:t xml:space="preserve">G4. Correctly implement Midnight's per-instance private-state model - no borrower ever shares private state with another.</w:t>
      </w:r>
    </w:p>
    <w:p>
      <w:r>
        <w:t xml:space="preserve">G5. Deliver a well-organized, documented, and tested repository aligned with the judging rubric.</w:t>
      </w:r>
    </w:p>
    <w:p>
      <w:r>
        <w:t xml:space="preserve">Buildathon-facing success metrics:</w:t>
      </w:r>
    </w:p>
    <w:p>
      <w:r>
        <w:t xml:space="preserve">- Technical gate: at least one Compact contract that compiles (disqualification otherwise).</w:t>
      </w:r>
    </w:p>
    <w:p>
      <w:r>
        <w:t xml:space="preserve">- Engineering (40%): dual-ledger private/public state management, correct per-instance model, explicit authorization, organized repo, clear README, Midnight topic tags.</w:t>
      </w:r>
    </w:p>
    <w:p>
      <w:r>
        <w:t xml:space="preserve">- Quality (15%): simulation and test files present and passing, including negative authorization tests.</w:t>
      </w:r>
    </w:p>
    <w:p>
      <w:r>
        <w:t xml:space="preserve">- UX (15%): functional end-to-end frontend connected to the contract.</w:t>
      </w:r>
    </w:p>
    <w:p>
      <w:r>
        <w:t xml:space="preserve">- Communication (10%): clear slide deck and demo video.</w:t>
      </w:r>
    </w:p>
    <w:p>
      <w:r>
        <w:t xml:space="preserve">- Product (5%) and Business (5%): realistic scope, roadmap, and market story.</w:t>
      </w:r>
    </w:p>
    <w:p>
      <w:r>
        <w:t xml:space="preserve"/>
      </w:r>
    </w:p>
    <w:p>
      <w:pPr>
        <w:pStyle w:val="Heading1"/>
      </w:pPr>
      <w:r>
        <w:t xml:space="preserve">3. Target Users and Personas</w:t>
      </w:r>
    </w:p>
    <w:p>
      <w:r>
        <w:t xml:space="preserve">- Alex (borrower, gig worker): wants a loan without handing over bank statements, transaction history, or identity.</w:t>
      </w:r>
    </w:p>
    <w:p>
      <w:r>
        <w:t xml:space="preserve">- Nova (on-chain lender, DeFi protocol): wants verifiable credit risk without the liability of holding sensitive borrower data.</w:t>
      </w:r>
    </w:p>
    <w:p>
      <w:r>
        <w:t xml:space="preserve">- Harbor Bank (traditional lender): wants auditable, compliant credit assessments that fit existing bank rails.</w:t>
      </w:r>
    </w:p>
    <w:p>
      <w:r>
        <w:t xml:space="preserve">- Auditors and regulators: want attestations such as "borrower verified" or "loan in good standing" with no access to individual data.</w:t>
      </w:r>
    </w:p>
    <w:p>
      <w:r>
        <w:t xml:space="preserve"/>
      </w:r>
    </w:p>
    <w:p>
      <w:pPr>
        <w:pStyle w:val="Heading1"/>
      </w:pPr>
      <w:r>
        <w:t xml:space="preserve">4. Wave Roadmap and Requirements</w:t>
      </w:r>
    </w:p>
    <w:p>
      <w:r>
        <w:t xml:space="preserve">The Buildathon runs three connected waves. Each wave must deliver meaningful new Midnight functionality over the previous one.</w:t>
      </w:r>
    </w:p>
    <w:p>
      <w:r>
        <w:t xml:space="preserve"/>
      </w:r>
    </w:p>
    <w:p>
      <w:pPr>
        <w:pStyle w:val="Heading2"/>
      </w:pPr>
      <w:r>
        <w:t xml:space="preserve">Wave 1 - Proof of Solvency (MVP vertical slice)</w:t>
      </w:r>
    </w:p>
    <w:p>
      <w:r>
        <w:t xml:space="preserve">Build period Aug 27 - Sep 16, 2026. Focus: per-borrower contract instances, a public Registry, network-verified proofs, and explicit authorization.</w:t>
      </w:r>
    </w:p>
    <w:p>
      <w:r>
        <w:t xml:space="preserve">Functional requirements:</w:t>
      </w:r>
    </w:p>
    <w:p>
      <w:r>
        <w:t xml:space="preserve">FR-1.1 Compact contract SolvencyProof compiles successfully (technical gate).</w:t>
      </w:r>
    </w:p>
    <w:p>
      <w:r>
        <w:t xml:space="preserve">FR-1.2 Per-borrower contract instance: private state holds only that borrower's balance, debts, and income.</w:t>
      </w:r>
    </w:p>
    <w:p>
      <w:r>
        <w:t xml:space="preserve">FR-1.3 Shared, public-only Registry contract indexes borrower instances so lenders can discover and request claims.</w:t>
      </w:r>
    </w:p>
    <w:p>
      <w:r>
        <w:t xml:space="preserve">FR-1.4 One zero-knowledge claim: "net worth &gt;= $X AND debt-to-income &lt;= Y%".</w:t>
      </w:r>
    </w:p>
    <w:p>
      <w:r>
        <w:t xml:space="preserve">FR-1.5 The Midnight network verifies the proof at submission; lenders can verify off-chain with the borrower's public verifierKey.</w:t>
      </w:r>
    </w:p>
    <w:p>
      <w:r>
        <w:t xml:space="preserve">FR-1.6 Explicit caller authorization: the owner (borrower) controls the instance; approve/reject are gated to authorizedLenders.</w:t>
      </w:r>
    </w:p>
    <w:p>
      <w:r>
        <w:t xml:space="preserve">FR-1.7 Off-chain TypeScript client deploys, registers, generates proofs locally, and submits them.</w:t>
      </w:r>
    </w:p>
    <w:p>
      <w:r>
        <w:t xml:space="preserve">FR-1.8 Borrower frontend (deploy, enter financials, register, submit proof) and lender frontend (browse Registry, request claim, approve/reject).</w:t>
      </w:r>
    </w:p>
    <w:p>
      <w:r>
        <w:t xml:space="preserve">FR-1.9 Simulation and unit tests pass, including negative authorization tests.</w:t>
      </w:r>
    </w:p>
    <w:p>
      <w:r>
        <w:t xml:space="preserve">Acceptance criteria:</w:t>
      </w:r>
    </w:p>
    <w:p>
      <w:r>
        <w:t xml:space="preserve">- SolvencyProof and Registry compile; the demo runs end-to-end on a local network with network-verified proofs.</w:t>
      </w:r>
    </w:p>
    <w:p>
      <w:r>
        <w:t xml:space="preserve">- Tests pass; the repo is public with the midnightntwrk label and Apache-2.0.</w:t>
      </w:r>
    </w:p>
    <w:p>
      <w:r>
        <w:t xml:space="preserve">Deliverables: README, slide deck, demo video, Wave 1 submission.</w:t>
      </w:r>
    </w:p>
    <w:p>
      <w:r>
        <w:t xml:space="preserve"/>
      </w:r>
    </w:p>
    <w:p>
      <w:pPr>
        <w:pStyle w:val="Heading2"/>
      </w:pPr>
      <w:r>
        <w:t xml:space="preserve">Wave 2 - Loan Lifecycle</w:t>
      </w:r>
    </w:p>
    <w:p>
      <w:r>
        <w:t xml:space="preserve">Build period Sep 27 - Oct 17, 2026. Focus: per-loan contract instances and a full loan lifecycle.</w:t>
      </w:r>
    </w:p>
    <w:p>
      <w:r>
        <w:t xml:space="preserve">Functional requirements:</w:t>
      </w:r>
    </w:p>
    <w:p>
      <w:r>
        <w:t xml:space="preserve">FR-2.1 Per-loan Loan contract instance; loan terms recorded publicly.</w:t>
      </w:r>
    </w:p>
    <w:p>
      <w:r>
        <w:t xml:space="preserve">FR-2.2 Contract-enforced disbursement and repayment (simulated funds; no token minted or moved in the demo).</w:t>
      </w:r>
    </w:p>
    <w:p>
      <w:r>
        <w:t xml:space="preserve">FR-2.3 Payment-history proofs (for example, "no default in the last 12 months").</w:t>
      </w:r>
    </w:p>
    <w:p>
      <w:r>
        <w:t xml:space="preserve">FR-2.4 Time-boxed proofs with expiry and refresh.</w:t>
      </w:r>
    </w:p>
    <w:p>
      <w:r>
        <w:t xml:space="preserve">FR-2.5 Explicit authorization: borrower-only apply/repay; lender-only underwrite/disburse/markDefault.</w:t>
      </w:r>
    </w:p>
    <w:p>
      <w:r>
        <w:t xml:space="preserve">FR-2.6 Public LoanDirectory indexes loans by status and terms.</w:t>
      </w:r>
    </w:p>
    <w:p>
      <w:r>
        <w:t xml:space="preserve">FR-2.7 Borrower dashboard (status, balance owed, refresh) and lender dashboard (portfolio, underwrite, disburse).</w:t>
      </w:r>
    </w:p>
    <w:p>
      <w:r>
        <w:t xml:space="preserve">Acceptance criteria:</w:t>
      </w:r>
    </w:p>
    <w:p>
      <w:r>
        <w:t xml:space="preserve">- A full borrow-to-repay flow works end to end; lifecycle tests pass including negative authorization tests.</w:t>
      </w:r>
    </w:p>
    <w:p>
      <w:r>
        <w:t xml:space="preserve">- Clear progression from Wave 1 is documented in the submission.</w:t>
      </w:r>
    </w:p>
    <w:p>
      <w:r>
        <w:t xml:space="preserve">Deliverables: updated repo, README, slide deck, demo video.</w:t>
      </w:r>
    </w:p>
    <w:p>
      <w:r>
        <w:t xml:space="preserve"/>
      </w:r>
    </w:p>
    <w:p>
      <w:pPr>
        <w:pStyle w:val="Heading2"/>
      </w:pPr>
      <w:r>
        <w:t xml:space="preserve">Wave 3 - Attestations and Polish</w:t>
      </w:r>
    </w:p>
    <w:p>
      <w:r>
        <w:t xml:space="preserve">Build period Oct 27 - Nov 16, 2026. Focus: attested data provenance, the traditional-bank channel, and compliance.</w:t>
      </w:r>
    </w:p>
    <w:p>
      <w:r>
        <w:t xml:space="preserve">Functional requirements:</w:t>
      </w:r>
    </w:p>
    <w:p>
      <w:r>
        <w:t xml:space="preserve">FR-3.1 Attested data provenance: data providers co-sign facts into private state at ingestion; the ZK circuit proves the co-signature is valid.</w:t>
      </w:r>
    </w:p>
    <w:p>
      <w:r>
        <w:t xml:space="preserve">FR-3.2 Off-chain attestation API issuing signed, expirable JWS attestations (offline-verifiable by banks).</w:t>
      </w:r>
    </w:p>
    <w:p>
      <w:r>
        <w:t xml:space="preserve">FR-3.3 Auditor/regulator views: "borrower verified" and "loan in good standing" attestations, no individual data.</w:t>
      </w:r>
    </w:p>
    <w:p>
      <w:r>
        <w:t xml:space="preserve">FR-3.4 KYC/AML hooks: prove identity-verified and not-sanctioned without revealing identity, using co-signed facts.</w:t>
      </w:r>
    </w:p>
    <w:p>
      <w:r>
        <w:t xml:space="preserve">FR-3.5 Automated recurring proof refresh for active loans.</w:t>
      </w:r>
    </w:p>
    <w:p>
      <w:r>
        <w:t xml:space="preserve">FR-3.6 UX polish, documentation, final slide deck, and demo video.</w:t>
      </w:r>
    </w:p>
    <w:p>
      <w:r>
        <w:t xml:space="preserve">Acceptance criteria:</w:t>
      </w:r>
    </w:p>
    <w:p>
      <w:r>
        <w:t xml:space="preserve">- Dual-channel demo: on-chain lender and traditional bank both consume proofs from the same engine; bank channel is presented as a channel demo, not bank-ready.</w:t>
      </w:r>
    </w:p>
    <w:p>
      <w:r>
        <w:t xml:space="preserve">- Documentation complete enough for a judge to set up and test from the README.</w:t>
      </w:r>
    </w:p>
    <w:p>
      <w:r>
        <w:t xml:space="preserve">Deliverables: final repo, README, slide deck, demo video.</w:t>
      </w:r>
    </w:p>
    <w:p>
      <w:r>
        <w:t xml:space="preserve"/>
      </w:r>
    </w:p>
    <w:p>
      <w:pPr>
        <w:pStyle w:val="Heading1"/>
      </w:pPr>
      <w:r>
        <w:t xml:space="preserve">5. Non-Functional Requirements</w:t>
      </w:r>
    </w:p>
    <w:p>
      <w:r>
        <w:t xml:space="preserve">NFR-1 Privacy by design: raw financial data never leaves the borrower client.</w:t>
      </w:r>
    </w:p>
    <w:p>
      <w:r>
        <w:t xml:space="preserve">NFR-2 Performance: proof generation completes in a few seconds on consumer hardware (target).</w:t>
      </w:r>
    </w:p>
    <w:p>
      <w:r>
        <w:t xml:space="preserve">NFR-3 Security: private keys and secrets are never hard-coded or logged.</w:t>
      </w:r>
    </w:p>
    <w:p>
      <w:r>
        <w:t xml:space="preserve">NFR-4 Reproducibility: the README documents local setup; tests run with a single command.</w:t>
      </w:r>
    </w:p>
    <w:p>
      <w:r>
        <w:t xml:space="preserve">NFR-5 Licensing: all Midnight-related code is Apache-2.0 and publicly accessible.</w:t>
      </w:r>
    </w:p>
    <w:p>
      <w:r>
        <w:t xml:space="preserve">NFR-6 Maintainability: organized repo structure with Midnight topic tags and ecosystem attribution.</w:t>
      </w:r>
    </w:p>
    <w:p>
      <w:r>
        <w:t xml:space="preserve">NFR-7 Correctness of the Midnight model: per-instance private state; no borrower state shared inside one contract instance.</w:t>
      </w:r>
    </w:p>
    <w:p>
      <w:r>
        <w:t xml:space="preserve">NFR-8 Authorization: every privileged transition checks the caller against stored state.</w:t>
      </w:r>
    </w:p>
    <w:p>
      <w:r>
        <w:t xml:space="preserve"/>
      </w:r>
    </w:p>
    <w:p>
      <w:pPr>
        <w:pStyle w:val="Heading1"/>
      </w:pPr>
      <w:r>
        <w:t xml:space="preserve">6. Out of Scope</w:t>
      </w:r>
    </w:p>
    <w:p>
      <w:r>
        <w:t xml:space="preserve">- Native mobile application (Kuira SDK can be evaluated post-Buildathon).</w:t>
      </w:r>
    </w:p>
    <w:p>
      <w:r>
        <w:t xml:space="preserve">- Real token/escrow settlement (USDC or ADA on Cardano) - money is simulated in contract state.</w:t>
      </w:r>
    </w:p>
    <w:p>
      <w:r>
        <w:t xml:space="preserve">- Live bank integrations; the bank channel is demonstrated via a demo attestation flow.</w:t>
      </w:r>
    </w:p>
    <w:p>
      <w:r>
        <w:t xml:space="preserve">- Production-grade custody, escrow, or legal settlement infrastructure.</w:t>
      </w:r>
    </w:p>
    <w:p>
      <w:r>
        <w:t xml:space="preserve">- Tokenomics or incentive design.</w:t>
      </w:r>
    </w:p>
    <w:p>
      <w:r>
        <w:t xml:space="preserve"/>
      </w:r>
    </w:p>
    <w:p>
      <w:pPr>
        <w:pStyle w:val="Heading1"/>
      </w:pPr>
      <w:r>
        <w:t xml:space="preserve">7. Risks and Mitigations</w:t>
      </w:r>
    </w:p>
    <w:p>
      <w:r>
        <w:t xml:space="preserve">- Per-instance architecture complexity: spike the per-borrower instance model in week 1 (deploy, private-state local call, network verification) before building UI.</w:t>
      </w:r>
    </w:p>
    <w:p>
      <w:r>
        <w:t xml:space="preserve">- ZK/Compact complexity: start from midnight-local-dev sample contracts and use Kapa and Midnight Expert MCP for guidance.</w:t>
      </w:r>
    </w:p>
    <w:p>
      <w:r>
        <w:t xml:space="preserve">- Self-reported facts ("ZK proves computation, not honesty"): use attested data providers in Wave 3 and label demo data as self-reported.</w:t>
      </w:r>
    </w:p>
    <w:p>
      <w:r>
        <w:t xml:space="preserve">- Point-in-time proofs going stale: short TTLs, lender-configurable refresh intervals, and (roadmap) continuous attestations.</w:t>
      </w:r>
    </w:p>
    <w:p>
      <w:r>
        <w:t xml:space="preserve">- Tight wave deadlines: ship the vertical slice first; defer polish to Wave 3.</w:t>
      </w:r>
    </w:p>
    <w:p>
      <w:r>
        <w:t xml:space="preserve">- Judges misunderstanding the privacy value: lead the demo with a visible "data stays hidden" moment.</w:t>
      </w:r>
    </w:p>
    <w:p>
      <w:r>
        <w:t xml:space="preserve"/>
      </w:r>
    </w:p>
    <w:p>
      <w:pPr>
        <w:pStyle w:val="Heading1"/>
      </w:pPr>
      <w:r>
        <w:t xml:space="preserve">8. Wave Summary at a Glance</w:t>
      </w:r>
    </w:p>
    <w:tbl>
      <w:tblPr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0" w:type="auto"/>
      </w:tblPr>
      <w:tblGrid>
        <w:gridCol w:w="900"/>
        <w:gridCol w:w="2000"/>
        <w:gridCol w:w="1500"/>
        <w:gridCol w:w="2200"/>
        <w:gridCol w:w="2700"/>
      </w:tblGrid>
      <w:tr>
        <w:tc>
          <w:tcPr>
            <w:tcW w:w="900" w:type="dxa"/>
          </w:tcPr>
          <w:p>
            <w:r>
              <w:t xml:space="preserve">Wave</w:t>
            </w:r>
          </w:p>
        </w:tc>
        <w:tc>
          <w:tcPr>
            <w:tcW w:w="2000" w:type="dxa"/>
          </w:tcPr>
          <w:p>
            <w:r>
              <w:t xml:space="preserve">Build Period</w:t>
            </w:r>
          </w:p>
        </w:tc>
        <w:tc>
          <w:tcPr>
            <w:tcW w:w="1500" w:type="dxa"/>
          </w:tcPr>
          <w:p>
            <w:r>
              <w:t xml:space="preserve">Pool</w:t>
            </w:r>
          </w:p>
        </w:tc>
        <w:tc>
          <w:tcPr>
            <w:tcW w:w="2200" w:type="dxa"/>
          </w:tcPr>
          <w:p>
            <w:r>
              <w:t xml:space="preserve">Focus</w:t>
            </w:r>
          </w:p>
        </w:tc>
        <w:tc>
          <w:tcPr>
            <w:tcW w:w="2700" w:type="dxa"/>
          </w:tcPr>
          <w:p>
            <w:r>
              <w:t xml:space="preserve">Key Deliverable</w:t>
            </w:r>
          </w:p>
        </w:tc>
      </w:tr>
      <w:tr>
        <w:tc>
          <w:tcPr>
            <w:tcW w:w="900" w:type="dxa"/>
          </w:tcPr>
          <w:p>
            <w:r>
              <w:t xml:space="preserve">Wave 1</w:t>
            </w:r>
          </w:p>
        </w:tc>
        <w:tc>
          <w:tcPr>
            <w:tcW w:w="2000" w:type="dxa"/>
          </w:tcPr>
          <w:p>
            <w:r>
              <w:t xml:space="preserve">Aug 27 - Sep 16</w:t>
            </w:r>
          </w:p>
        </w:tc>
        <w:tc>
          <w:tcPr>
            <w:tcW w:w="1500" w:type="dxa"/>
          </w:tcPr>
          <w:p>
            <w:r>
              <w:t xml:space="preserve">$3,500</w:t>
            </w:r>
          </w:p>
        </w:tc>
        <w:tc>
          <w:tcPr>
            <w:tcW w:w="2200" w:type="dxa"/>
          </w:tcPr>
          <w:p>
            <w:r>
              <w:t xml:space="preserve">Proof of solvency MVP (per-borrower instances)</w:t>
            </w:r>
          </w:p>
        </w:tc>
        <w:tc>
          <w:tcPr>
            <w:tcW w:w="2700" w:type="dxa"/>
          </w:tcPr>
          <w:p>
            <w:r>
              <w:t xml:space="preserve">Compiling SolvencyProof + Registry, network-verified demo</w:t>
            </w:r>
          </w:p>
        </w:tc>
      </w:tr>
      <w:tr>
        <w:tc>
          <w:tcPr>
            <w:tcW w:w="900" w:type="dxa"/>
          </w:tcPr>
          <w:p>
            <w:r>
              <w:t xml:space="preserve">Wave 2</w:t>
            </w:r>
          </w:p>
        </w:tc>
        <w:tc>
          <w:tcPr>
            <w:tcW w:w="2000" w:type="dxa"/>
          </w:tcPr>
          <w:p>
            <w:r>
              <w:t xml:space="preserve">Sep 27 - Oct 17</w:t>
            </w:r>
          </w:p>
        </w:tc>
        <w:tc>
          <w:tcPr>
            <w:tcW w:w="1500" w:type="dxa"/>
          </w:tcPr>
          <w:p>
            <w:r>
              <w:t xml:space="preserve">$4,000</w:t>
            </w:r>
          </w:p>
        </w:tc>
        <w:tc>
          <w:tcPr>
            <w:tcW w:w="2200" w:type="dxa"/>
          </w:tcPr>
          <w:p>
            <w:r>
              <w:t xml:space="preserve">Loan lifecycle (per-loan instances)</w:t>
            </w:r>
          </w:p>
        </w:tc>
        <w:tc>
          <w:tcPr>
            <w:tcW w:w="2700" w:type="dxa"/>
          </w:tcPr>
          <w:p>
            <w:r>
              <w:t xml:space="preserve">Borrow-to-repay flow on-chain</w:t>
            </w:r>
          </w:p>
        </w:tc>
      </w:tr>
      <w:tr>
        <w:tc>
          <w:tcPr>
            <w:tcW w:w="900" w:type="dxa"/>
          </w:tcPr>
          <w:p>
            <w:r>
              <w:t xml:space="preserve">Wave 3</w:t>
            </w:r>
          </w:p>
        </w:tc>
        <w:tc>
          <w:tcPr>
            <w:tcW w:w="2000" w:type="dxa"/>
          </w:tcPr>
          <w:p>
            <w:r>
              <w:t xml:space="preserve">Oct 27 - Nov 16</w:t>
            </w:r>
          </w:p>
        </w:tc>
        <w:tc>
          <w:tcPr>
            <w:tcW w:w="1500" w:type="dxa"/>
          </w:tcPr>
          <w:p>
            <w:r>
              <w:t xml:space="preserve">$5,000</w:t>
            </w:r>
          </w:p>
        </w:tc>
        <w:tc>
          <w:tcPr>
            <w:tcW w:w="2200" w:type="dxa"/>
          </w:tcPr>
          <w:p>
            <w:r>
              <w:t xml:space="preserve">Attestations, provenance, and polish</w:t>
            </w:r>
          </w:p>
        </w:tc>
        <w:tc>
          <w:tcPr>
            <w:tcW w:w="2700" w:type="dxa"/>
          </w:tcPr>
          <w:p>
            <w:r>
              <w:t xml:space="preserve">Bank channel demo + docs + final pitch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pPr>
      <w:spacing w:after="120"/>
    </w:pPr>
    <w:rPr>
      <w:b/>
      <w:sz w:val="48"/>
      <w:color w:val="1F3864"/>
    </w:rPr>
  </w:style>
  <w:style w:type="paragraph" w:styleId="Subtitle">
    <w:name w:val="Subtitle"/>
    <w:basedOn w:val="Normal"/>
    <w:pPr>
      <w:spacing w:after="120"/>
    </w:pPr>
    <w:rPr>
      <w:i/>
      <w:sz w:val="26"/>
      <w:color w:val="595959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b/>
      <w:sz w:val="30"/>
      <w:color w:val="2E74B5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b/>
      <w:sz w:val="25"/>
      <w:color w:val="2E74B5"/>
    </w:rPr>
  </w:style>
</w:styles>
</file>