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5915eb39a4928c90f2e8a2281f0e1769251a1f9"/>
    <w:p>
      <w:pPr>
        <w:pStyle w:val="Heading1"/>
      </w:pPr>
      <w:r>
        <w:t xml:space="preserve">Turoi — Calculator Mathematics &amp; Case Studies</w:t>
      </w:r>
    </w:p>
    <w:p>
      <w:pPr>
        <w:pStyle w:val="FirstParagraph"/>
      </w:pPr>
      <w:r>
        <w:rPr>
          <w:bCs/>
          <w:b/>
        </w:rPr>
        <w:t xml:space="preserve">Turocrates AI Private Limited</w:t>
      </w:r>
    </w:p>
    <w:p>
      <w:r>
        <w:pict>
          <v:rect style="width:0;height:1.5pt" o:hralign="center" o:hrstd="t" o:hr="t"/>
        </w:pict>
      </w:r>
    </w:p>
    <w:bookmarkStart w:id="22" w:name="investment-model"/>
    <w:p>
      <w:pPr>
        <w:pStyle w:val="Heading2"/>
      </w:pPr>
      <w:r>
        <w:t xml:space="preserve">1. Investment Model</w:t>
      </w:r>
    </w:p>
    <w:bookmarkStart w:id="20" w:name="capital-expenditure-year-0"/>
    <w:p>
      <w:pPr>
        <w:pStyle w:val="Heading3"/>
      </w:pPr>
      <w:r>
        <w:t xml:space="preserve">Capital expenditure (Year 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Scanner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scanner_cost × scanner_count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Workstation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workstation_cost × workstation_count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implementation_cost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validation_cost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training_cost_per_fte × (pathologist_fte + histotech_fte)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 of above</w:t>
            </w:r>
          </w:p>
        </w:tc>
      </w:tr>
    </w:tbl>
    <w:bookmarkEnd w:id="20"/>
    <w:bookmarkStart w:id="21" w:name="X529a6f2578bc871c6b5c9eb029ae812bffc1657"/>
    <w:p>
      <w:pPr>
        <w:pStyle w:val="Heading3"/>
      </w:pPr>
      <w:r>
        <w:t xml:space="preserve">Operating expenditure (Year 1+, inflation-adjusted)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IMS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ims_license_annual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IMS support &amp; AMC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ims_support_annual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storage_cost_per_tb_year × storage_growth_tb_year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egress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egress_cost_annual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Opex(Y)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opexY1 × (1 + inflation)^(Y−1)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5" w:name="value-pillar-formulas"/>
    <w:p>
      <w:pPr>
        <w:pStyle w:val="Heading2"/>
      </w:pPr>
      <w:r>
        <w:t xml:space="preserve">2. Value Pillar Formulas</w:t>
      </w:r>
    </w:p>
    <w:p>
      <w:pPr>
        <w:pStyle w:val="FirstParagraph"/>
      </w:pPr>
      <w:r>
        <w:t xml:space="preserve">All pillars are multiplied by a</w:t>
      </w:r>
      <w:r>
        <w:t xml:space="preserve"> </w:t>
      </w:r>
      <w:r>
        <w:rPr>
          <w:bCs/>
          <w:b/>
        </w:rPr>
        <w:t xml:space="preserve">productivity ramp</w:t>
      </w:r>
      <w:r>
        <w:t xml:space="preserve">: Y1 = 25%, Y2 = 60%, Y3+ = 100%. Each year’s pillar values are further multiplied by an</w:t>
      </w:r>
      <w:r>
        <w:t xml:space="preserve"> </w:t>
      </w:r>
      <w:r>
        <w:rPr>
          <w:bCs/>
          <w:b/>
        </w:rPr>
        <w:t xml:space="preserve">inflation factor</w:t>
      </w:r>
      <w:r>
        <w:t xml:space="preserve">: (1 + inflation_rate)^(Y−1).</w:t>
      </w:r>
    </w:p>
    <w:bookmarkStart w:id="23" w:name="hospital-pillars-institution-types-13"/>
    <w:p>
      <w:pPr>
        <w:pStyle w:val="Heading3"/>
      </w:pPr>
      <w:r>
        <w:t xml:space="preserve">Hospital pillars (institution types 1–3)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Slide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(courier_cost_annual × 0.55 + retrieval_hours/week × 52 × histotech_hourly × 0.5 + lost_slides/yr × lost_cost)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pathologist_fte × (1800 hrs × 0.40 gain × 0.50 monetizable) × (salary / 1800)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Surgical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frozen_section_volume × min_saved × OR_cost_per_min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 flow (LOS)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affected_LOS_cases × days_saved × bed_cost_per_day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Waste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(IHC_cost × IHC_avoided + recut_cost × recuts_avoided + lost_cost × lost_slides)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burnout_risk × cost_per_event × pathologist_fte × 0.25 (probability)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sqft_freed × rent_per_sqft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&amp;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legal_requests × cost_delta_per_request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consult_revenue_per_case × consults_received × 0.15 (capture fraction) × ramp</w:t>
            </w:r>
          </w:p>
        </w:tc>
      </w:tr>
    </w:tbl>
    <w:bookmarkEnd w:id="23"/>
    <w:bookmarkStart w:id="24" w:name="X449c3502a5f955387da5b9c56f54d6a87c93d01"/>
    <w:p>
      <w:pPr>
        <w:pStyle w:val="Heading3"/>
      </w:pPr>
      <w:r>
        <w:t xml:space="preserve">Diagnostic-lab pillars (institution types 4–6)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Hub &amp; spoke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(inter_site_runs/week × 52 × 0.85 × cost_per_run + loss_rate × cases × lost_cost)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Subspecialty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external_consults × retained_pct × (external_cost − internal_cost)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Commercial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[(new_referrers_digital − baseline) × vol_per_referrer × margin + retention_uplift × existing_referrers × vol × margin]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 revenue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consults_received × growth_pct × price_per_case × ramp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monetization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(dataset_TB × value_per_TB × 0.05 + partnership_NPV × 0.20) × ramp</w:t>
            </w:r>
          </w:p>
        </w:tc>
      </w:tr>
    </w:tbl>
    <w:p>
      <w:pPr>
        <w:pStyle w:val="BodyText"/>
      </w:pPr>
      <w:r>
        <w:t xml:space="preserve">Diagnostic-lab profiles also retain: slide movement, productivity, waste reduction, infrastructure, and risk &amp; compliance. They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model surgical impact or patient LOS (both zeroed).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ggregate-metrics"/>
    <w:p>
      <w:pPr>
        <w:pStyle w:val="Heading2"/>
      </w:pPr>
      <w:r>
        <w:t xml:space="preserve">3. Aggregate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−capex + Σ(Y=1..H) net(Y) / (1 + discount)^Y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(total_savings − total_cost) / total_cost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Payback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Y where cumulative net 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 per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total_cost / (annual_cases × horizon)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Productivity hours/yr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pathologist_fte × 1800 × 0.40 × 0.50</w:t>
            </w:r>
          </w:p>
        </w:tc>
      </w:tr>
    </w:tbl>
    <w:bookmarkStart w:id="26" w:name="sensitivity-analysis"/>
    <w:p>
      <w:pPr>
        <w:pStyle w:val="Heading3"/>
      </w:pPr>
      <w:r>
        <w:t xml:space="preserve">Sensitivity analysis</w:t>
      </w:r>
    </w:p>
    <w:p>
      <w:pPr>
        <w:pStyle w:val="FirstParagraph"/>
      </w:pPr>
      <w:r>
        <w:t xml:space="preserve">Each key input is varied ±20%. The NPV is recomputed at each perturbation. Results are ranked by magnitude of NPV impact (tornado chart).</w:t>
      </w:r>
    </w:p>
    <w:p>
      <w:pPr>
        <w:pStyle w:val="BodyText"/>
      </w:pPr>
      <w:r>
        <w:rPr>
          <w:bCs/>
          <w:b/>
        </w:rPr>
        <w:t xml:space="preserve">Hospital inputs tested:</w:t>
      </w:r>
      <w:r>
        <w:t xml:space="preserve"> </w:t>
      </w:r>
      <w:r>
        <w:t xml:space="preserve">slide volume, pathologist salary, scanner cost, ramp Y3, storage growth, OR cost/min, bed cost/day, discount rate.</w:t>
      </w:r>
    </w:p>
    <w:p>
      <w:pPr>
        <w:pStyle w:val="BodyText"/>
      </w:pPr>
      <w:r>
        <w:rPr>
          <w:bCs/>
          <w:b/>
        </w:rPr>
        <w:t xml:space="preserve">Diagnostic-lab inputs tested:</w:t>
      </w:r>
      <w:r>
        <w:t xml:space="preserve"> </w:t>
      </w:r>
      <w:r>
        <w:t xml:space="preserve">slide volume, pathologist salary, scanner cost, ramp Y3, storage growth, inter-site courier cost, consult price/case, new referrers/yr, discount rate.</w:t>
      </w:r>
    </w:p>
    <w:bookmarkEnd w:id="26"/>
    <w:bookmarkStart w:id="27" w:name="monte-carlo-confidence-band"/>
    <w:p>
      <w:pPr>
        <w:pStyle w:val="Heading3"/>
      </w:pPr>
      <w:r>
        <w:t xml:space="preserve">Monte Carlo confidence band</w:t>
      </w:r>
    </w:p>
    <w:p>
      <w:pPr>
        <w:pStyle w:val="FirstParagraph"/>
      </w:pPr>
      <w:r>
        <w:t xml:space="preserve">2,000 Monte Carlo samples. Each input is perturbed using triangular distribution: high-confidence ±10%, medium ±20%, low ±35%. The 5th and 95th percentile NPV values form the reported 90% confidence interval.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case-study-results-20-cases"/>
    <w:p>
      <w:pPr>
        <w:pStyle w:val="Heading2"/>
      </w:pPr>
      <w:r>
        <w:t xml:space="preserve">4. Case Study Results (20 cases)</w:t>
      </w:r>
    </w:p>
    <w:bookmarkStart w:id="29" w:name="india-hospital-profiles"/>
    <w:p>
      <w:pPr>
        <w:pStyle w:val="Heading3"/>
      </w:pPr>
      <w:r>
        <w:t xml:space="preserve">India — Hospital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 (5yr)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IN-GOV-T1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Govt medical college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₹23.4M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₹112.1M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₹89.0M–₹135.9M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IN-GOV-T2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Govt medical college (Tier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₹39.4M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₹30.6M–₹48.8M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IN-GOV-T3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hospital (LMIC)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₹5.5M–₹11.8M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IN-GOV-SHARED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scanner (4 hospitals)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₹13.8M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₹10.5M–₹17.3M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IN-GOV-DONOR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Donor-funded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₹16.2M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₹12.8M–₹19.8M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IN-ACAD-PRIV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₹173.1M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₹139.2M–₹210.8M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hospital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₹65.8M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₹50.3M–₹81.8M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</w:tbl>
    <w:bookmarkEnd w:id="29"/>
    <w:bookmarkStart w:id="30" w:name="india-diagnostic-lab-profiles"/>
    <w:p>
      <w:pPr>
        <w:pStyle w:val="Heading3"/>
      </w:pPr>
      <w:r>
        <w:t xml:space="preserve">India — Diagnostic-lab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 (5yr)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IN-STANDALONE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₹12.1M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₹0.2M–₹6.5M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IN-CHAIN-HYPER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Hyperlocal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₹23.4M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₹140.6M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₹108.5M–₹174.2M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&amp; spoke 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IN-CHAIN-NATL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₹145.5M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₹15.7M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₹1,038M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₹811M–₹1,281M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&amp; spoke 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IN-CHAIN-MEGA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chain (stress)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₹281.1M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₹30.3M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₹2,564M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₹2,001M–₹3,163M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&amp; spoke logistics</w:t>
            </w:r>
          </w:p>
        </w:tc>
      </w:tr>
    </w:tbl>
    <w:bookmarkEnd w:id="30"/>
    <w:bookmarkStart w:id="31" w:name="us-profiles"/>
    <w:p>
      <w:pPr>
        <w:pStyle w:val="Heading3"/>
      </w:pPr>
      <w:r>
        <w:t xml:space="preserve">US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 (5yr)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US-AMC-MID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medical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$53.5M–$82.3M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US-AMC-MEGA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(top-tier)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$160.2M–$243.8M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$16.0M–$26.4M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US-STANDALONE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standalone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$4.3M–$8.3M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US-NATL-REF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reference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$537.2M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$428.4M–$652.0M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&amp; spoke logistics</w:t>
            </w:r>
          </w:p>
        </w:tc>
      </w:tr>
    </w:tbl>
    <w:bookmarkEnd w:id="31"/>
    <w:bookmarkStart w:id="32" w:name="uk-eu-middle-east"/>
    <w:p>
      <w:pPr>
        <w:pStyle w:val="Heading3"/>
      </w:pPr>
      <w:r>
        <w:t xml:space="preserve">UK, EU, Middle East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 (5yr)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UK-NHS-MID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NHS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£1.1M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£0.1M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£6.3M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£4.7M–£7.9M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EU-ACAD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university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€19.9M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€15.4M–€24.7M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ME-PUBLIC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hospital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$16.5M–$26.2M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flow</w:t>
            </w:r>
          </w:p>
        </w:tc>
      </w:tr>
    </w:tbl>
    <w:bookmarkEnd w:id="32"/>
    <w:bookmarkStart w:id="33" w:name="edge-case"/>
    <w:p>
      <w:pPr>
        <w:pStyle w:val="Heading3"/>
      </w:pPr>
      <w:r>
        <w:t xml:space="preserve">Edge case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 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NPV (5yr)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pillar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pathologist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₹0.7M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−₹1.2M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−₹3.8M–₹1.6M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key-findings"/>
    <w:p>
      <w:pPr>
        <w:pStyle w:val="Heading2"/>
      </w:pPr>
      <w:r>
        <w:t xml:space="preserve">5. Key Findings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Patient flow dominates hospital profiles.</w:t>
      </w:r>
      <w:r>
        <w:t xml:space="preserve"> </w:t>
      </w:r>
      <w:r>
        <w:t xml:space="preserve">LOS-attributed bed-day savings are the single largest value driver in every hospital case. This is consistent with published literature but carries a known attribution limitation — savings accrue to the hospital, not the pathology department.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Hub &amp; spoke logistics dominates diagnostic chains.</w:t>
      </w:r>
      <w:r>
        <w:t xml:space="preserve"> </w:t>
      </w:r>
      <w:r>
        <w:t xml:space="preserve">For hyperlocal and national chains, inter-site courier elimination produces 40–60% of total savings. This pillar is entirely absent from hospital-only ROI tools.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Standalone labs have modest ROI.</w:t>
      </w:r>
      <w:r>
        <w:t xml:space="preserve"> </w:t>
      </w:r>
      <w:r>
        <w:t xml:space="preserve">Single-site diagnostic labs (IN-STANDALONE) show positive but thin NPV with long payback, driven primarily by productivity gains. The business case here is strategic, not cost-driven.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Indian government profiles are viable.</w:t>
      </w:r>
      <w:r>
        <w:t xml:space="preserve"> </w:t>
      </w:r>
      <w:r>
        <w:t xml:space="preserve">Despite low absolute salary and scanner cost, the high volume and non-trivial bed-day costs in tertiary teaching hospitals produce strong 5-year NPV with Y2 payback.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Donor-funded scanners produce immediate payback.</w:t>
      </w:r>
      <w:r>
        <w:t xml:space="preserve"> </w:t>
      </w:r>
      <w:r>
        <w:t xml:space="preserve">When capex is zero or near-zero (grants, shared procurement), the entire savings curve shifts left and ROI exceeds 400%.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edge case correctly shows negative NPV.</w:t>
      </w:r>
      <w:r>
        <w:t xml:space="preserve"> </w:t>
      </w:r>
      <w:r>
        <w:t xml:space="preserve">A single-pathologist, 10k-slide practice cannot justify the investment. This is the expected result and demonstrates that Turoi does not default to positive projections.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Monte Carlo bands are tight for high-confidence profiles</w:t>
      </w:r>
      <w:r>
        <w:t xml:space="preserve"> </w:t>
      </w:r>
      <w:r>
        <w:t xml:space="preserve">(US, UK) and wider for low-confidence profiles (India standalone, edge cases), reflecting the evidence base behind each default.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2026-04-13T04:06:24Z</dcterms:created>
  <dcterms:modified xsi:type="dcterms:W3CDTF">2026-04-13T04:06:24Z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