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 de la synthèse elle même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Reprendre la même chose que </w:t>
      </w:r>
      <w:r w:rsidRPr="00000000" w:rsidR="00000000" w:rsidDel="00000000">
        <w:rPr>
          <w:i w:val="1"/>
          <w:rtl w:val="0"/>
        </w:rPr>
        <w:t xml:space="preserve">Context-aware Recommender Systems for Learning</w:t>
      </w:r>
      <w:r w:rsidRPr="00000000" w:rsidR="00000000" w:rsidDel="00000000">
        <w:rPr>
          <w:rtl w:val="0"/>
        </w:rPr>
        <w:t xml:space="preserve">, c’est quasiment la même chose que ce qu’on doit faire sauf que ça date de 2007 et que d’autres approches ont été entreprise depuis.</w:t>
      </w:r>
      <w:r w:rsidRPr="00000000" w:rsidR="00000000" w:rsidDel="00000000">
        <w:rPr>
          <w:rtl w:val="0"/>
        </w:rPr>
        <w:t xml:space="preserve"> Eventuellement chercher des applications plus concrètes dans des outils de e-learning vraiment utilisés.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Examiner les différents aspects du </w:t>
      </w:r>
      <w:r w:rsidRPr="00000000" w:rsidR="00000000" w:rsidDel="00000000">
        <w:rPr>
          <w:i w:val="1"/>
          <w:rtl w:val="0"/>
        </w:rPr>
        <w:t xml:space="preserve">contexte</w:t>
      </w:r>
      <w:r w:rsidRPr="00000000" w:rsidR="00000000" w:rsidDel="00000000">
        <w:rPr>
          <w:rtl w:val="0"/>
        </w:rPr>
        <w:t xml:space="preserve"> pouvant être pris en compte dans une solution de recommandation de e-learning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Examiner les différents algorithmes utilisés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Examiner les différents types de recommandation (contenu à lire, personnes à contacter, nouveaux cours à suivre 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Recommandations dans le cadre du e-learning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basées sur le profil utilisateur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Classification des modes d’apprentisage : Felder and Silverman Learning Style Model FSLSM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basées sur le contexte d’utilisation de la plateforme d’e-learning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Documents à chercher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Tous ceux utilisés dans l’étude comparative </w:t>
      </w:r>
      <w:r w:rsidRPr="00000000" w:rsidR="00000000" w:rsidDel="00000000">
        <w:rPr>
          <w:i w:val="1"/>
          <w:rtl w:val="0"/>
        </w:rPr>
        <w:t xml:space="preserve">Context-aware Recommender Systems for Learning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Projet insa sur lequel j’ai bossé en stage 3if : http://eexcess.eu/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comparaisons qualitatives avant tout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considérer les types de recommandation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livrables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fiches de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gestion de projet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premiere synthèse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d’ici jeudi :) :)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prochain rdv : 28/11 à 14h : retour livrables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ensuite : 12/12 à 13h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Thèmes à approfondir.docx</dc:title>
</cp:coreProperties>
</file>