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6"/>
          <w:szCs w:val="36"/>
        </w:rPr>
        <w:t xml:space="preserve">TARGETED DRUG DELIVERY SYSTEMS</w:t>
      </w:r>
    </w:p>
    <w:p>
      <w:pPr>
        <w:spacing w:after="60" w:before="0"/>
        <w:jc w:val="center"/>
      </w:pPr>
      <w:r>
        <w:rPr>
          <w:rFonts w:ascii="Arial" w:cs="Arial" w:eastAsia="Arial" w:hAnsi="Arial"/>
          <w:b/>
          <w:bCs/>
          <w:color w:val="2E75B6"/>
          <w:sz w:val="26"/>
          <w:szCs w:val="26"/>
        </w:rPr>
        <w:t xml:space="preserve">Concepts, Events and Biological Processes Involved in Drug Targeting</w:t>
      </w:r>
    </w:p>
    <w:p>
      <w:pPr>
        <w:spacing w:after="280" w:before="0"/>
        <w:jc w:val="center"/>
      </w:pPr>
      <w:r>
        <w:rPr>
          <w:rFonts w:ascii="Arial" w:cs="Arial" w:eastAsia="Arial" w:hAnsi="Arial"/>
          <w:i/>
          <w:iCs/>
          <w:color w:val="595959"/>
          <w:sz w:val="20"/>
          <w:szCs w:val="20"/>
        </w:rPr>
        <w:t xml:space="preserve">MPH 201T | Unit 1 – Part A | M.Pharm Examination Answer</w:t>
      </w:r>
    </w:p>
    <w:p>
      <w:pPr>
        <w:pStyle w:val="Heading1"/>
        <w:spacing w:after="160" w:before="320"/>
      </w:pPr>
      <w:r>
        <w:rPr>
          <w:rFonts w:ascii="Arial" w:cs="Arial" w:eastAsia="Arial" w:hAnsi="Arial"/>
          <w:b/>
          <w:bCs/>
          <w:color w:val="1F4E79"/>
          <w:sz w:val="30"/>
          <w:szCs w:val="30"/>
        </w:rPr>
        <w:t xml:space="preserve">1. Introduction: The Fundamental Problem of Conventional Drug Therapy</w:t>
      </w:r>
    </w:p>
    <w:p>
      <w:pPr>
        <w:spacing w:after="80" w:before="80"/>
        <w:jc w:val="both"/>
      </w:pPr>
      <w:r>
        <w:rPr>
          <w:rFonts w:ascii="Arial" w:cs="Arial" w:eastAsia="Arial" w:hAnsi="Arial"/>
          <w:sz w:val="22"/>
          <w:szCs w:val="22"/>
        </w:rPr>
        <w:t xml:space="preserve">Conventional pharmacotherapy operates on a paradox — a drug must be administered in doses sufficient to achieve therapeutic concentrations at the target site, yet this inevitably produces supratherapeutic concentrations at non-target tissues, generating toxicity, adverse effects, and reduced therapeutic indices. The discipline of targeted drug delivery is born entirely from the desire to resolve this paradox by ensuring that a therapeutic agent reaches its intended biological locus — and only that locus — in concentrations that are pharmacologically active, while leaving surrounding healthy tissues pharmacologically inert.</w:t>
      </w:r>
    </w:p>
    <w:p>
      <w:pPr>
        <w:spacing w:after="60" w:before="60"/>
      </w:pPr>
      <w:r>
        <w:t xml:space="preserve"/>
      </w:r>
    </w:p>
    <w:p>
      <w:pPr>
        <w:spacing w:after="80" w:before="80"/>
        <w:jc w:val="both"/>
      </w:pPr>
      <w:r>
        <w:rPr>
          <w:rFonts w:ascii="Arial" w:cs="Arial" w:eastAsia="Arial" w:hAnsi="Arial"/>
          <w:sz w:val="22"/>
          <w:szCs w:val="22"/>
        </w:rPr>
        <w:t xml:space="preserve">The concept was first conceptualized by Paul Ehrlich in the early 20th century as the 'magic bullet' — a drug that would seek out and destroy a pathogen or diseased cell with absolute selectivity. While Ehrlich's vision was prophetic, its realization has required a century of convergent advances in polymer chemistry, cell biology, pharmacokinetics, immunology, and nanotechnology. Today, targeted drug delivery is not a single technology but an integrated systems approach that exploits specific biological differences between diseased and healthy tissue to achieve selective drug accumulation.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Examiner's Insight: </w:t>
            </w:r>
            <w:r>
              <w:rPr>
                <w:rFonts w:ascii="Arial" w:cs="Arial" w:eastAsia="Arial" w:hAnsi="Arial"/>
                <w:sz w:val="22"/>
                <w:szCs w:val="22"/>
              </w:rPr>
              <w:t xml:space="preserve">The introduction must establish WHY targeting is needed — connect poor therapeutic index, dose-limiting toxicity, and subtherapeutic target concentrations to the rationale. This immediately distinguishes a PG-level answer from a UG-level one.</w:t>
            </w:r>
          </w:p>
        </w:tc>
      </w:tr>
    </w:tbl>
    <w:p>
      <w:pPr>
        <w:spacing w:after="60" w:before="60"/>
      </w:pPr>
      <w:r>
        <w:t xml:space="preserve"/>
      </w:r>
    </w:p>
    <w:p>
      <w:pPr>
        <w:pStyle w:val="Heading1"/>
        <w:spacing w:after="160" w:before="320"/>
      </w:pPr>
      <w:r>
        <w:rPr>
          <w:rFonts w:ascii="Arial" w:cs="Arial" w:eastAsia="Arial" w:hAnsi="Arial"/>
          <w:b/>
          <w:bCs/>
          <w:color w:val="1F4E79"/>
          <w:sz w:val="30"/>
          <w:szCs w:val="30"/>
        </w:rPr>
        <w:t xml:space="preserve">2. Core Concepts of Drug Targeting</w:t>
      </w:r>
    </w:p>
    <w:p>
      <w:pPr>
        <w:pStyle w:val="Heading2"/>
        <w:spacing w:after="120" w:before="240"/>
      </w:pPr>
      <w:r>
        <w:rPr>
          <w:rFonts w:ascii="Arial" w:cs="Arial" w:eastAsia="Arial" w:hAnsi="Arial"/>
          <w:b/>
          <w:bCs/>
          <w:color w:val="2E75B6"/>
          <w:sz w:val="26"/>
          <w:szCs w:val="26"/>
        </w:rPr>
        <w:t xml:space="preserve">2.1 Definition and Scope</w:t>
      </w:r>
    </w:p>
    <w:p>
      <w:pPr>
        <w:spacing w:after="80" w:before="80"/>
        <w:jc w:val="both"/>
      </w:pPr>
      <w:r>
        <w:rPr>
          <w:rFonts w:ascii="Arial" w:cs="Arial" w:eastAsia="Arial" w:hAnsi="Arial"/>
          <w:sz w:val="22"/>
          <w:szCs w:val="22"/>
        </w:rPr>
        <w:t xml:space="preserve">Drug targeting is defined as the ability to direct a therapeutic agent preferentially and specifically to the desired anatomical site, organ, tissue, cell type, or subcellular compartment — in a concentration sufficient to exert the pharmacological effect — while minimizing exposure to non-target tissues. The concept encompasses not merely the site of action but the entire journey of the drug from its point of administration to its pharmacological destination.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Therapeutic Index and the Targeting Advantage</w:t>
      </w:r>
    </w:p>
    <w:p>
      <w:pPr>
        <w:spacing w:after="80" w:before="80"/>
        <w:jc w:val="both"/>
      </w:pPr>
      <w:r>
        <w:rPr>
          <w:rFonts w:ascii="Arial" w:cs="Arial" w:eastAsia="Arial" w:hAnsi="Arial"/>
          <w:sz w:val="22"/>
          <w:szCs w:val="22"/>
        </w:rPr>
        <w:t xml:space="preserve">The therapeutic index (TI = TD50/ED50) is the quantitative expression of the margin between efficacy and toxicity. Conventional drug delivery narrows this margin because both the target tissue and the healthy tissue are exposed to equivalent systemic drug concentrations. Targeted delivery fundamentally widens the therapeutic index by creating a concentration gradient — high drug levels at the target site and low drug levels everywhere else — without requiring a change in the intrinsic pharmacological potency of the drug.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2.3 Orders of Drug Targeting — Anatomical Hierarchy</w:t>
      </w:r>
    </w:p>
    <w:p>
      <w:pPr>
        <w:spacing w:after="80" w:before="80"/>
        <w:jc w:val="both"/>
      </w:pPr>
      <w:r>
        <w:rPr>
          <w:rFonts w:ascii="Arial" w:cs="Arial" w:eastAsia="Arial" w:hAnsi="Arial"/>
          <w:sz w:val="22"/>
          <w:szCs w:val="22"/>
        </w:rPr>
        <w:t xml:space="preserve">Drug targeting is classified into three hierarchical orders based on the anatomical precision of delivery: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60"/>
        <w:gridCol w:w="2800"/>
      </w:tblGrid>
      <w:tr>
        <w:tc>
          <w:tcPr>
            <w:tcW w:type="dxa" w:w="1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Order</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Target Level</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Example</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Mechanism</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First Order</w:t>
            </w:r>
          </w:p>
        </w:tc>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Organ / Tissue</w:t>
            </w:r>
          </w:p>
        </w:tc>
        <w:tc>
          <w:tcPr>
            <w:tcW w:type="dxa" w:w="28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Liver-targeted drug delivery</w:t>
            </w:r>
          </w:p>
        </w:tc>
        <w:tc>
          <w:tcPr>
            <w:tcW w:type="dxa" w:w="28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Passive accumulation via fenestrated sinusoids; size-based retention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Second 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Specific Cell Type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Hepatocyte vs. Kupffer cell targeting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Receptor-ligand interaction; asialoglycoprotein receptor on hepatocytes</w:t>
            </w:r>
          </w:p>
        </w:tc>
      </w:tr>
      <w:tr>
        <w:tc>
          <w:tcPr>
            <w:tcW w:type="dxa" w:w="15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Third Order</w:t>
            </w:r>
          </w:p>
        </w:tc>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Subcellular Organelle</w:t>
            </w:r>
          </w:p>
        </w:tc>
        <w:tc>
          <w:tcPr>
            <w:tcW w:type="dxa" w:w="28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Nuclear targeting, mitochondrial delivery</w:t>
            </w:r>
          </w:p>
        </w:tc>
        <w:tc>
          <w:tcPr>
            <w:tcW w:type="dxa" w:w="28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Signal peptide-mediated transport; pH-sensitive intracellular release</w:t>
            </w:r>
          </w:p>
        </w:tc>
      </w:tr>
    </w:tbl>
    <w:p>
      <w:pPr>
        <w:spacing w:after="60" w:before="60"/>
      </w:pPr>
      <w:r>
        <w:t xml:space="preserve"/>
      </w:r>
    </w:p>
    <w:p>
      <w:pPr>
        <w:spacing w:after="80" w:before="80"/>
        <w:jc w:val="both"/>
      </w:pPr>
      <w:r>
        <w:rPr>
          <w:rFonts w:ascii="Arial" w:cs="Arial" w:eastAsia="Arial" w:hAnsi="Arial"/>
          <w:sz w:val="22"/>
          <w:szCs w:val="22"/>
        </w:rPr>
        <w:t xml:space="preserve">Third-order targeting represents the pinnacle of precision — delivering a drug to the nucleus for gene therapy or to mitochondria for treating mitochondrial disorders requires overcoming not just systemic barriers but intracellular ones. This level of precision is only achievable through rationally engineered nanocarrier systems.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2.4 Active vs. Passive Targeting — The Critical Distinction</w:t>
      </w:r>
    </w:p>
    <w:p>
      <w:pPr>
        <w:spacing w:after="80" w:before="80"/>
        <w:jc w:val="both"/>
      </w:pPr>
      <w:r>
        <w:rPr>
          <w:rFonts w:ascii="Arial" w:cs="Arial" w:eastAsia="Arial" w:hAnsi="Arial"/>
          <w:sz w:val="22"/>
          <w:szCs w:val="22"/>
        </w:rPr>
        <w:t xml:space="preserve">Understanding the mechanistic difference between active and passive targeting is fundamental to designing rational drug delivery systems.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Parameter</w:t>
            </w:r>
          </w:p>
        </w:tc>
        <w:tc>
          <w:tcPr>
            <w:tcW w:type="dxa" w:w="35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Passive Targeting</w:t>
            </w:r>
          </w:p>
        </w:tc>
        <w:tc>
          <w:tcPr>
            <w:tcW w:type="dxa" w:w="35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Active Targeting</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Mechanism</w:t>
            </w:r>
          </w:p>
        </w:tc>
        <w:tc>
          <w:tcPr>
            <w:tcW w:type="dxa" w:w="35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Exploits pathophysiological abnormalities of diseased tissue (e.g., EPR effect)</w:t>
            </w:r>
          </w:p>
        </w:tc>
        <w:tc>
          <w:tcPr>
            <w:tcW w:type="dxa" w:w="35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Ligand-receptor mediated preferential uptake at target cells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Selectivity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Tissue-level selectivity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Cell-level and receptor-level selectivity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Carrier Requirement</w:t>
            </w:r>
          </w:p>
        </w:tc>
        <w:tc>
          <w:tcPr>
            <w:tcW w:type="dxa" w:w="35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Size and surface chemistry controlled nanoparticles</w:t>
            </w:r>
          </w:p>
        </w:tc>
        <w:tc>
          <w:tcPr>
            <w:tcW w:type="dxa" w:w="35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Ligand-conjugated nanoparticles (antibody, aptamer, folate, transferrin)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Drug Release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Passive diffusion or microenvironment-triggered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Receptor-mediated endocytosis followed by intracellular release</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Limitation</w:t>
            </w:r>
          </w:p>
        </w:tc>
        <w:tc>
          <w:tcPr>
            <w:tcW w:type="dxa" w:w="35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Non-uniform EPR; heterogeneous tumors may not respond</w:t>
            </w:r>
          </w:p>
        </w:tc>
        <w:tc>
          <w:tcPr>
            <w:tcW w:type="dxa" w:w="35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Ligand immunogenicity; receptor saturation; manufacturing complexity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Examples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PEGylated liposomes (Doxil®) in tumors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Transferrin-conjugated nanoparticles for brain delivery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Key Concept: </w:t>
            </w:r>
            <w:r>
              <w:rPr>
                <w:rFonts w:ascii="Arial" w:cs="Arial" w:eastAsia="Arial" w:hAnsi="Arial"/>
                <w:sz w:val="22"/>
                <w:szCs w:val="22"/>
              </w:rPr>
              <w:t xml:space="preserve">Passive targeting exploits WHERE the disease is (abnormal vasculature, leaky endothelium). Active targeting exploits WHAT the diseased cell expresses (overexpressed receptors, unique surface antigens). Both are complementary, not mutually exclusive — the most sophisticated systems combine both strategies.</w:t>
            </w:r>
          </w:p>
        </w:tc>
      </w:tr>
    </w:tbl>
    <w:p>
      <w:pPr>
        <w:spacing w:after="60" w:before="60"/>
      </w:pPr>
      <w:r>
        <w:t xml:space="preserve"/>
      </w:r>
    </w:p>
    <w:p>
      <w:pPr>
        <w:pStyle w:val="Heading1"/>
        <w:spacing w:after="160" w:before="320"/>
      </w:pPr>
      <w:r>
        <w:rPr>
          <w:rFonts w:ascii="Arial" w:cs="Arial" w:eastAsia="Arial" w:hAnsi="Arial"/>
          <w:b/>
          <w:bCs/>
          <w:color w:val="1F4E79"/>
          <w:sz w:val="30"/>
          <w:szCs w:val="30"/>
        </w:rPr>
        <w:t xml:space="preserve">3. Enhanced Permeability and Retention (EPR) Effect — The Biological Basis of Passive Targeting</w:t>
      </w:r>
    </w:p>
    <w:p>
      <w:pPr>
        <w:spacing w:after="80" w:before="80"/>
        <w:jc w:val="both"/>
      </w:pPr>
      <w:r>
        <w:rPr>
          <w:rFonts w:ascii="Arial" w:cs="Arial" w:eastAsia="Arial" w:hAnsi="Arial"/>
          <w:sz w:val="22"/>
          <w:szCs w:val="22"/>
        </w:rPr>
        <w:t xml:space="preserve">The Enhanced Permeability and Retention (EPR) effect, first described by Matsumura and Maeda in 1986, is the cornerstone biological phenomenon that makes passive tumor targeting possible. Its mechanistic understanding is essential at the M.Pharm level.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Vascular Architecture of Tumors vs. Normal Tissue</w:t>
      </w:r>
    </w:p>
    <w:p>
      <w:pPr>
        <w:spacing w:after="80" w:before="80"/>
        <w:jc w:val="both"/>
      </w:pPr>
      <w:r>
        <w:rPr>
          <w:rFonts w:ascii="Arial" w:cs="Arial" w:eastAsia="Arial" w:hAnsi="Arial"/>
          <w:sz w:val="22"/>
          <w:szCs w:val="22"/>
        </w:rPr>
        <w:t xml:space="preserve">Normal vasculature is lined with a continuous, tight endothelium with inter-endothelial junctions of 5–7 nm. In contrast, rapidly proliferating tumors generate a chaotic, hyperpermeable vasculature driven by the overproduction of angiogenic factors — particularly VEGF (Vascular Endothelial Growth Factor) and bFGF (basic Fibroblast Growth Factor). This abnormal angiogenesis produces:</w:t>
      </w:r>
    </w:p>
    <w:p>
      <w:pPr>
        <w:pStyle w:val="ListParagraph"/>
        <w:numPr>
          <w:ilvl w:val="0"/>
          <w:numId w:val="2"/>
        </w:numPr>
        <w:spacing w:after="60" w:before="60"/>
        <w:jc w:val="both"/>
      </w:pPr>
      <w:r>
        <w:rPr>
          <w:rFonts w:ascii="Arial" w:cs="Arial" w:eastAsia="Arial" w:hAnsi="Arial"/>
          <w:b w:val="false"/>
          <w:bCs w:val="false"/>
          <w:sz w:val="22"/>
          <w:szCs w:val="22"/>
        </w:rPr>
        <w:t xml:space="preserve">Fenestrations and inter-endothelial gaps of 100–800 nm in tumor vessels</w:t>
      </w:r>
    </w:p>
    <w:p>
      <w:pPr>
        <w:pStyle w:val="ListParagraph"/>
        <w:numPr>
          <w:ilvl w:val="0"/>
          <w:numId w:val="2"/>
        </w:numPr>
        <w:spacing w:after="60" w:before="60"/>
        <w:jc w:val="both"/>
      </w:pPr>
      <w:r>
        <w:rPr>
          <w:rFonts w:ascii="Arial" w:cs="Arial" w:eastAsia="Arial" w:hAnsi="Arial"/>
          <w:b w:val="false"/>
          <w:bCs w:val="false"/>
          <w:sz w:val="22"/>
          <w:szCs w:val="22"/>
        </w:rPr>
        <w:t xml:space="preserve">Irregular, tortuous vessel architecture with high hydrostatic pressure</w:t>
      </w:r>
    </w:p>
    <w:p>
      <w:pPr>
        <w:pStyle w:val="ListParagraph"/>
        <w:numPr>
          <w:ilvl w:val="0"/>
          <w:numId w:val="2"/>
        </w:numPr>
        <w:spacing w:after="60" w:before="60"/>
        <w:jc w:val="both"/>
      </w:pPr>
      <w:r>
        <w:rPr>
          <w:rFonts w:ascii="Arial" w:cs="Arial" w:eastAsia="Arial" w:hAnsi="Arial"/>
          <w:b w:val="false"/>
          <w:bCs w:val="false"/>
          <w:sz w:val="22"/>
          <w:szCs w:val="22"/>
        </w:rPr>
        <w:t xml:space="preserve">Defective basement membrane with discontinuous pericyte coverage</w:t>
      </w:r>
    </w:p>
    <w:p>
      <w:pPr>
        <w:pStyle w:val="ListParagraph"/>
        <w:numPr>
          <w:ilvl w:val="0"/>
          <w:numId w:val="2"/>
        </w:numPr>
        <w:spacing w:after="60" w:before="60"/>
        <w:jc w:val="both"/>
      </w:pPr>
      <w:r>
        <w:rPr>
          <w:rFonts w:ascii="Arial" w:cs="Arial" w:eastAsia="Arial" w:hAnsi="Arial"/>
          <w:b w:val="false"/>
          <w:bCs w:val="false"/>
          <w:sz w:val="22"/>
          <w:szCs w:val="22"/>
        </w:rPr>
        <w:t xml:space="preserve">Absence of functional lymphatic drainage within the tumor core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Mechanistic Consequence — Why Nanoparticles Accumulate</w:t>
      </w:r>
    </w:p>
    <w:p>
      <w:pPr>
        <w:spacing w:after="80" w:before="80"/>
        <w:jc w:val="both"/>
      </w:pPr>
      <w:r>
        <w:rPr>
          <w:rFonts w:ascii="Arial" w:cs="Arial" w:eastAsia="Arial" w:hAnsi="Arial"/>
          <w:sz w:val="22"/>
          <w:szCs w:val="22"/>
        </w:rPr>
        <w:t xml:space="preserve">Nanoparticles in the size range of 50–200 nm exploit this vascular architecture in two ways:</w:t>
      </w:r>
    </w:p>
    <w:p>
      <w:pPr>
        <w:pStyle w:val="ListParagraph"/>
        <w:numPr>
          <w:ilvl w:val="0"/>
          <w:numId w:val="2"/>
        </w:numPr>
        <w:spacing w:after="60" w:before="60"/>
        <w:jc w:val="both"/>
      </w:pPr>
      <w:r>
        <w:rPr>
          <w:rFonts w:ascii="Arial" w:cs="Arial" w:eastAsia="Arial" w:hAnsi="Arial"/>
          <w:b w:val="false"/>
          <w:bCs w:val="false"/>
          <w:sz w:val="22"/>
          <w:szCs w:val="22"/>
        </w:rPr>
        <w:t xml:space="preserve">PERMEABILITY COMPONENT: The large inter-endothelial gaps (100–800 nm) allow nanoparticles to extravasate from the tumor vasculature into the tumor interstitium — a phenomenon that does not occur in normal tight endothelium.</w:t>
      </w:r>
    </w:p>
    <w:p>
      <w:pPr>
        <w:pStyle w:val="ListParagraph"/>
        <w:numPr>
          <w:ilvl w:val="0"/>
          <w:numId w:val="2"/>
        </w:numPr>
        <w:spacing w:after="60" w:before="60"/>
        <w:jc w:val="both"/>
      </w:pPr>
      <w:r>
        <w:rPr>
          <w:rFonts w:ascii="Arial" w:cs="Arial" w:eastAsia="Arial" w:hAnsi="Arial"/>
          <w:b w:val="false"/>
          <w:bCs w:val="false"/>
          <w:sz w:val="22"/>
          <w:szCs w:val="22"/>
        </w:rPr>
        <w:t xml:space="preserve">RETENTION COMPONENT: Once extravasated, nanoparticles are retained within the tumor interstitium because the absence of functional lymphatic drainage prevents their clearance. Small molecules diffuse back, but macromolecules and nanoparticles accumulate progressively.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5F9FF" w:val="clear"/>
            <w:tcMar>
              <w:top w:type="dxa" w:w="140"/>
              <w:left w:type="dxa" w:w="200"/>
              <w:bottom w:type="dxa" w:w="140"/>
              <w:right w:type="dxa" w:w="200"/>
            </w:tcMar>
          </w:tcPr>
          <w:p>
            <w:pPr>
              <w:spacing w:after="80" w:before="80"/>
              <w:jc w:val="center"/>
            </w:pPr>
            <w:r>
              <w:rPr>
                <w:rFonts w:ascii="Arial" w:cs="Arial" w:eastAsia="Arial" w:hAnsi="Arial"/>
                <w:b/>
                <w:bCs/>
                <w:color w:val="1F4E79"/>
                <w:sz w:val="22"/>
                <w:szCs w:val="22"/>
              </w:rPr>
              <w:t xml:space="preserve">DIAGRAM 1: EPR Effect — Mechanism of Passive Tumor Targeting</w:t>
            </w:r>
          </w:p>
          <w:p>
            <w:pPr>
              <w:spacing w:after="40" w:before="40"/>
              <w:jc w:val="center"/>
            </w:pPr>
            <w:r>
              <w:rPr>
                <w:rFonts w:ascii="Arial" w:cs="Arial" w:eastAsia="Arial" w:hAnsi="Arial"/>
                <w:sz w:val="21"/>
                <w:szCs w:val="21"/>
              </w:rPr>
              <w:t xml:space="preserve">NORMAL TISSUE:                    TUMOR TISSUE:</w:t>
            </w:r>
          </w:p>
          <w:p>
            <w:pPr>
              <w:spacing w:after="40" w:before="40"/>
              <w:jc w:val="center"/>
            </w:pPr>
            <w:r>
              <w:rPr>
                <w:rFonts w:ascii="Arial" w:cs="Arial" w:eastAsia="Arial" w:hAnsi="Arial"/>
                <w:sz w:val="21"/>
                <w:szCs w:val="21"/>
              </w:rPr>
              <w:t xml:space="preserve">Tight endothelium (5–7 nm gaps)   Leaky endothelium (100–800 nm gaps)</w:t>
            </w:r>
          </w:p>
          <w:p>
            <w:pPr>
              <w:spacing w:after="40" w:before="40"/>
              <w:jc w:val="center"/>
            </w:pPr>
            <w:r>
              <w:rPr>
                <w:rFonts w:ascii="Arial" w:cs="Arial" w:eastAsia="Arial" w:hAnsi="Arial"/>
                <w:sz w:val="21"/>
                <w:szCs w:val="21"/>
              </w:rPr>
              <w:t xml:space="preserve">Functional lymphatics present      Absent/non-functional lymphatics</w:t>
            </w:r>
          </w:p>
          <w:p>
            <w:pPr>
              <w:spacing w:after="40" w:before="40"/>
              <w:jc w:val="center"/>
            </w:pPr>
            <w:r>
              <w:rPr>
                <w:rFonts w:ascii="Arial" w:cs="Arial" w:eastAsia="Arial" w:hAnsi="Arial"/>
                <w:sz w:val="21"/>
                <w:szCs w:val="21"/>
              </w:rPr>
              <w:t xml:space="preserve">         ↓                                   ↓</w:t>
            </w:r>
          </w:p>
          <w:p>
            <w:pPr>
              <w:spacing w:after="40" w:before="40"/>
              <w:jc w:val="center"/>
            </w:pPr>
            <w:r>
              <w:rPr>
                <w:rFonts w:ascii="Arial" w:cs="Arial" w:eastAsia="Arial" w:hAnsi="Arial"/>
                <w:sz w:val="21"/>
                <w:szCs w:val="21"/>
              </w:rPr>
              <w:t xml:space="preserve">Nanoparticles EXCLUDED            Nanoparticles EXTRAVASATE</w:t>
            </w:r>
          </w:p>
          <w:p>
            <w:pPr>
              <w:spacing w:after="40" w:before="40"/>
              <w:jc w:val="center"/>
            </w:pPr>
            <w:r>
              <w:rPr>
                <w:rFonts w:ascii="Arial" w:cs="Arial" w:eastAsia="Arial" w:hAnsi="Arial"/>
                <w:sz w:val="21"/>
                <w:szCs w:val="21"/>
              </w:rPr>
              <w:t xml:space="preserve">         ↓                                   ↓</w:t>
            </w:r>
          </w:p>
          <w:p>
            <w:pPr>
              <w:spacing w:after="40" w:before="40"/>
              <w:jc w:val="center"/>
            </w:pPr>
            <w:r>
              <w:rPr>
                <w:rFonts w:ascii="Arial" w:cs="Arial" w:eastAsia="Arial" w:hAnsi="Arial"/>
                <w:sz w:val="21"/>
                <w:szCs w:val="21"/>
              </w:rPr>
              <w:t xml:space="preserve">Rapid systemic clearance          ACCUMULATE &amp; RETAINED in tumor</w:t>
            </w:r>
          </w:p>
          <w:p>
            <w:pPr>
              <w:spacing w:after="40" w:before="40"/>
              <w:jc w:val="center"/>
            </w:pPr>
            <w:r>
              <w:rPr>
                <w:rFonts w:ascii="Arial" w:cs="Arial" w:eastAsia="Arial" w:hAnsi="Arial"/>
                <w:sz w:val="21"/>
                <w:szCs w:val="21"/>
              </w:rPr>
              <w:t xml:space="preserve"/>
            </w:r>
          </w:p>
          <w:p>
            <w:pPr>
              <w:spacing w:after="40" w:before="40"/>
              <w:jc w:val="center"/>
            </w:pPr>
            <w:r>
              <w:rPr>
                <w:rFonts w:ascii="Arial" w:cs="Arial" w:eastAsia="Arial" w:hAnsi="Arial"/>
                <w:sz w:val="21"/>
                <w:szCs w:val="21"/>
              </w:rPr>
              <w:t xml:space="preserve">Net Result: 10–50× higher drug concentration in tumor vs. normal tissue</w:t>
            </w:r>
          </w:p>
          <w:p>
            <w:pPr>
              <w:spacing w:after="40" w:before="40"/>
              <w:jc w:val="center"/>
            </w:pPr>
            <w:r>
              <w:rPr>
                <w:rFonts w:ascii="Arial" w:cs="Arial" w:eastAsia="Arial" w:hAnsi="Arial"/>
                <w:sz w:val="21"/>
                <w:szCs w:val="21"/>
              </w:rPr>
              <w:t xml:space="preserve">(Matsumura &amp; Maeda, Cancer Research, 1986)</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3.3 Factors Governing EPR Efficacy</w:t>
      </w:r>
    </w:p>
    <w:p>
      <w:pPr>
        <w:spacing w:after="80" w:before="80"/>
        <w:jc w:val="both"/>
      </w:pPr>
      <w:r>
        <w:rPr>
          <w:rFonts w:ascii="Arial" w:cs="Arial" w:eastAsia="Arial" w:hAnsi="Arial"/>
          <w:sz w:val="22"/>
          <w:szCs w:val="22"/>
        </w:rPr>
        <w:t xml:space="preserve">The EPR effect is not uniform across all tumors. Its magnitude is governed by:</w:t>
      </w:r>
    </w:p>
    <w:p>
      <w:pPr>
        <w:pStyle w:val="ListParagraph"/>
        <w:numPr>
          <w:ilvl w:val="0"/>
          <w:numId w:val="2"/>
        </w:numPr>
        <w:spacing w:after="60" w:before="60"/>
        <w:jc w:val="both"/>
      </w:pPr>
      <w:r>
        <w:rPr>
          <w:rFonts w:ascii="Arial" w:cs="Arial" w:eastAsia="Arial" w:hAnsi="Arial"/>
          <w:b w:val="false"/>
          <w:bCs w:val="false"/>
          <w:sz w:val="22"/>
          <w:szCs w:val="22"/>
        </w:rPr>
        <w:t xml:space="preserve">Tumor type and vascularization density — highly vascularized tumors show stronger EPR</w:t>
      </w:r>
    </w:p>
    <w:p>
      <w:pPr>
        <w:pStyle w:val="ListParagraph"/>
        <w:numPr>
          <w:ilvl w:val="0"/>
          <w:numId w:val="2"/>
        </w:numPr>
        <w:spacing w:after="60" w:before="60"/>
        <w:jc w:val="both"/>
      </w:pPr>
      <w:r>
        <w:rPr>
          <w:rFonts w:ascii="Arial" w:cs="Arial" w:eastAsia="Arial" w:hAnsi="Arial"/>
          <w:b w:val="false"/>
          <w:bCs w:val="false"/>
          <w:sz w:val="22"/>
          <w:szCs w:val="22"/>
        </w:rPr>
        <w:t xml:space="preserve">Tumor size — larger tumors (&gt;1 cm³) show more pronounced EPR effect</w:t>
      </w:r>
    </w:p>
    <w:p>
      <w:pPr>
        <w:pStyle w:val="ListParagraph"/>
        <w:numPr>
          <w:ilvl w:val="0"/>
          <w:numId w:val="2"/>
        </w:numPr>
        <w:spacing w:after="60" w:before="60"/>
        <w:jc w:val="both"/>
      </w:pPr>
      <w:r>
        <w:rPr>
          <w:rFonts w:ascii="Arial" w:cs="Arial" w:eastAsia="Arial" w:hAnsi="Arial"/>
          <w:b w:val="false"/>
          <w:bCs w:val="false"/>
          <w:sz w:val="22"/>
          <w:szCs w:val="22"/>
        </w:rPr>
        <w:t xml:space="preserve">Nanoparticle size — optimal range is 50–200 nm; &lt;8 nm particles are renally cleared; &gt;500 nm particles are cleared by MPS</w:t>
      </w:r>
    </w:p>
    <w:p>
      <w:pPr>
        <w:pStyle w:val="ListParagraph"/>
        <w:numPr>
          <w:ilvl w:val="0"/>
          <w:numId w:val="2"/>
        </w:numPr>
        <w:spacing w:after="60" w:before="60"/>
        <w:jc w:val="both"/>
      </w:pPr>
      <w:r>
        <w:rPr>
          <w:rFonts w:ascii="Arial" w:cs="Arial" w:eastAsia="Arial" w:hAnsi="Arial"/>
          <w:b w:val="false"/>
          <w:bCs w:val="false"/>
          <w:sz w:val="22"/>
          <w:szCs w:val="22"/>
        </w:rPr>
        <w:t xml:space="preserve">Surface PEGylation — prolongs circulation half-life, allowing more extravasation opportunities</w:t>
      </w:r>
    </w:p>
    <w:p>
      <w:pPr>
        <w:pStyle w:val="ListParagraph"/>
        <w:numPr>
          <w:ilvl w:val="0"/>
          <w:numId w:val="2"/>
        </w:numPr>
        <w:spacing w:after="60" w:before="60"/>
        <w:jc w:val="both"/>
      </w:pPr>
      <w:r>
        <w:rPr>
          <w:rFonts w:ascii="Arial" w:cs="Arial" w:eastAsia="Arial" w:hAnsi="Arial"/>
          <w:b w:val="false"/>
          <w:bCs w:val="false"/>
          <w:sz w:val="22"/>
          <w:szCs w:val="22"/>
        </w:rPr>
        <w:t xml:space="preserve">Interstitial pressure — high interstitial fluid pressure in some tumors can impede extravasation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Critical Limitation (Examiner Expects This): </w:t>
            </w:r>
            <w:r>
              <w:rPr>
                <w:rFonts w:ascii="Arial" w:cs="Arial" w:eastAsia="Arial" w:hAnsi="Arial"/>
                <w:sz w:val="22"/>
                <w:szCs w:val="22"/>
              </w:rPr>
              <w:t xml:space="preserve">The EPR effect is heterogeneous. Solid tumors with dense stroma (e.g., pancreatic cancer, desmoplastic breast cancer) have compressed vasculature and high interstitial pressure that actually impede nanoparticle extravasation. This explains why EPR-based strategies that work in animal models often fail in human clinical trials — mouse tumors are predominantly EPR-responsive while human solid tumors are not uniformly so. This translational gap is a major unsolved challenge in nanomedicine.</w:t>
            </w:r>
          </w:p>
        </w:tc>
      </w:tr>
    </w:tbl>
    <w:p>
      <w:pPr>
        <w:spacing w:after="60" w:before="60"/>
      </w:pPr>
      <w:r>
        <w:t xml:space="preserve"/>
      </w:r>
    </w:p>
    <w:p>
      <w:pPr>
        <w:pStyle w:val="Heading1"/>
        <w:spacing w:after="160" w:before="320"/>
      </w:pPr>
      <w:r>
        <w:rPr>
          <w:rFonts w:ascii="Arial" w:cs="Arial" w:eastAsia="Arial" w:hAnsi="Arial"/>
          <w:b/>
          <w:bCs/>
          <w:color w:val="1F4E79"/>
          <w:sz w:val="30"/>
          <w:szCs w:val="30"/>
        </w:rPr>
        <w:t xml:space="preserve">4. Biological Events Involved in Drug Targeting — A Sequential Analysis</w:t>
      </w:r>
    </w:p>
    <w:p>
      <w:pPr>
        <w:spacing w:after="80" w:before="80"/>
        <w:jc w:val="both"/>
      </w:pPr>
      <w:r>
        <w:rPr>
          <w:rFonts w:ascii="Arial" w:cs="Arial" w:eastAsia="Arial" w:hAnsi="Arial"/>
          <w:sz w:val="22"/>
          <w:szCs w:val="22"/>
        </w:rPr>
        <w:t xml:space="preserve">Drug targeting is not a single event but a cascade of sequential biological events. Failure at any step compromises the entire targeting strategy. Understanding each event and its governing biological principles is what separates a pharmaceutical scientist from a formulator.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4.1 Event 1: Systemic Circulation and Avoiding Premature Clearance</w:t>
      </w:r>
    </w:p>
    <w:p>
      <w:pPr>
        <w:spacing w:after="80" w:before="80"/>
        <w:jc w:val="both"/>
      </w:pPr>
      <w:r>
        <w:rPr>
          <w:rFonts w:ascii="Arial" w:cs="Arial" w:eastAsia="Arial" w:hAnsi="Arial"/>
          <w:sz w:val="22"/>
          <w:szCs w:val="22"/>
        </w:rPr>
        <w:t xml:space="preserve">Upon intravenous administration, the first biological challenge a targeted carrier faces is survival in systemic circulation. Three major clearance mechanisms act immediately:</w:t>
      </w:r>
    </w:p>
    <w:p>
      <w:pPr>
        <w:spacing w:after="60" w:before="60"/>
      </w:pPr>
      <w:r>
        <w:t xml:space="preserve"/>
      </w:r>
    </w:p>
    <w:p>
      <w:pPr>
        <w:pStyle w:val="ListParagraph"/>
        <w:numPr>
          <w:ilvl w:val="0"/>
          <w:numId w:val="2"/>
        </w:numPr>
        <w:spacing w:after="60" w:before="60"/>
        <w:jc w:val="both"/>
      </w:pPr>
      <w:r>
        <w:rPr>
          <w:rFonts w:ascii="Arial" w:cs="Arial" w:eastAsia="Arial" w:hAnsi="Arial"/>
          <w:b w:val="false"/>
          <w:bCs w:val="false"/>
          <w:sz w:val="22"/>
          <w:szCs w:val="22"/>
        </w:rPr>
        <w:t xml:space="preserve">OPSONIZATION: Plasma proteins — primarily complement proteins (C3b, C4b), fibronectin, immunoglobulins, and serum albumin — adsorb onto the nanoparticle surface. This protein corona marks the carrier as 'foreign' and flags it for phagocytic clearance by macrophages of the Mononuclear Phagocyte System (MPS), also known as the Reticuloendothelial System (RES), concentrated in the liver (Kupffer cells) and spleen.</w:t>
      </w:r>
    </w:p>
    <w:p>
      <w:pPr>
        <w:pStyle w:val="ListParagraph"/>
        <w:numPr>
          <w:ilvl w:val="0"/>
          <w:numId w:val="2"/>
        </w:numPr>
        <w:spacing w:after="60" w:before="60"/>
        <w:jc w:val="both"/>
      </w:pPr>
      <w:r>
        <w:rPr>
          <w:rFonts w:ascii="Arial" w:cs="Arial" w:eastAsia="Arial" w:hAnsi="Arial"/>
          <w:b w:val="false"/>
          <w:bCs w:val="false"/>
          <w:sz w:val="22"/>
          <w:szCs w:val="22"/>
        </w:rPr>
        <w:t xml:space="preserve">RENAL FILTRATION: Particles or macromolecules with hydrodynamic diameter &lt;8 nm are filtered by the glomerular basement membrane and eliminated renally, reducing the circulating dose available for targeting.</w:t>
      </w:r>
    </w:p>
    <w:p>
      <w:pPr>
        <w:pStyle w:val="ListParagraph"/>
        <w:numPr>
          <w:ilvl w:val="0"/>
          <w:numId w:val="2"/>
        </w:numPr>
        <w:spacing w:after="60" w:before="60"/>
        <w:jc w:val="both"/>
      </w:pPr>
      <w:r>
        <w:rPr>
          <w:rFonts w:ascii="Arial" w:cs="Arial" w:eastAsia="Arial" w:hAnsi="Arial"/>
          <w:b w:val="false"/>
          <w:bCs w:val="false"/>
          <w:sz w:val="22"/>
          <w:szCs w:val="22"/>
        </w:rPr>
        <w:t xml:space="preserve">PROTEIN ADSORPTION AND AGGREGATION: Non-specific protein binding can alter particle size, surface charge, and targeting ligand accessibility — compromising specificity before the carrier even reaches the target site.</w:t>
      </w:r>
    </w:p>
    <w:p>
      <w:pPr>
        <w:spacing w:after="60" w:before="60"/>
      </w:pPr>
      <w:r>
        <w:t xml:space="preserve"/>
      </w:r>
    </w:p>
    <w:p>
      <w:pPr>
        <w:spacing w:after="80" w:before="80"/>
        <w:jc w:val="both"/>
      </w:pPr>
      <w:r>
        <w:rPr>
          <w:rFonts w:ascii="Arial" w:cs="Arial" w:eastAsia="Arial" w:hAnsi="Arial"/>
          <w:sz w:val="22"/>
          <w:szCs w:val="22"/>
        </w:rPr>
        <w:t xml:space="preserve">Solution — Stealth Technology (PEGylation): Surface modification with polyethylene glycol (PEG) chains creates a hydrophilic, sterically repulsive brush layer that physically prevents opsonin adsorption. PEGylated nanoparticles — often called 'stealth' carriers — demonstrate dramatically extended circulation half-lives (from minutes to 20–40 hours), creating a prolonged window for EPR-mediated tumor accumulation. Doxil® (PEGylated liposomal doxorubicin) is the clinical proof-of-concept of this principle.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5F9FF" w:val="clear"/>
            <w:tcMar>
              <w:top w:type="dxa" w:w="140"/>
              <w:left w:type="dxa" w:w="200"/>
              <w:bottom w:type="dxa" w:w="140"/>
              <w:right w:type="dxa" w:w="200"/>
            </w:tcMar>
          </w:tcPr>
          <w:p>
            <w:pPr>
              <w:spacing w:after="80" w:before="80"/>
              <w:jc w:val="center"/>
            </w:pPr>
            <w:r>
              <w:rPr>
                <w:rFonts w:ascii="Arial" w:cs="Arial" w:eastAsia="Arial" w:hAnsi="Arial"/>
                <w:b/>
                <w:bCs/>
                <w:color w:val="1F4E79"/>
                <w:sz w:val="22"/>
                <w:szCs w:val="22"/>
              </w:rPr>
              <w:t xml:space="preserve">DIAGRAM 2: Stealth Technology — PEGylation Mechanism</w:t>
            </w:r>
          </w:p>
          <w:p>
            <w:pPr>
              <w:spacing w:after="40" w:before="40"/>
              <w:jc w:val="center"/>
            </w:pPr>
            <w:r>
              <w:rPr>
                <w:rFonts w:ascii="Arial" w:cs="Arial" w:eastAsia="Arial" w:hAnsi="Arial"/>
                <w:sz w:val="21"/>
                <w:szCs w:val="21"/>
              </w:rPr>
              <w:t xml:space="preserve">NON-PEGylated Nanoparticle:       PEGylated Nanoparticle (Stealth):</w:t>
            </w:r>
          </w:p>
          <w:p>
            <w:pPr>
              <w:spacing w:after="40" w:before="40"/>
              <w:jc w:val="center"/>
            </w:pPr>
            <w:r>
              <w:rPr>
                <w:rFonts w:ascii="Arial" w:cs="Arial" w:eastAsia="Arial" w:hAnsi="Arial"/>
                <w:sz w:val="21"/>
                <w:szCs w:val="21"/>
              </w:rPr>
              <w:t xml:space="preserve">Surface exposed hydrophobic        PEG chains create hydrophilic</w:t>
            </w:r>
          </w:p>
          <w:p>
            <w:pPr>
              <w:spacing w:after="40" w:before="40"/>
              <w:jc w:val="center"/>
            </w:pPr>
            <w:r>
              <w:rPr>
                <w:rFonts w:ascii="Arial" w:cs="Arial" w:eastAsia="Arial" w:hAnsi="Arial"/>
                <w:sz w:val="21"/>
                <w:szCs w:val="21"/>
              </w:rPr>
              <w:t xml:space="preserve">groups attract opsonins            brush layer → steric repulsion</w:t>
            </w:r>
          </w:p>
          <w:p>
            <w:pPr>
              <w:spacing w:after="40" w:before="40"/>
              <w:jc w:val="center"/>
            </w:pPr>
            <w:r>
              <w:rPr>
                <w:rFonts w:ascii="Arial" w:cs="Arial" w:eastAsia="Arial" w:hAnsi="Arial"/>
                <w:sz w:val="21"/>
                <w:szCs w:val="21"/>
              </w:rPr>
              <w:t xml:space="preserve">     ↓                                      ↓</w:t>
            </w:r>
          </w:p>
          <w:p>
            <w:pPr>
              <w:spacing w:after="40" w:before="40"/>
              <w:jc w:val="center"/>
            </w:pPr>
            <w:r>
              <w:rPr>
                <w:rFonts w:ascii="Arial" w:cs="Arial" w:eastAsia="Arial" w:hAnsi="Arial"/>
                <w:sz w:val="21"/>
                <w:szCs w:val="21"/>
              </w:rPr>
              <w:t xml:space="preserve">Opsonin coating                    Opsonin adsorption BLOCKED</w:t>
            </w:r>
          </w:p>
          <w:p>
            <w:pPr>
              <w:spacing w:after="40" w:before="40"/>
              <w:jc w:val="center"/>
            </w:pPr>
            <w:r>
              <w:rPr>
                <w:rFonts w:ascii="Arial" w:cs="Arial" w:eastAsia="Arial" w:hAnsi="Arial"/>
                <w:sz w:val="21"/>
                <w:szCs w:val="21"/>
              </w:rPr>
              <w:t xml:space="preserve">     ↓                                      ↓</w:t>
            </w:r>
          </w:p>
          <w:p>
            <w:pPr>
              <w:spacing w:after="40" w:before="40"/>
              <w:jc w:val="center"/>
            </w:pPr>
            <w:r>
              <w:rPr>
                <w:rFonts w:ascii="Arial" w:cs="Arial" w:eastAsia="Arial" w:hAnsi="Arial"/>
                <w:sz w:val="21"/>
                <w:szCs w:val="21"/>
              </w:rPr>
              <w:t xml:space="preserve">MPS recognition &amp; phagocytosis     Long circulation (t½ = 20–40 hrs)</w:t>
            </w:r>
          </w:p>
          <w:p>
            <w:pPr>
              <w:spacing w:after="40" w:before="40"/>
              <w:jc w:val="center"/>
            </w:pPr>
            <w:r>
              <w:rPr>
                <w:rFonts w:ascii="Arial" w:cs="Arial" w:eastAsia="Arial" w:hAnsi="Arial"/>
                <w:sz w:val="21"/>
                <w:szCs w:val="21"/>
              </w:rPr>
              <w:t xml:space="preserve">     ↓                                      ↓</w:t>
            </w:r>
          </w:p>
          <w:p>
            <w:pPr>
              <w:spacing w:after="40" w:before="40"/>
              <w:jc w:val="center"/>
            </w:pPr>
            <w:r>
              <w:rPr>
                <w:rFonts w:ascii="Arial" w:cs="Arial" w:eastAsia="Arial" w:hAnsi="Arial"/>
                <w:sz w:val="21"/>
                <w:szCs w:val="21"/>
              </w:rPr>
              <w:t xml:space="preserve">t½ = minutes                       Enhanced EPR-mediated accumulation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4.2 Event 2: Vascular Transport and Extravasation</w:t>
      </w:r>
    </w:p>
    <w:p>
      <w:pPr>
        <w:spacing w:after="80" w:before="80"/>
        <w:jc w:val="both"/>
      </w:pPr>
      <w:r>
        <w:rPr>
          <w:rFonts w:ascii="Arial" w:cs="Arial" w:eastAsia="Arial" w:hAnsi="Arial"/>
          <w:sz w:val="22"/>
          <w:szCs w:val="22"/>
        </w:rPr>
        <w:t xml:space="preserve">After evading systemic clearance, the targeted carrier must traverse the vasculature and extravasate at the target site. This step is governed by:</w:t>
      </w:r>
    </w:p>
    <w:p>
      <w:pPr>
        <w:pStyle w:val="ListParagraph"/>
        <w:numPr>
          <w:ilvl w:val="0"/>
          <w:numId w:val="2"/>
        </w:numPr>
        <w:spacing w:after="60" w:before="60"/>
        <w:jc w:val="both"/>
      </w:pPr>
      <w:r>
        <w:rPr>
          <w:rFonts w:ascii="Arial" w:cs="Arial" w:eastAsia="Arial" w:hAnsi="Arial"/>
          <w:b w:val="false"/>
          <w:bCs w:val="false"/>
          <w:sz w:val="22"/>
          <w:szCs w:val="22"/>
        </w:rPr>
        <w:t xml:space="preserve">Hemodynamic forces — blood flow velocity and shear stress influence the probability of particle–endothelial contact, particularly in high-shear arterial environments vs. low-shear venous/capillary beds</w:t>
      </w:r>
    </w:p>
    <w:p>
      <w:pPr>
        <w:pStyle w:val="ListParagraph"/>
        <w:numPr>
          <w:ilvl w:val="0"/>
          <w:numId w:val="2"/>
        </w:numPr>
        <w:spacing w:after="60" w:before="60"/>
        <w:jc w:val="both"/>
      </w:pPr>
      <w:r>
        <w:rPr>
          <w:rFonts w:ascii="Arial" w:cs="Arial" w:eastAsia="Arial" w:hAnsi="Arial"/>
          <w:b w:val="false"/>
          <w:bCs w:val="false"/>
          <w:sz w:val="22"/>
          <w:szCs w:val="22"/>
        </w:rPr>
        <w:t xml:space="preserve">Particle size and geometry — spherical particles of 100–200 nm show optimal extravasation through fenestrated tumor endothelium; rod-shaped particles show higher circulation times due to reduced MPS uptake</w:t>
      </w:r>
    </w:p>
    <w:p>
      <w:pPr>
        <w:pStyle w:val="ListParagraph"/>
        <w:numPr>
          <w:ilvl w:val="0"/>
          <w:numId w:val="2"/>
        </w:numPr>
        <w:spacing w:after="60" w:before="60"/>
        <w:jc w:val="both"/>
      </w:pPr>
      <w:r>
        <w:rPr>
          <w:rFonts w:ascii="Arial" w:cs="Arial" w:eastAsia="Arial" w:hAnsi="Arial"/>
          <w:b w:val="false"/>
          <w:bCs w:val="false"/>
          <w:sz w:val="22"/>
          <w:szCs w:val="22"/>
        </w:rPr>
        <w:t xml:space="preserve">Endothelial barrier permeability — normal BBB has 4–6 nm tight junctions; tumor vasculature has 100–800 nm fenestrations; both must be understood to design organ-appropriate carriers</w:t>
      </w:r>
    </w:p>
    <w:p>
      <w:pPr>
        <w:pStyle w:val="ListParagraph"/>
        <w:numPr>
          <w:ilvl w:val="0"/>
          <w:numId w:val="2"/>
        </w:numPr>
        <w:spacing w:after="60" w:before="60"/>
        <w:jc w:val="both"/>
      </w:pPr>
      <w:r>
        <w:rPr>
          <w:rFonts w:ascii="Arial" w:cs="Arial" w:eastAsia="Arial" w:hAnsi="Arial"/>
          <w:b w:val="false"/>
          <w:bCs w:val="false"/>
          <w:sz w:val="22"/>
          <w:szCs w:val="22"/>
        </w:rPr>
        <w:t xml:space="preserve">Margination — in post-capillary venules where blood flow slows, nanoparticles marginate toward vessel walls, increasing the probability of endothelial interaction and ligand-receptor binding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Event 3: Target Site Recognition — Receptor-Ligand Interaction</w:t>
      </w:r>
    </w:p>
    <w:p>
      <w:pPr>
        <w:spacing w:after="80" w:before="80"/>
        <w:jc w:val="both"/>
      </w:pPr>
      <w:r>
        <w:rPr>
          <w:rFonts w:ascii="Arial" w:cs="Arial" w:eastAsia="Arial" w:hAnsi="Arial"/>
          <w:sz w:val="22"/>
          <w:szCs w:val="22"/>
        </w:rPr>
        <w:t xml:space="preserve">Active targeting exploits the overexpression of specific surface receptors on diseased cells. The recognition event requires molecular complementarity between the targeting ligand on the carrier surface and its cognate receptor on the target cell. Key biological principles governing this event: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Targeting Ligand</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Target Receptor</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Disease / Cell Type</w:t>
            </w:r>
          </w:p>
        </w:tc>
        <w:tc>
          <w:tcPr>
            <w:tcW w:type="dxa" w:w="3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Biological Basis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Folate (Folic acid)</w:t>
            </w:r>
          </w:p>
        </w:tc>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Folate receptor-α (FR-α)</w:t>
            </w:r>
          </w:p>
        </w:tc>
        <w:tc>
          <w:tcPr>
            <w:tcW w:type="dxa" w:w="2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Ovarian, breast, lung cancer</w:t>
            </w:r>
          </w:p>
        </w:tc>
        <w:tc>
          <w:tcPr>
            <w:tcW w:type="dxa" w:w="31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FR-α overexpressed 100–300× on cancer cells vs. normal epithelium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Transferrin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Transferrin receptor (TfR/CD71)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Brain tumors; BBB crossing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TfR overexpressed on brain capillary endothelium and proliferating cancer cells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Galactose / Lactose</w:t>
            </w:r>
          </w:p>
        </w:tc>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Asialoglycoprotein receptor (ASGPR)</w:t>
            </w:r>
          </w:p>
        </w:tc>
        <w:tc>
          <w:tcPr>
            <w:tcW w:type="dxa" w:w="2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Hepatocyte targeting</w:t>
            </w:r>
          </w:p>
        </w:tc>
        <w:tc>
          <w:tcPr>
            <w:tcW w:type="dxa" w:w="31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ASGPR exclusively expressed on hepatocytes (~500,000/cell)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RGD peptide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Integrin αvβ3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Tumor neovasculature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Integrin αvβ3 overexpressed on angiogenic endothelial cells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Monoclonal antibody</w:t>
            </w:r>
          </w:p>
        </w:tc>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HER2/neu, EGFR, CD20</w:t>
            </w:r>
          </w:p>
        </w:tc>
        <w:tc>
          <w:tcPr>
            <w:tcW w:type="dxa" w:w="20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Breast cancer, lymphoma</w:t>
            </w:r>
          </w:p>
        </w:tc>
        <w:tc>
          <w:tcPr>
            <w:tcW w:type="dxa" w:w="31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Tumor-specific antigen expression provides immunological selectivity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Aptamers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PSMA, Nucleolin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Prostate cancer, various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High-affinity RNA/DNA oligonucleotides with antibody-like selectivity</w:t>
            </w:r>
          </w:p>
        </w:tc>
      </w:tr>
    </w:tbl>
    <w:p>
      <w:pPr>
        <w:spacing w:after="60" w:before="60"/>
      </w:pPr>
      <w:r>
        <w:t xml:space="preserve"/>
      </w:r>
    </w:p>
    <w:p>
      <w:pPr>
        <w:spacing w:after="80" w:before="80"/>
        <w:jc w:val="both"/>
      </w:pPr>
      <w:r>
        <w:rPr>
          <w:rFonts w:ascii="Arial" w:cs="Arial" w:eastAsia="Arial" w:hAnsi="Arial"/>
          <w:sz w:val="22"/>
          <w:szCs w:val="22"/>
        </w:rPr>
        <w:t xml:space="preserve">The affinity and specificity of the ligand-receptor interaction is quantified by the dissociation constant (Kd). Targeting ligands with Kd in the nanomolar (nM) to picomolar (pM) range (monoclonal antibodies: Kd ~10⁻⁹–10⁻¹¹ M; aptamers: Kd ~10⁻⁹–10⁻¹² M) provide strong, selective binding that drives preferential cellular uptake at the target site.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4.4 Event 4: Cellular Internalization — Endocytic Pathways</w:t>
      </w:r>
    </w:p>
    <w:p>
      <w:pPr>
        <w:spacing w:after="80" w:before="80"/>
        <w:jc w:val="both"/>
      </w:pPr>
      <w:r>
        <w:rPr>
          <w:rFonts w:ascii="Arial" w:cs="Arial" w:eastAsia="Arial" w:hAnsi="Arial"/>
          <w:sz w:val="22"/>
          <w:szCs w:val="22"/>
        </w:rPr>
        <w:t xml:space="preserve">Receptor-mediated endocytosis is the primary mechanism by which targeted nanocarriers are internalized following receptor binding. This is not a passive process — it is an active, ATP-dependent biological event involving cytoskeletal reorganization and membrane dynamics. The major endocytic pathways include:</w:t>
      </w:r>
    </w:p>
    <w:p>
      <w:pPr>
        <w:spacing w:after="60" w:before="60"/>
      </w:pPr>
      <w:r>
        <w:t xml:space="preserve"/>
      </w:r>
    </w:p>
    <w:p>
      <w:pPr>
        <w:pStyle w:val="ListParagraph"/>
        <w:numPr>
          <w:ilvl w:val="0"/>
          <w:numId w:val="2"/>
        </w:numPr>
        <w:spacing w:after="60" w:before="60"/>
        <w:jc w:val="both"/>
      </w:pPr>
      <w:r>
        <w:rPr>
          <w:rFonts w:ascii="Arial" w:cs="Arial" w:eastAsia="Arial" w:hAnsi="Arial"/>
          <w:b w:val="false"/>
          <w:bCs w:val="false"/>
          <w:sz w:val="22"/>
          <w:szCs w:val="22"/>
        </w:rPr>
        <w:t xml:space="preserve">CLATHRIN-MEDIATED ENDOCYTOSIS (CME): The predominant pathway for receptor-mediated uptake. Ligand-receptor complexes cluster in clathrin-coated pits (~150 nm), which invaginate and pinch off as clathrin-coated vesicles. These mature into early endosomes → late endosomes → lysosomes. This is the pathway exploited by transferrin receptor and folate receptor targeting.</w:t>
      </w:r>
    </w:p>
    <w:p>
      <w:pPr>
        <w:pStyle w:val="ListParagraph"/>
        <w:numPr>
          <w:ilvl w:val="0"/>
          <w:numId w:val="2"/>
        </w:numPr>
        <w:spacing w:after="60" w:before="60"/>
        <w:jc w:val="both"/>
      </w:pPr>
      <w:r>
        <w:rPr>
          <w:rFonts w:ascii="Arial" w:cs="Arial" w:eastAsia="Arial" w:hAnsi="Arial"/>
          <w:b w:val="false"/>
          <w:bCs w:val="false"/>
          <w:sz w:val="22"/>
          <w:szCs w:val="22"/>
        </w:rPr>
        <w:t xml:space="preserve">CAVEOLAE-MEDIATED ENDOCYTOSIS: Caveolae are flask-shaped, lipid raft-derived membrane invaginations (50–100 nm) rich in caveolin-1 protein. This pathway bypasses lysosomal degradation, making it highly desirable for delivery of acid-labile drugs or nucleic acids. Albumin transcytosis across the BBB uses this pathway.</w:t>
      </w:r>
    </w:p>
    <w:p>
      <w:pPr>
        <w:pStyle w:val="ListParagraph"/>
        <w:numPr>
          <w:ilvl w:val="0"/>
          <w:numId w:val="2"/>
        </w:numPr>
        <w:spacing w:after="60" w:before="60"/>
        <w:jc w:val="both"/>
      </w:pPr>
      <w:r>
        <w:rPr>
          <w:rFonts w:ascii="Arial" w:cs="Arial" w:eastAsia="Arial" w:hAnsi="Arial"/>
          <w:b w:val="false"/>
          <w:bCs w:val="false"/>
          <w:sz w:val="22"/>
          <w:szCs w:val="22"/>
        </w:rPr>
        <w:t xml:space="preserve">MACROPINOCYTOSIS: Non-specific, actin-driven membrane ruffling that engulfs large volumes of extracellular fluid and particles (&gt;1 μm). Exploited by some bacteria and viruses; relevant for immune cell targeting.</w:t>
      </w:r>
    </w:p>
    <w:p>
      <w:pPr>
        <w:pStyle w:val="ListParagraph"/>
        <w:numPr>
          <w:ilvl w:val="0"/>
          <w:numId w:val="2"/>
        </w:numPr>
        <w:spacing w:after="60" w:before="60"/>
        <w:jc w:val="both"/>
      </w:pPr>
      <w:r>
        <w:rPr>
          <w:rFonts w:ascii="Arial" w:cs="Arial" w:eastAsia="Arial" w:hAnsi="Arial"/>
          <w:b w:val="false"/>
          <w:bCs w:val="false"/>
          <w:sz w:val="22"/>
          <w:szCs w:val="22"/>
        </w:rPr>
        <w:t xml:space="preserve">PHAGOCYTOSIS: Restricted to professional phagocytes (macrophages, dendritic cells, neutrophils). Large particles (&gt;500 nm) or opsonized particles are preferentially phagocytosed — relevant for MPS-targeted delivery strategies.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5F9FF" w:val="clear"/>
            <w:tcMar>
              <w:top w:type="dxa" w:w="140"/>
              <w:left w:type="dxa" w:w="200"/>
              <w:bottom w:type="dxa" w:w="140"/>
              <w:right w:type="dxa" w:w="200"/>
            </w:tcMar>
          </w:tcPr>
          <w:p>
            <w:pPr>
              <w:spacing w:after="80" w:before="80"/>
              <w:jc w:val="center"/>
            </w:pPr>
            <w:r>
              <w:rPr>
                <w:rFonts w:ascii="Arial" w:cs="Arial" w:eastAsia="Arial" w:hAnsi="Arial"/>
                <w:b/>
                <w:bCs/>
                <w:color w:val="1F4E79"/>
                <w:sz w:val="22"/>
                <w:szCs w:val="22"/>
              </w:rPr>
              <w:t xml:space="preserve">DIAGRAM 3: Receptor-Mediated Endocytosis and Intracellular Trafficking</w:t>
            </w:r>
          </w:p>
          <w:p>
            <w:pPr>
              <w:spacing w:after="40" w:before="40"/>
              <w:jc w:val="center"/>
            </w:pPr>
            <w:r>
              <w:rPr>
                <w:rFonts w:ascii="Arial" w:cs="Arial" w:eastAsia="Arial" w:hAnsi="Arial"/>
                <w:sz w:val="21"/>
                <w:szCs w:val="21"/>
              </w:rPr>
              <w:t xml:space="preserve">Targeted Nanocarrier</w:t>
            </w:r>
          </w:p>
          <w:p>
            <w:pPr>
              <w:spacing w:after="40" w:before="40"/>
              <w:jc w:val="center"/>
            </w:pPr>
            <w:r>
              <w:rPr>
                <w:rFonts w:ascii="Arial" w:cs="Arial" w:eastAsia="Arial" w:hAnsi="Arial"/>
                <w:sz w:val="21"/>
                <w:szCs w:val="21"/>
              </w:rPr>
              <w:t xml:space="preserve">    ↓ (Ligand-Receptor Binding)</w:t>
            </w:r>
          </w:p>
          <w:p>
            <w:pPr>
              <w:spacing w:after="40" w:before="40"/>
              <w:jc w:val="center"/>
            </w:pPr>
            <w:r>
              <w:rPr>
                <w:rFonts w:ascii="Arial" w:cs="Arial" w:eastAsia="Arial" w:hAnsi="Arial"/>
                <w:sz w:val="21"/>
                <w:szCs w:val="21"/>
              </w:rPr>
              <w:t xml:space="preserve">Receptor Clustering in Clathrin-Coated Pit</w:t>
            </w:r>
          </w:p>
          <w:p>
            <w:pPr>
              <w:spacing w:after="40" w:before="40"/>
              <w:jc w:val="center"/>
            </w:pPr>
            <w:r>
              <w:rPr>
                <w:rFonts w:ascii="Arial" w:cs="Arial" w:eastAsia="Arial" w:hAnsi="Arial"/>
                <w:sz w:val="21"/>
                <w:szCs w:val="21"/>
              </w:rPr>
              <w:t xml:space="preserve">    ↓ (Membrane Invagination)</w:t>
            </w:r>
          </w:p>
          <w:p>
            <w:pPr>
              <w:spacing w:after="40" w:before="40"/>
              <w:jc w:val="center"/>
            </w:pPr>
            <w:r>
              <w:rPr>
                <w:rFonts w:ascii="Arial" w:cs="Arial" w:eastAsia="Arial" w:hAnsi="Arial"/>
                <w:sz w:val="21"/>
                <w:szCs w:val="21"/>
              </w:rPr>
              <w:t xml:space="preserve">Clathrin-Coated Vesicle Formation</w:t>
            </w:r>
          </w:p>
          <w:p>
            <w:pPr>
              <w:spacing w:after="40" w:before="40"/>
              <w:jc w:val="center"/>
            </w:pPr>
            <w:r>
              <w:rPr>
                <w:rFonts w:ascii="Arial" w:cs="Arial" w:eastAsia="Arial" w:hAnsi="Arial"/>
                <w:sz w:val="21"/>
                <w:szCs w:val="21"/>
              </w:rPr>
              <w:t xml:space="preserve">    ↓ (Dynamin-mediated fission)</w:t>
            </w:r>
          </w:p>
          <w:p>
            <w:pPr>
              <w:spacing w:after="40" w:before="40"/>
              <w:jc w:val="center"/>
            </w:pPr>
            <w:r>
              <w:rPr>
                <w:rFonts w:ascii="Arial" w:cs="Arial" w:eastAsia="Arial" w:hAnsi="Arial"/>
                <w:sz w:val="21"/>
                <w:szCs w:val="21"/>
              </w:rPr>
              <w:t xml:space="preserve">Early Endosome (pH 6.0–6.5)</w:t>
            </w:r>
          </w:p>
          <w:p>
            <w:pPr>
              <w:spacing w:after="40" w:before="40"/>
              <w:jc w:val="center"/>
            </w:pPr>
            <w:r>
              <w:rPr>
                <w:rFonts w:ascii="Arial" w:cs="Arial" w:eastAsia="Arial" w:hAnsi="Arial"/>
                <w:sz w:val="21"/>
                <w:szCs w:val="21"/>
              </w:rPr>
              <w:t xml:space="preserve">    ↓ (Acidification)</w:t>
            </w:r>
          </w:p>
          <w:p>
            <w:pPr>
              <w:spacing w:after="40" w:before="40"/>
              <w:jc w:val="center"/>
            </w:pPr>
            <w:r>
              <w:rPr>
                <w:rFonts w:ascii="Arial" w:cs="Arial" w:eastAsia="Arial" w:hAnsi="Arial"/>
                <w:sz w:val="21"/>
                <w:szCs w:val="21"/>
              </w:rPr>
              <w:t xml:space="preserve">Late Endosome / Multivesicular Body (pH 5.0–5.5)</w:t>
            </w:r>
          </w:p>
          <w:p>
            <w:pPr>
              <w:spacing w:after="40" w:before="40"/>
              <w:jc w:val="center"/>
            </w:pPr>
            <w:r>
              <w:rPr>
                <w:rFonts w:ascii="Arial" w:cs="Arial" w:eastAsia="Arial" w:hAnsi="Arial"/>
                <w:sz w:val="21"/>
                <w:szCs w:val="21"/>
              </w:rPr>
              <w:t xml:space="preserve">    ↓</w:t>
            </w:r>
          </w:p>
          <w:p>
            <w:pPr>
              <w:spacing w:after="40" w:before="40"/>
              <w:jc w:val="center"/>
            </w:pPr>
            <w:r>
              <w:rPr>
                <w:rFonts w:ascii="Arial" w:cs="Arial" w:eastAsia="Arial" w:hAnsi="Arial"/>
                <w:sz w:val="21"/>
                <w:szCs w:val="21"/>
              </w:rPr>
              <w:t xml:space="preserve">LYSOSOME (pH 4.5–5.0) — Hydrolytic enzyme activity</w:t>
            </w:r>
          </w:p>
          <w:p>
            <w:pPr>
              <w:spacing w:after="40" w:before="40"/>
              <w:jc w:val="center"/>
            </w:pPr>
            <w:r>
              <w:rPr>
                <w:rFonts w:ascii="Arial" w:cs="Arial" w:eastAsia="Arial" w:hAnsi="Arial"/>
                <w:sz w:val="21"/>
                <w:szCs w:val="21"/>
              </w:rPr>
              <w:t xml:space="preserve">         ↓                    ↓</w:t>
            </w:r>
          </w:p>
          <w:p>
            <w:pPr>
              <w:spacing w:after="40" w:before="40"/>
              <w:jc w:val="center"/>
            </w:pPr>
            <w:r>
              <w:rPr>
                <w:rFonts w:ascii="Arial" w:cs="Arial" w:eastAsia="Arial" w:hAnsi="Arial"/>
                <w:sz w:val="21"/>
                <w:szCs w:val="21"/>
              </w:rPr>
              <w:t xml:space="preserve">Drug Release          OR     Carrier Degradation</w:t>
            </w:r>
          </w:p>
          <w:p>
            <w:pPr>
              <w:spacing w:after="40" w:before="40"/>
              <w:jc w:val="center"/>
            </w:pPr>
            <w:r>
              <w:rPr>
                <w:rFonts w:ascii="Arial" w:cs="Arial" w:eastAsia="Arial" w:hAnsi="Arial"/>
                <w:sz w:val="21"/>
                <w:szCs w:val="21"/>
              </w:rPr>
              <w:t xml:space="preserve">(pH-sensitive carriers)      (Avoid with endosomal escape strategies)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4.5 Event 5: Endosomal Escape — The Intracellular Barrier</w:t>
      </w:r>
    </w:p>
    <w:p>
      <w:pPr>
        <w:spacing w:after="80" w:before="80"/>
        <w:jc w:val="both"/>
      </w:pPr>
      <w:r>
        <w:rPr>
          <w:rFonts w:ascii="Arial" w:cs="Arial" w:eastAsia="Arial" w:hAnsi="Arial"/>
          <w:sz w:val="22"/>
          <w:szCs w:val="22"/>
        </w:rPr>
        <w:t xml:space="preserve">After endocytosis, the greatest intracellular threat to the cargo is lysosomal degradation. Lysosomes contain &gt;50 hydrolytic enzymes (proteases, nucleases, lipases, glycosidases) active at pH 4.5–5.0, which can completely destroy a protein therapeutic, nucleic acid, or acid-labile drug within minutes. Endosomal escape is therefore a critical biological event that must be engineered into delivery systems for cytoplasmic targets:</w:t>
      </w:r>
    </w:p>
    <w:p>
      <w:pPr>
        <w:spacing w:after="60" w:before="60"/>
      </w:pPr>
      <w:r>
        <w:t xml:space="preserve"/>
      </w:r>
    </w:p>
    <w:p>
      <w:pPr>
        <w:pStyle w:val="ListParagraph"/>
        <w:numPr>
          <w:ilvl w:val="0"/>
          <w:numId w:val="2"/>
        </w:numPr>
        <w:spacing w:after="60" w:before="60"/>
        <w:jc w:val="both"/>
      </w:pPr>
      <w:r>
        <w:rPr>
          <w:rFonts w:ascii="Arial" w:cs="Arial" w:eastAsia="Arial" w:hAnsi="Arial"/>
          <w:b w:val="false"/>
          <w:bCs w:val="false"/>
          <w:sz w:val="22"/>
          <w:szCs w:val="22"/>
        </w:rPr>
        <w:t xml:space="preserve">PROTON SPONGE EFFECT: Cationic polymers with high buffering capacity (polyethylenimine — PEI, poly-L-histidine) absorb protons pumped into the endosome by V-type H⁺-ATPases, preventing acidification. The sustained proton influx causes osmotic swelling and eventual endosomal membrane rupture, releasing the cargo into the cytoplasm. This is the dominant mechanism of action of PEI-based gene delivery systems.</w:t>
      </w:r>
    </w:p>
    <w:p>
      <w:pPr>
        <w:pStyle w:val="ListParagraph"/>
        <w:numPr>
          <w:ilvl w:val="0"/>
          <w:numId w:val="2"/>
        </w:numPr>
        <w:spacing w:after="60" w:before="60"/>
        <w:jc w:val="both"/>
      </w:pPr>
      <w:r>
        <w:rPr>
          <w:rFonts w:ascii="Arial" w:cs="Arial" w:eastAsia="Arial" w:hAnsi="Arial"/>
          <w:b w:val="false"/>
          <w:bCs w:val="false"/>
          <w:sz w:val="22"/>
          <w:szCs w:val="22"/>
        </w:rPr>
        <w:t xml:space="preserve">pH-RESPONSIVE MEMBRANE-DISRUPTIVE PEPTIDES: Fusogenic peptides (GALA, KALA) undergo conformational changes at endosomal pH and insert into the endosomal membrane, creating pores for cargo release.</w:t>
      </w:r>
    </w:p>
    <w:p>
      <w:pPr>
        <w:pStyle w:val="ListParagraph"/>
        <w:numPr>
          <w:ilvl w:val="0"/>
          <w:numId w:val="2"/>
        </w:numPr>
        <w:spacing w:after="60" w:before="60"/>
        <w:jc w:val="both"/>
      </w:pPr>
      <w:r>
        <w:rPr>
          <w:rFonts w:ascii="Arial" w:cs="Arial" w:eastAsia="Arial" w:hAnsi="Arial"/>
          <w:b w:val="false"/>
          <w:bCs w:val="false"/>
          <w:sz w:val="22"/>
          <w:szCs w:val="22"/>
        </w:rPr>
        <w:t xml:space="preserve">PHOTOCHEMICAL INTERNALIZATION (PCI): Light-activated photosensitizers in the endosomal membrane generate reactive oxygen species upon irradiation, rupturing the membrane and releasing cargo — used in experimental cancer targeting.</w:t>
      </w:r>
    </w:p>
    <w:p>
      <w:pPr>
        <w:pStyle w:val="ListParagraph"/>
        <w:numPr>
          <w:ilvl w:val="0"/>
          <w:numId w:val="2"/>
        </w:numPr>
        <w:spacing w:after="60" w:before="60"/>
        <w:jc w:val="both"/>
      </w:pPr>
      <w:r>
        <w:rPr>
          <w:rFonts w:ascii="Arial" w:cs="Arial" w:eastAsia="Arial" w:hAnsi="Arial"/>
          <w:b w:val="false"/>
          <w:bCs w:val="false"/>
          <w:sz w:val="22"/>
          <w:szCs w:val="22"/>
        </w:rPr>
        <w:t xml:space="preserve">VIRAL MEMBRANE FUSION PROTEINS: Viral vectors exploit their native fusogenic proteins (hemagglutinin in influenza) to merge with the endosomal membrane at low pH and release genetic cargo directly into the cytoplasm.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4.6 Event 6: Intracellular Trafficking and Subcellular Targeting</w:t>
      </w:r>
    </w:p>
    <w:p>
      <w:pPr>
        <w:spacing w:after="80" w:before="80"/>
        <w:jc w:val="both"/>
      </w:pPr>
      <w:r>
        <w:rPr>
          <w:rFonts w:ascii="Arial" w:cs="Arial" w:eastAsia="Arial" w:hAnsi="Arial"/>
          <w:sz w:val="22"/>
          <w:szCs w:val="22"/>
        </w:rPr>
        <w:t xml:space="preserve">After endosomal escape, the drug must reach its specific subcellular target. This constitutes third-order targeting and requires specific intracellular address signals:</w:t>
      </w:r>
    </w:p>
    <w:p>
      <w:pPr>
        <w:pStyle w:val="ListParagraph"/>
        <w:numPr>
          <w:ilvl w:val="0"/>
          <w:numId w:val="2"/>
        </w:numPr>
        <w:spacing w:after="60" w:before="60"/>
        <w:jc w:val="both"/>
      </w:pPr>
      <w:r>
        <w:rPr>
          <w:rFonts w:ascii="Arial" w:cs="Arial" w:eastAsia="Arial" w:hAnsi="Arial"/>
          <w:b w:val="false"/>
          <w:bCs w:val="false"/>
          <w:sz w:val="22"/>
          <w:szCs w:val="22"/>
        </w:rPr>
        <w:t xml:space="preserve">NUCLEAR TARGETING: For DNA delivery in gene therapy, the nuclear envelope presents the final barrier. Nuclear Localization Signals (NLS) — short peptide sequences (e.g., PKKKRKV from SV40 large T antigen) — are recognized by importin proteins that shuttle the complex through nuclear pore complexes (NPC) with a functional diameter of ~25 nm for passive diffusion and ~39 nm for active transport.</w:t>
      </w:r>
    </w:p>
    <w:p>
      <w:pPr>
        <w:pStyle w:val="ListParagraph"/>
        <w:numPr>
          <w:ilvl w:val="0"/>
          <w:numId w:val="2"/>
        </w:numPr>
        <w:spacing w:after="60" w:before="60"/>
        <w:jc w:val="both"/>
      </w:pPr>
      <w:r>
        <w:rPr>
          <w:rFonts w:ascii="Arial" w:cs="Arial" w:eastAsia="Arial" w:hAnsi="Arial"/>
          <w:b w:val="false"/>
          <w:bCs w:val="false"/>
          <w:sz w:val="22"/>
          <w:szCs w:val="22"/>
        </w:rPr>
        <w:t xml:space="preserve">MITOCHONDRIAL TARGETING: Mitochondria-targeting sequences (MTS) — positively charged amphiphilic peptides — are driven into mitochondria by the large electrochemical potential across the inner mitochondrial membrane (Δψm ≈ −180 mV). Triphenylphosphonium (TPP) cation conjugates exploit this driving force.</w:t>
      </w:r>
    </w:p>
    <w:p>
      <w:pPr>
        <w:pStyle w:val="ListParagraph"/>
        <w:numPr>
          <w:ilvl w:val="0"/>
          <w:numId w:val="2"/>
        </w:numPr>
        <w:spacing w:after="60" w:before="60"/>
        <w:jc w:val="both"/>
      </w:pPr>
      <w:r>
        <w:rPr>
          <w:rFonts w:ascii="Arial" w:cs="Arial" w:eastAsia="Arial" w:hAnsi="Arial"/>
          <w:b w:val="false"/>
          <w:bCs w:val="false"/>
          <w:sz w:val="22"/>
          <w:szCs w:val="22"/>
        </w:rPr>
        <w:t xml:space="preserve">LYSOSOMAL TARGETING: Enzyme replacement therapies for lysosomal storage disorders use mannose-6-phosphate (M6P) receptor-mediated targeting to deliberately route therapeutic enzymes to lysosomes.</w:t>
      </w:r>
    </w:p>
    <w:p>
      <w:pPr>
        <w:spacing w:after="60" w:before="60"/>
      </w:pPr>
      <w:r>
        <w:t xml:space="preserve"/>
      </w:r>
    </w:p>
    <w:p>
      <w:pPr>
        <w:pStyle w:val="Heading1"/>
        <w:spacing w:after="160" w:before="320"/>
      </w:pPr>
      <w:r>
        <w:rPr>
          <w:rFonts w:ascii="Arial" w:cs="Arial" w:eastAsia="Arial" w:hAnsi="Arial"/>
          <w:b/>
          <w:bCs/>
          <w:color w:val="1F4E79"/>
          <w:sz w:val="30"/>
          <w:szCs w:val="30"/>
        </w:rPr>
        <w:t xml:space="preserve">5. Biological Processes That Govern Drug Targeting Outcomes</w:t>
      </w:r>
    </w:p>
    <w:p>
      <w:pPr>
        <w:pStyle w:val="Heading2"/>
        <w:spacing w:after="120" w:before="240"/>
      </w:pPr>
      <w:r>
        <w:rPr>
          <w:rFonts w:ascii="Arial" w:cs="Arial" w:eastAsia="Arial" w:hAnsi="Arial"/>
          <w:b/>
          <w:bCs/>
          <w:color w:val="2E75B6"/>
          <w:sz w:val="26"/>
          <w:szCs w:val="26"/>
        </w:rPr>
        <w:t xml:space="preserve">5.1 The Mononuclear Phagocyte System (MPS) — The Primary Barrier</w:t>
      </w:r>
    </w:p>
    <w:p>
      <w:pPr>
        <w:spacing w:after="80" w:before="80"/>
        <w:jc w:val="both"/>
      </w:pPr>
      <w:r>
        <w:rPr>
          <w:rFonts w:ascii="Arial" w:cs="Arial" w:eastAsia="Arial" w:hAnsi="Arial"/>
          <w:sz w:val="22"/>
          <w:szCs w:val="22"/>
        </w:rPr>
        <w:t xml:space="preserve">The MPS comprises monocytes (circulating), macrophages (tissue-resident: Kupffer cells in liver, alveolar macrophages in lung, microglia in brain, splenic macrophages), and dendritic cells. These professional phagocytes express pattern recognition receptors (Toll-like receptors, scavenger receptors, Fc receptors) that recognize opsonized foreign particles and rapidly phagocytose them.</w:t>
      </w:r>
    </w:p>
    <w:p>
      <w:pPr>
        <w:spacing w:after="60" w:before="60"/>
      </w:pPr>
      <w:r>
        <w:t xml:space="preserve"/>
      </w:r>
    </w:p>
    <w:p>
      <w:pPr>
        <w:spacing w:after="80" w:before="80"/>
        <w:jc w:val="both"/>
      </w:pPr>
      <w:r>
        <w:rPr>
          <w:rFonts w:ascii="Arial" w:cs="Arial" w:eastAsia="Arial" w:hAnsi="Arial"/>
          <w:sz w:val="22"/>
          <w:szCs w:val="22"/>
        </w:rPr>
        <w:t xml:space="preserve">Liver Kupffer cells alone account for 80–90% of the MPS phagocytic capacity and can clear intravenously administered non-PEGylated nanoparticles within minutes. This MPS-mediated clearance is simultaneously a barrier (for non-hepatic targeting) and an opportunity (for deliberate liver targeting or macrophage-targeted drug delivery in conditions like leishmaniasis and HIV).</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Complement System Activation — The Immunological Barrier</w:t>
      </w:r>
    </w:p>
    <w:p>
      <w:pPr>
        <w:spacing w:after="80" w:before="80"/>
        <w:jc w:val="both"/>
      </w:pPr>
      <w:r>
        <w:rPr>
          <w:rFonts w:ascii="Arial" w:cs="Arial" w:eastAsia="Arial" w:hAnsi="Arial"/>
          <w:sz w:val="22"/>
          <w:szCs w:val="22"/>
        </w:rPr>
        <w:t xml:space="preserve">The complement system represents a sophisticated immunological surveillance mechanism that can be inadvertently triggered by drug carriers — a phenomenon called Complement Activation-Related Pseudoallergy (CARPA). Liposomes, nanoparticles, and micellar formulations can activate complement via:</w:t>
      </w:r>
    </w:p>
    <w:p>
      <w:pPr>
        <w:pStyle w:val="ListParagraph"/>
        <w:numPr>
          <w:ilvl w:val="0"/>
          <w:numId w:val="2"/>
        </w:numPr>
        <w:spacing w:after="60" w:before="60"/>
        <w:jc w:val="both"/>
      </w:pPr>
      <w:r>
        <w:rPr>
          <w:rFonts w:ascii="Arial" w:cs="Arial" w:eastAsia="Arial" w:hAnsi="Arial"/>
          <w:b w:val="false"/>
          <w:bCs w:val="false"/>
          <w:sz w:val="22"/>
          <w:szCs w:val="22"/>
        </w:rPr>
        <w:t xml:space="preserve">Classical pathway: Antibody (IgM/IgG) binding to carrier surface antigens → C1q recognition → C3 cleavage</w:t>
      </w:r>
    </w:p>
    <w:p>
      <w:pPr>
        <w:pStyle w:val="ListParagraph"/>
        <w:numPr>
          <w:ilvl w:val="0"/>
          <w:numId w:val="2"/>
        </w:numPr>
        <w:spacing w:after="60" w:before="60"/>
        <w:jc w:val="both"/>
      </w:pPr>
      <w:r>
        <w:rPr>
          <w:rFonts w:ascii="Arial" w:cs="Arial" w:eastAsia="Arial" w:hAnsi="Arial"/>
          <w:b w:val="false"/>
          <w:bCs w:val="false"/>
          <w:sz w:val="22"/>
          <w:szCs w:val="22"/>
        </w:rPr>
        <w:t xml:space="preserve">Alternative pathway: Direct spontaneous C3 hydrolysis on foreign surfaces; amplified by factors B, D, and properdin</w:t>
      </w:r>
    </w:p>
    <w:p>
      <w:pPr>
        <w:pStyle w:val="ListParagraph"/>
        <w:numPr>
          <w:ilvl w:val="0"/>
          <w:numId w:val="2"/>
        </w:numPr>
        <w:spacing w:after="60" w:before="60"/>
        <w:jc w:val="both"/>
      </w:pPr>
      <w:r>
        <w:rPr>
          <w:rFonts w:ascii="Arial" w:cs="Arial" w:eastAsia="Arial" w:hAnsi="Arial"/>
          <w:b w:val="false"/>
          <w:bCs w:val="false"/>
          <w:sz w:val="22"/>
          <w:szCs w:val="22"/>
        </w:rPr>
        <w:t xml:space="preserve">Lectin pathway: Mannose-binding lectin (MBL) recognizes carbohydrate patterns on carrier surfaces</w:t>
      </w:r>
    </w:p>
    <w:p>
      <w:pPr>
        <w:spacing w:after="60" w:before="60"/>
      </w:pPr>
      <w:r>
        <w:t xml:space="preserve"/>
      </w:r>
    </w:p>
    <w:p>
      <w:pPr>
        <w:spacing w:after="80" w:before="80"/>
        <w:jc w:val="both"/>
      </w:pPr>
      <w:r>
        <w:rPr>
          <w:rFonts w:ascii="Arial" w:cs="Arial" w:eastAsia="Arial" w:hAnsi="Arial"/>
          <w:sz w:val="22"/>
          <w:szCs w:val="22"/>
        </w:rPr>
        <w:t xml:space="preserve">Complement activation produces C3a and C5a anaphylatoxins — potent vasoactive mediators causing hypersensitivity reactions — and deposits C3b opsonins on the carrier surface, dramatically accelerating MPS clearance. PEGylation reduces but does not eliminate complement activation. Paradoxically, anti-PEG antibodies generated after first-dose PEGylated formulations can cause accelerated blood clearance (ABC phenomenon) upon re-administration — a clinically significant challenge with Doxil® and other PEGylated therapeutics.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Tumor Microenvironment (TME) — Exploitable Pathophysiology</w:t>
      </w:r>
    </w:p>
    <w:p>
      <w:pPr>
        <w:spacing w:after="80" w:before="80"/>
        <w:jc w:val="both"/>
      </w:pPr>
      <w:r>
        <w:rPr>
          <w:rFonts w:ascii="Arial" w:cs="Arial" w:eastAsia="Arial" w:hAnsi="Arial"/>
          <w:sz w:val="22"/>
          <w:szCs w:val="22"/>
        </w:rPr>
        <w:t xml:space="preserve">The tumor microenvironment is a complex ecosystem of cancer cells, stromal cells (cancer-associated fibroblasts, pericytes), immune cells (tumor-associated macrophages, regulatory T cells), and an altered extracellular matrix — all bathed in a biochemically distinct milieu that presents unique opportunities for stimuli-responsive drug release: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TME Feature</w:t>
            </w:r>
          </w:p>
        </w:tc>
        <w:tc>
          <w:tcPr>
            <w:tcW w:type="dxa" w:w="34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Biochemical Basis</w:t>
            </w:r>
          </w:p>
        </w:tc>
        <w:tc>
          <w:tcPr>
            <w:tcW w:type="dxa" w:w="36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Targeting Strategy</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Acidic pH (6.5–6.8)</w:t>
            </w:r>
          </w:p>
        </w:tc>
        <w:tc>
          <w:tcPr>
            <w:tcW w:type="dxa" w:w="34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Warburg effect — aerobic glycolysis produces excess lactate despite oxygen availability</w:t>
            </w:r>
          </w:p>
        </w:tc>
        <w:tc>
          <w:tcPr>
            <w:tcW w:type="dxa" w:w="36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pH-sensitive polymers (poly-histidine, PLGA) release drug upon protonation in acidic TME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Hypoxia (pO₂ &lt; 5 mmHg)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Rapid tumor growth outpaces angiogenesis; HIF-1α upregulation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Hypoxia-activated prodrugs (tirapazamine); nitroimidazole-targeted carriers</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Elevated H₂O₂ / ROS</w:t>
            </w:r>
          </w:p>
        </w:tc>
        <w:tc>
          <w:tcPr>
            <w:tcW w:type="dxa" w:w="34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Dysregulated oxidative metabolism; NADPH oxidase activity</w:t>
            </w:r>
          </w:p>
        </w:tc>
        <w:tc>
          <w:tcPr>
            <w:tcW w:type="dxa" w:w="36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ROS-responsive boronate ester or thioether-linked carriers that oxidatively cleave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Overexpressed proteases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MMP-2, MMP-9, cathepsin B — degrade ECM for invasion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MMP-cleavable peptide linkers release drug specifically in tumor stroma</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Elevated glutathione (GSH)</w:t>
            </w:r>
          </w:p>
        </w:tc>
        <w:tc>
          <w:tcPr>
            <w:tcW w:type="dxa" w:w="34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Intracellular GSH ~10 mM in tumor cells vs. 2 μM extracellular</w:t>
            </w:r>
          </w:p>
        </w:tc>
        <w:tc>
          <w:tcPr>
            <w:tcW w:type="dxa" w:w="368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Disulfide-linked carriers rapidly cleaved intracellularly by GSH → cytoplasmic release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Masters-Level Insight: </w:t>
            </w:r>
            <w:r>
              <w:rPr>
                <w:rFonts w:ascii="Arial" w:cs="Arial" w:eastAsia="Arial" w:hAnsi="Arial"/>
                <w:sz w:val="22"/>
                <w:szCs w:val="22"/>
              </w:rPr>
              <w:t xml:space="preserve">The TME is not static — it evolves during tumor progression and in response to therapy. Drug-resistant tumors downregulate their dependence on specific pathways, potentially rendering a stimulus-responsive carrier ineffective over time. Designing carriers responsive to multiple simultaneous stimuli (dual/triple-responsive systems) is a current research frontier to overcome adaptive resistance.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5.4 Multidrug Resistance (MDR) — The Cellular Efflux Barrier</w:t>
      </w:r>
    </w:p>
    <w:p>
      <w:pPr>
        <w:spacing w:after="80" w:before="80"/>
        <w:jc w:val="both"/>
      </w:pPr>
      <w:r>
        <w:rPr>
          <w:rFonts w:ascii="Arial" w:cs="Arial" w:eastAsia="Arial" w:hAnsi="Arial"/>
          <w:sz w:val="22"/>
          <w:szCs w:val="22"/>
        </w:rPr>
        <w:t xml:space="preserve">A critical biological process that undermines even perfectly targeted drug delivery is multidrug resistance — the ability of cancer cells to expel intracellular drugs through ATP-binding cassette (ABC) transporters, primarily P-glycoprotein (P-gp/ABCB1), MRP1 (ABCC1), and BCRP (ABCG2). These transmembrane efflux pumps, overexpressed in approximately 40–50% of chemotherapy-resistant cancers, can reduce intracellular drug concentrations by 10–100 fold even after successful targeted delivery.</w:t>
      </w:r>
    </w:p>
    <w:p>
      <w:pPr>
        <w:spacing w:after="60" w:before="60"/>
      </w:pPr>
      <w:r>
        <w:t xml:space="preserve"/>
      </w:r>
    </w:p>
    <w:p>
      <w:pPr>
        <w:spacing w:after="80" w:before="80"/>
        <w:jc w:val="both"/>
      </w:pPr>
      <w:r>
        <w:rPr>
          <w:rFonts w:ascii="Arial" w:cs="Arial" w:eastAsia="Arial" w:hAnsi="Arial"/>
          <w:sz w:val="22"/>
          <w:szCs w:val="22"/>
        </w:rPr>
        <w:t xml:space="preserve">Targeted nanocarriers can circumvent MDR through two mechanisms: (1) Endocytic internalization — nanocarriers are internalized by endocytosis and release drug intracellularly in concentrations that overwhelm efflux capacity; P-gp is a membrane transporter and cannot efflux drug released deep within the cytoplasm from an endocytic vesicle. (2) Co-delivery of P-gp inhibitors (verapamil, cyclosporin A, tariquidar) with the cytotoxic drug in the same nanocarrier — simultaneous delivery ensures pharmacological synergy at the exact cellular level where resistance occurs.</w:t>
      </w:r>
    </w:p>
    <w:p>
      <w:pPr>
        <w:spacing w:after="60" w:before="60"/>
      </w:pPr>
      <w:r>
        <w:t xml:space="preserve"/>
      </w:r>
    </w:p>
    <w:p>
      <w:pPr>
        <w:pStyle w:val="Heading1"/>
        <w:spacing w:after="160" w:before="320"/>
      </w:pPr>
      <w:r>
        <w:rPr>
          <w:rFonts w:ascii="Arial" w:cs="Arial" w:eastAsia="Arial" w:hAnsi="Arial"/>
          <w:b/>
          <w:bCs/>
          <w:color w:val="1F4E79"/>
          <w:sz w:val="30"/>
          <w:szCs w:val="30"/>
        </w:rPr>
        <w:t xml:space="preserve">6. Physicochemical Parameters of Drug Carriers That Govern Targeting Efficiency</w:t>
      </w:r>
    </w:p>
    <w:p>
      <w:pPr>
        <w:spacing w:after="80" w:before="80"/>
        <w:jc w:val="both"/>
      </w:pPr>
      <w:r>
        <w:rPr>
          <w:rFonts w:ascii="Arial" w:cs="Arial" w:eastAsia="Arial" w:hAnsi="Arial"/>
          <w:sz w:val="22"/>
          <w:szCs w:val="22"/>
        </w:rPr>
        <w:t xml:space="preserve">The biological fate of a targeted carrier is intimately governed by its physicochemical properties. These are not merely formulation variables — they are the molecular language through which a carrier communicates with biological systems.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Parameter</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Optimal Range / Value</w:t>
            </w:r>
          </w:p>
        </w:tc>
        <w:tc>
          <w:tcPr>
            <w:tcW w:type="dxa" w:w="4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Biological Consequence of Deviation</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Particle Size</w:t>
            </w:r>
          </w:p>
        </w:tc>
        <w:tc>
          <w:tcPr>
            <w:tcW w:type="dxa" w:w="26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50–200 nm for tumor targeting; &lt;100 nm for BBB crossing</w:t>
            </w:r>
          </w:p>
        </w:tc>
        <w:tc>
          <w:tcPr>
            <w:tcW w:type="dxa" w:w="49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&lt;8 nm: renal clearance; &gt;500 nm: MPS phagocytosis; &gt;1000 nm: pulmonary embolism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Zeta Potential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−20 to −30 mV (stable anionic) or highly cationic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Near-neutral (−10 to +10 mV): aggregation, rapid opsonization; highly cationic: hemolysis, cytotoxicity</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Surface Hydrophilicity</w:t>
            </w:r>
          </w:p>
        </w:tc>
        <w:tc>
          <w:tcPr>
            <w:tcW w:type="dxa" w:w="26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High (via PEGylation)</w:t>
            </w:r>
          </w:p>
        </w:tc>
        <w:tc>
          <w:tcPr>
            <w:tcW w:type="dxa" w:w="49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Hydrophobic surfaces: rapid opsonization, Kupffer cell uptake, short t½</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Drug Encapsulation Efficiency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&gt;70% ideally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Low EE: dose escalation required; free drug causes off-target toxicity</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Drug Release Rate</w:t>
            </w:r>
          </w:p>
        </w:tc>
        <w:tc>
          <w:tcPr>
            <w:tcW w:type="dxa" w:w="26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Controlled, stimulus-responsive</w:t>
            </w:r>
          </w:p>
        </w:tc>
        <w:tc>
          <w:tcPr>
            <w:tcW w:type="dxa" w:w="49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Burst release: toxicity at non-target sites; too slow: subtherapeutic target levels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Ligand Density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Optimal (not saturating)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Too high: steric hindrance between ligands; too low: insufficient multivalent binding</w:t>
            </w:r>
          </w:p>
        </w:tc>
      </w:tr>
    </w:tbl>
    <w:p>
      <w:pPr>
        <w:spacing w:after="60" w:before="60"/>
      </w:pPr>
      <w:r>
        <w:t xml:space="preserve"/>
      </w:r>
    </w:p>
    <w:p>
      <w:pPr>
        <w:pStyle w:val="Heading1"/>
        <w:spacing w:after="160" w:before="320"/>
      </w:pPr>
      <w:r>
        <w:rPr>
          <w:rFonts w:ascii="Arial" w:cs="Arial" w:eastAsia="Arial" w:hAnsi="Arial"/>
          <w:b/>
          <w:bCs/>
          <w:color w:val="1F4E79"/>
          <w:sz w:val="30"/>
          <w:szCs w:val="30"/>
        </w:rPr>
        <w:t xml:space="preserve">7. Pharmacokinetic Consequences of Drug Targeting</w:t>
      </w:r>
    </w:p>
    <w:p>
      <w:pPr>
        <w:spacing w:after="80" w:before="80"/>
        <w:jc w:val="both"/>
      </w:pPr>
      <w:r>
        <w:rPr>
          <w:rFonts w:ascii="Arial" w:cs="Arial" w:eastAsia="Arial" w:hAnsi="Arial"/>
          <w:sz w:val="22"/>
          <w:szCs w:val="22"/>
        </w:rPr>
        <w:t xml:space="preserve">Targeted delivery systems fundamentally alter conventional pharmacokinetic parameters — and this alteration is the mechanistic basis of their therapeutic superiority:</w:t>
      </w:r>
    </w:p>
    <w:p>
      <w:pPr>
        <w:spacing w:after="60" w:before="60"/>
      </w:pPr>
      <w:r>
        <w:t xml:space="preserve"/>
      </w:r>
    </w:p>
    <w:p>
      <w:pPr>
        <w:pStyle w:val="ListParagraph"/>
        <w:numPr>
          <w:ilvl w:val="0"/>
          <w:numId w:val="2"/>
        </w:numPr>
        <w:spacing w:after="60" w:before="60"/>
        <w:jc w:val="both"/>
      </w:pPr>
      <w:r>
        <w:rPr>
          <w:rFonts w:ascii="Arial" w:cs="Arial" w:eastAsia="Arial" w:hAnsi="Arial"/>
          <w:b w:val="false"/>
          <w:bCs w:val="false"/>
          <w:sz w:val="22"/>
          <w:szCs w:val="22"/>
        </w:rPr>
        <w:t xml:space="preserve">VOLUME OF DISTRIBUTION (Vd): Targeted nanocarriers have significantly reduced Vd compared to free drugs. Free doxorubicin has Vd ~700 L/kg (distributes everywhere); liposomal doxorubicin (Doxil®) has Vd ~2.8 L/kg — a 250-fold reduction. This reduction directly translates to reduced cardiac, renal, and bone marrow exposure.</w:t>
      </w:r>
    </w:p>
    <w:p>
      <w:pPr>
        <w:pStyle w:val="ListParagraph"/>
        <w:numPr>
          <w:ilvl w:val="0"/>
          <w:numId w:val="2"/>
        </w:numPr>
        <w:spacing w:after="60" w:before="60"/>
        <w:jc w:val="both"/>
      </w:pPr>
      <w:r>
        <w:rPr>
          <w:rFonts w:ascii="Arial" w:cs="Arial" w:eastAsia="Arial" w:hAnsi="Arial"/>
          <w:b w:val="false"/>
          <w:bCs w:val="false"/>
          <w:sz w:val="22"/>
          <w:szCs w:val="22"/>
        </w:rPr>
        <w:t xml:space="preserve">CIRCULATION HALF-LIFE (t½): PEGylated carriers extend t½ from minutes (conventional nanoparticles) to 20–45 hours (stealth liposomes). This prolonged circulation is the prerequisite for sufficient passive EPR-mediated tumor accumulation.</w:t>
      </w:r>
    </w:p>
    <w:p>
      <w:pPr>
        <w:pStyle w:val="ListParagraph"/>
        <w:numPr>
          <w:ilvl w:val="0"/>
          <w:numId w:val="2"/>
        </w:numPr>
        <w:spacing w:after="60" w:before="60"/>
        <w:jc w:val="both"/>
      </w:pPr>
      <w:r>
        <w:rPr>
          <w:rFonts w:ascii="Arial" w:cs="Arial" w:eastAsia="Arial" w:hAnsi="Arial"/>
          <w:b w:val="false"/>
          <w:bCs w:val="false"/>
          <w:sz w:val="22"/>
          <w:szCs w:val="22"/>
        </w:rPr>
        <w:t xml:space="preserve">AREA UNDER THE CURVE (AUC): Targeted formulations typically show 10–100 fold higher tumor AUC compared to equivalent doses of free drug, with simultaneous reduction in normal tissue AUC — this is the pharmacokinetic expression of targeting success.</w:t>
      </w:r>
    </w:p>
    <w:p>
      <w:pPr>
        <w:pStyle w:val="ListParagraph"/>
        <w:numPr>
          <w:ilvl w:val="0"/>
          <w:numId w:val="2"/>
        </w:numPr>
        <w:spacing w:after="60" w:before="60"/>
        <w:jc w:val="both"/>
      </w:pPr>
      <w:r>
        <w:rPr>
          <w:rFonts w:ascii="Arial" w:cs="Arial" w:eastAsia="Arial" w:hAnsi="Arial"/>
          <w:b w:val="false"/>
          <w:bCs w:val="false"/>
          <w:sz w:val="22"/>
          <w:szCs w:val="22"/>
        </w:rPr>
        <w:t xml:space="preserve">BIODISTRIBUTION: Organ-specific targeting is confirmed by comparative biodistribution studies. Successful active targeting shows a statistically significant increase in drug concentration in the target organ and reciprocal decrease in off-target organs — particularly liver, kidney, and bone marrow.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5F9FF" w:val="clear"/>
            <w:tcMar>
              <w:top w:type="dxa" w:w="140"/>
              <w:left w:type="dxa" w:w="200"/>
              <w:bottom w:type="dxa" w:w="140"/>
              <w:right w:type="dxa" w:w="200"/>
            </w:tcMar>
          </w:tcPr>
          <w:p>
            <w:pPr>
              <w:spacing w:after="80" w:before="80"/>
              <w:jc w:val="center"/>
            </w:pPr>
            <w:r>
              <w:rPr>
                <w:rFonts w:ascii="Arial" w:cs="Arial" w:eastAsia="Arial" w:hAnsi="Arial"/>
                <w:b/>
                <w:bCs/>
                <w:color w:val="1F4E79"/>
                <w:sz w:val="22"/>
                <w:szCs w:val="22"/>
              </w:rPr>
              <w:t xml:space="preserve">DIAGRAM 4: Comparative Pharmacokinetic Profile — Free Drug vs. Targeted Nanocarrier</w:t>
            </w:r>
          </w:p>
          <w:p>
            <w:pPr>
              <w:spacing w:after="40" w:before="40"/>
              <w:jc w:val="center"/>
            </w:pPr>
            <w:r>
              <w:rPr>
                <w:rFonts w:ascii="Arial" w:cs="Arial" w:eastAsia="Arial" w:hAnsi="Arial"/>
                <w:sz w:val="21"/>
                <w:szCs w:val="21"/>
              </w:rPr>
              <w:t xml:space="preserve">Drug Concentration</w:t>
            </w:r>
          </w:p>
          <w:p>
            <w:pPr>
              <w:spacing w:after="40" w:before="40"/>
              <w:jc w:val="center"/>
            </w:pPr>
            <w:r>
              <w:rPr>
                <w:rFonts w:ascii="Arial" w:cs="Arial" w:eastAsia="Arial" w:hAnsi="Arial"/>
                <w:sz w:val="21"/>
                <w:szCs w:val="21"/>
              </w:rPr>
              <w:t xml:space="preserve">        |</w:t>
            </w:r>
          </w:p>
          <w:p>
            <w:pPr>
              <w:spacing w:after="40" w:before="40"/>
              <w:jc w:val="center"/>
            </w:pPr>
            <w:r>
              <w:rPr>
                <w:rFonts w:ascii="Arial" w:cs="Arial" w:eastAsia="Arial" w:hAnsi="Arial"/>
                <w:sz w:val="21"/>
                <w:szCs w:val="21"/>
              </w:rPr>
              <w:t xml:space="preserve">  High  |  ╔══════╗  ← Targeted carrier (high AUC in tumor)</w:t>
            </w:r>
          </w:p>
          <w:p>
            <w:pPr>
              <w:spacing w:after="40" w:before="40"/>
              <w:jc w:val="center"/>
            </w:pPr>
            <w:r>
              <w:rPr>
                <w:rFonts w:ascii="Arial" w:cs="Arial" w:eastAsia="Arial" w:hAnsi="Arial"/>
                <w:sz w:val="21"/>
                <w:szCs w:val="21"/>
              </w:rPr>
              <w:t xml:space="preserve">        |  ║      ║</w:t>
            </w:r>
          </w:p>
          <w:p>
            <w:pPr>
              <w:spacing w:after="40" w:before="40"/>
              <w:jc w:val="center"/>
            </w:pPr>
            <w:r>
              <w:rPr>
                <w:rFonts w:ascii="Arial" w:cs="Arial" w:eastAsia="Arial" w:hAnsi="Arial"/>
                <w:sz w:val="21"/>
                <w:szCs w:val="21"/>
              </w:rPr>
              <w:t xml:space="preserve">        |  ║      ╚═══════════════════</w:t>
            </w:r>
          </w:p>
          <w:p>
            <w:pPr>
              <w:spacing w:after="40" w:before="40"/>
              <w:jc w:val="center"/>
            </w:pPr>
            <w:r>
              <w:rPr>
                <w:rFonts w:ascii="Arial" w:cs="Arial" w:eastAsia="Arial" w:hAnsi="Arial"/>
                <w:sz w:val="21"/>
                <w:szCs w:val="21"/>
              </w:rPr>
              <w:t xml:space="preserve">  Low   |  ║                          Free drug (rapid distribution &amp; elimination)</w:t>
            </w:r>
          </w:p>
          <w:p>
            <w:pPr>
              <w:spacing w:after="40" w:before="40"/>
              <w:jc w:val="center"/>
            </w:pPr>
            <w:r>
              <w:rPr>
                <w:rFonts w:ascii="Arial" w:cs="Arial" w:eastAsia="Arial" w:hAnsi="Arial"/>
                <w:sz w:val="21"/>
                <w:szCs w:val="21"/>
              </w:rPr>
              <w:t xml:space="preserve">        |  ╚════════════════════════════════════</w:t>
            </w:r>
          </w:p>
          <w:p>
            <w:pPr>
              <w:spacing w:after="40" w:before="40"/>
              <w:jc w:val="center"/>
            </w:pPr>
            <w:r>
              <w:rPr>
                <w:rFonts w:ascii="Arial" w:cs="Arial" w:eastAsia="Arial" w:hAnsi="Arial"/>
                <w:sz w:val="21"/>
                <w:szCs w:val="21"/>
              </w:rPr>
              <w:t xml:space="preserve">        |_____________________________________________</w:t>
            </w:r>
          </w:p>
          <w:p>
            <w:pPr>
              <w:spacing w:after="40" w:before="40"/>
              <w:jc w:val="center"/>
            </w:pPr>
            <w:r>
              <w:rPr>
                <w:rFonts w:ascii="Arial" w:cs="Arial" w:eastAsia="Arial" w:hAnsi="Arial"/>
                <w:sz w:val="21"/>
                <w:szCs w:val="21"/>
              </w:rPr>
              <w:t xml:space="preserve">             Time</w:t>
            </w:r>
          </w:p>
          <w:p>
            <w:pPr>
              <w:spacing w:after="40" w:before="40"/>
              <w:jc w:val="center"/>
            </w:pPr>
            <w:r>
              <w:rPr>
                <w:rFonts w:ascii="Arial" w:cs="Arial" w:eastAsia="Arial" w:hAnsi="Arial"/>
                <w:sz w:val="21"/>
                <w:szCs w:val="21"/>
              </w:rPr>
              <w:t xml:space="preserve"/>
            </w:r>
          </w:p>
          <w:p>
            <w:pPr>
              <w:spacing w:after="40" w:before="40"/>
              <w:jc w:val="center"/>
            </w:pPr>
            <w:r>
              <w:rPr>
                <w:rFonts w:ascii="Arial" w:cs="Arial" w:eastAsia="Arial" w:hAnsi="Arial"/>
                <w:sz w:val="21"/>
                <w:szCs w:val="21"/>
              </w:rPr>
              <w:t xml:space="preserve">Key: Extended t½ + Reduced Vd + Higher Tumor AUC = Superior Therapeutic Index</w:t>
            </w:r>
          </w:p>
        </w:tc>
      </w:tr>
    </w:tbl>
    <w:p>
      <w:pPr>
        <w:spacing w:after="60" w:before="60"/>
      </w:pPr>
      <w:r>
        <w:t xml:space="preserve"/>
      </w:r>
    </w:p>
    <w:p>
      <w:pPr>
        <w:pStyle w:val="Heading1"/>
        <w:spacing w:after="160" w:before="320"/>
      </w:pPr>
      <w:r>
        <w:rPr>
          <w:rFonts w:ascii="Arial" w:cs="Arial" w:eastAsia="Arial" w:hAnsi="Arial"/>
          <w:b/>
          <w:bCs/>
          <w:color w:val="1F4E79"/>
          <w:sz w:val="30"/>
          <w:szCs w:val="30"/>
        </w:rPr>
        <w:t xml:space="preserve">8. Ideal Requirements and Criteria for a Targeted Drug Delivery System</w:t>
      </w:r>
    </w:p>
    <w:p>
      <w:pPr>
        <w:spacing w:after="80" w:before="80"/>
        <w:jc w:val="both"/>
      </w:pPr>
      <w:r>
        <w:rPr>
          <w:rFonts w:ascii="Arial" w:cs="Arial" w:eastAsia="Arial" w:hAnsi="Arial"/>
          <w:sz w:val="22"/>
          <w:szCs w:val="22"/>
        </w:rPr>
        <w:t xml:space="preserve">A rationally designed targeted drug delivery system must satisfy the following criteria — these are not merely desirable features but essential prerequisites for clinical translation:</w:t>
      </w:r>
    </w:p>
    <w:p>
      <w:pPr>
        <w:spacing w:after="60" w:before="60"/>
      </w:pPr>
      <w:r>
        <w:t xml:space="preserve"/>
      </w:r>
    </w:p>
    <w:p>
      <w:pPr>
        <w:pStyle w:val="ListParagraph"/>
        <w:numPr>
          <w:ilvl w:val="0"/>
          <w:numId w:val="2"/>
        </w:numPr>
        <w:spacing w:after="60" w:before="60"/>
        <w:jc w:val="both"/>
      </w:pPr>
      <w:r>
        <w:rPr>
          <w:rFonts w:ascii="Arial" w:cs="Arial" w:eastAsia="Arial" w:hAnsi="Arial"/>
          <w:b w:val="false"/>
          <w:bCs w:val="false"/>
          <w:sz w:val="22"/>
          <w:szCs w:val="22"/>
        </w:rPr>
        <w:t xml:space="preserve">BIOCOMPATIBILITY: The carrier material must be non-toxic, non-immunogenic, non-pyrogenic, and non-thrombogenic in the concentrations and doses used therapeutically. This is the primary safety criterion.</w:t>
      </w:r>
    </w:p>
    <w:p>
      <w:pPr>
        <w:pStyle w:val="ListParagraph"/>
        <w:numPr>
          <w:ilvl w:val="0"/>
          <w:numId w:val="2"/>
        </w:numPr>
        <w:spacing w:after="60" w:before="60"/>
        <w:jc w:val="both"/>
      </w:pPr>
      <w:r>
        <w:rPr>
          <w:rFonts w:ascii="Arial" w:cs="Arial" w:eastAsia="Arial" w:hAnsi="Arial"/>
          <w:b w:val="false"/>
          <w:bCs w:val="false"/>
          <w:sz w:val="22"/>
          <w:szCs w:val="22"/>
        </w:rPr>
        <w:t xml:space="preserve">BIODEGRADABILITY: The carrier must degrade into non-toxic, excretable products upon fulfilling its delivery function. Accumulation of non-degradable materials (especially in liver and spleen) leads to chronic toxicity.</w:t>
      </w:r>
    </w:p>
    <w:p>
      <w:pPr>
        <w:pStyle w:val="ListParagraph"/>
        <w:numPr>
          <w:ilvl w:val="0"/>
          <w:numId w:val="2"/>
        </w:numPr>
        <w:spacing w:after="60" w:before="60"/>
        <w:jc w:val="both"/>
      </w:pPr>
      <w:r>
        <w:rPr>
          <w:rFonts w:ascii="Arial" w:cs="Arial" w:eastAsia="Arial" w:hAnsi="Arial"/>
          <w:b w:val="false"/>
          <w:bCs w:val="false"/>
          <w:sz w:val="22"/>
          <w:szCs w:val="22"/>
        </w:rPr>
        <w:t xml:space="preserve">STABILITY: The carrier must maintain structural integrity and drug loading during shelf storage, circulation in blood, and transit through biological fluids — resisting pH extremes, enzymatic degradation, plasma protein binding, and shear stress.</w:t>
      </w:r>
    </w:p>
    <w:p>
      <w:pPr>
        <w:pStyle w:val="ListParagraph"/>
        <w:numPr>
          <w:ilvl w:val="0"/>
          <w:numId w:val="2"/>
        </w:numPr>
        <w:spacing w:after="60" w:before="60"/>
        <w:jc w:val="both"/>
      </w:pPr>
      <w:r>
        <w:rPr>
          <w:rFonts w:ascii="Arial" w:cs="Arial" w:eastAsia="Arial" w:hAnsi="Arial"/>
          <w:b w:val="false"/>
          <w:bCs w:val="false"/>
          <w:sz w:val="22"/>
          <w:szCs w:val="22"/>
        </w:rPr>
        <w:t xml:space="preserve">TARGET SPECIFICITY: High selectivity for the pathological tissue with minimal interaction with healthy cells — the ratio of drug concentration at target vs. non-target tissue (targeting efficiency index) must be clinically meaningful.</w:t>
      </w:r>
    </w:p>
    <w:p>
      <w:pPr>
        <w:pStyle w:val="ListParagraph"/>
        <w:numPr>
          <w:ilvl w:val="0"/>
          <w:numId w:val="2"/>
        </w:numPr>
        <w:spacing w:after="60" w:before="60"/>
        <w:jc w:val="both"/>
      </w:pPr>
      <w:r>
        <w:rPr>
          <w:rFonts w:ascii="Arial" w:cs="Arial" w:eastAsia="Arial" w:hAnsi="Arial"/>
          <w:b w:val="false"/>
          <w:bCs w:val="false"/>
          <w:sz w:val="22"/>
          <w:szCs w:val="22"/>
        </w:rPr>
        <w:t xml:space="preserve">CONTROLLED RELEASE KINETICS: Drug release must occur at the target site at the rate and duration that maintains therapeutic concentration without producing toxic peaks.</w:t>
      </w:r>
    </w:p>
    <w:p>
      <w:pPr>
        <w:pStyle w:val="ListParagraph"/>
        <w:numPr>
          <w:ilvl w:val="0"/>
          <w:numId w:val="2"/>
        </w:numPr>
        <w:spacing w:after="60" w:before="60"/>
        <w:jc w:val="both"/>
      </w:pPr>
      <w:r>
        <w:rPr>
          <w:rFonts w:ascii="Arial" w:cs="Arial" w:eastAsia="Arial" w:hAnsi="Arial"/>
          <w:b w:val="false"/>
          <w:bCs w:val="false"/>
          <w:sz w:val="22"/>
          <w:szCs w:val="22"/>
        </w:rPr>
        <w:t xml:space="preserve">SCALABILITY AND REPRODUCIBILITY: The manufacturing process must be scalable from laboratory to commercial scale with consistent particle size distribution, drug loading, and surface functionalization — a major challenge in nanomedicine.</w:t>
      </w:r>
    </w:p>
    <w:p>
      <w:pPr>
        <w:pStyle w:val="ListParagraph"/>
        <w:numPr>
          <w:ilvl w:val="0"/>
          <w:numId w:val="2"/>
        </w:numPr>
        <w:spacing w:after="60" w:before="60"/>
        <w:jc w:val="both"/>
      </w:pPr>
      <w:r>
        <w:rPr>
          <w:rFonts w:ascii="Arial" w:cs="Arial" w:eastAsia="Arial" w:hAnsi="Arial"/>
          <w:b w:val="false"/>
          <w:bCs w:val="false"/>
          <w:sz w:val="22"/>
          <w:szCs w:val="22"/>
        </w:rPr>
        <w:t xml:space="preserve">ADEQUATE DRUG PAYLOAD: The carrier must encapsulate sufficient drug to achieve therapeutic doses — particularly challenging for macromolecular carriers where drug-to-lipid or drug-to-polymer ratios limit payload.</w:t>
      </w:r>
    </w:p>
    <w:p>
      <w:pPr>
        <w:spacing w:after="60" w:before="60"/>
      </w:pPr>
      <w:r>
        <w:t xml:space="preserve"/>
      </w:r>
    </w:p>
    <w:p>
      <w:pPr>
        <w:pStyle w:val="Heading1"/>
        <w:spacing w:after="160" w:before="320"/>
      </w:pPr>
      <w:r>
        <w:rPr>
          <w:rFonts w:ascii="Arial" w:cs="Arial" w:eastAsia="Arial" w:hAnsi="Arial"/>
          <w:b/>
          <w:bCs/>
          <w:color w:val="1F4E79"/>
          <w:sz w:val="30"/>
          <w:szCs w:val="30"/>
        </w:rPr>
        <w:t xml:space="preserve">9. Clinically Approved Examples of Targeted Drug Delivery — Translational Proof</w:t>
      </w:r>
    </w:p>
    <w:p>
      <w:pPr>
        <w:spacing w:after="80" w:before="80"/>
        <w:jc w:val="both"/>
      </w:pPr>
      <w:r>
        <w:rPr>
          <w:rFonts w:ascii="Arial" w:cs="Arial" w:eastAsia="Arial" w:hAnsi="Arial"/>
          <w:sz w:val="22"/>
          <w:szCs w:val="22"/>
        </w:rPr>
        <w:t xml:space="preserve">The true test of targeted drug delivery is clinical translation. The following approved products demonstrate successful exploitation of the biological concepts discussed: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00"/>
        <w:gridCol w:w="1900"/>
        <w:gridCol w:w="23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Product</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Drug</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Targeting Strategy</w:t>
            </w:r>
          </w:p>
        </w:tc>
        <w:tc>
          <w:tcPr>
            <w:tcW w:type="dxa" w:w="1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Clinical Indication</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Targeting Mechanism</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Doxil® / Caelyx®</w:t>
            </w:r>
          </w:p>
        </w:tc>
        <w:tc>
          <w:tcPr>
            <w:tcW w:type="dxa" w:w="16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Doxorubicin</w:t>
            </w:r>
          </w:p>
        </w:tc>
        <w:tc>
          <w:tcPr>
            <w:tcW w:type="dxa" w:w="17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Passive (EPR) + Stealth</w:t>
            </w:r>
          </w:p>
        </w:tc>
        <w:tc>
          <w:tcPr>
            <w:tcW w:type="dxa" w:w="19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Ovarian cancer, Kaposi's sarcoma</w:t>
            </w:r>
          </w:p>
        </w:tc>
        <w:tc>
          <w:tcPr>
            <w:tcW w:type="dxa" w:w="2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PEGylated liposome; long circulation enables EPR accumulation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Abraxane®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Paclitaxel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Passive + SPARC targeting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Breast, lung, pancreatic cancer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Albumin nanoparticles; SPARC overexpression in tumor stroma binds albumin</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Kadcyla® (T-DM1)</w:t>
            </w:r>
          </w:p>
        </w:tc>
        <w:tc>
          <w:tcPr>
            <w:tcW w:type="dxa" w:w="16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DM1 (maytansinoid)</w:t>
            </w:r>
          </w:p>
        </w:tc>
        <w:tc>
          <w:tcPr>
            <w:tcW w:type="dxa" w:w="17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Active — HER2 antibody</w:t>
            </w:r>
          </w:p>
        </w:tc>
        <w:tc>
          <w:tcPr>
            <w:tcW w:type="dxa" w:w="19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HER2+ breast cancer</w:t>
            </w:r>
          </w:p>
        </w:tc>
        <w:tc>
          <w:tcPr>
            <w:tcW w:type="dxa" w:w="2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Trastuzumab conjugated to DM1 via thioether linker; HER2-mediated endocytosis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DaunoXome®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Daunorubicin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Passive (EPR)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Kaposi's sarcoma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Non-PEGylated liposome; size-mediated tumor accumulation</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Onpattro® (Patisiran)</w:t>
            </w:r>
          </w:p>
        </w:tc>
        <w:tc>
          <w:tcPr>
            <w:tcW w:type="dxa" w:w="16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siRNA</w:t>
            </w:r>
          </w:p>
        </w:tc>
        <w:tc>
          <w:tcPr>
            <w:tcW w:type="dxa" w:w="17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Active — GalNAc/LNP</w:t>
            </w:r>
          </w:p>
        </w:tc>
        <w:tc>
          <w:tcPr>
            <w:tcW w:type="dxa" w:w="190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Hereditary transthyretin amyloidosis</w:t>
            </w:r>
          </w:p>
        </w:tc>
        <w:tc>
          <w:tcPr>
            <w:tcW w:type="dxa" w:w="2360"/>
            <w:tcBorders>
              <w:top w:val="single" w:color="CCCCCC" w:sz="1"/>
              <w:left w:val="single" w:color="CCCCCC" w:sz="1"/>
              <w:bottom w:val="single" w:color="CCCCCC" w:sz="1"/>
              <w:right w:val="single" w:color="CCCCCC" w:sz="1"/>
            </w:tcBorders>
            <w:shd w:fill="F8FBFF" w:val="clear"/>
            <w:tcMar>
              <w:top w:type="dxa" w:w="80"/>
              <w:left w:type="dxa" w:w="140"/>
              <w:bottom w:type="dxa" w:w="80"/>
              <w:right w:type="dxa" w:w="140"/>
            </w:tcMar>
          </w:tcPr>
          <w:p>
            <w:r>
              <w:rPr>
                <w:rFonts w:ascii="Arial" w:cs="Arial" w:eastAsia="Arial" w:hAnsi="Arial"/>
                <w:sz w:val="21"/>
                <w:szCs w:val="21"/>
              </w:rPr>
              <w:t xml:space="preserve">Lipid nanoparticle; hepatocyte ASGPR targeting via GalNAc ligand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Examiner's Highlight: </w:t>
            </w:r>
            <w:r>
              <w:rPr>
                <w:rFonts w:ascii="Arial" w:cs="Arial" w:eastAsia="Arial" w:hAnsi="Arial"/>
                <w:sz w:val="22"/>
                <w:szCs w:val="22"/>
              </w:rPr>
              <w:t xml:space="preserve">Always cite at least 2-3 approved clinical products when discussing drug targeting concepts. It demonstrates awareness beyond textbook theory and signals that you understand the translational reality of the science. Onpattro® (patisiran) — the first FDA-approved siRNA therapeutic (2018) — is particularly impressive to cite as it represents the convergence of targeted delivery and nucleic acid therapeutics.</w:t>
            </w:r>
          </w:p>
        </w:tc>
      </w:tr>
    </w:tbl>
    <w:p>
      <w:pPr>
        <w:spacing w:after="60" w:before="60"/>
      </w:pPr>
      <w:r>
        <w:t xml:space="preserve"/>
      </w:r>
    </w:p>
    <w:p>
      <w:pPr>
        <w:pStyle w:val="Heading1"/>
        <w:spacing w:after="160" w:before="320"/>
      </w:pPr>
      <w:r>
        <w:rPr>
          <w:rFonts w:ascii="Arial" w:cs="Arial" w:eastAsia="Arial" w:hAnsi="Arial"/>
          <w:b/>
          <w:bCs/>
          <w:color w:val="1F4E79"/>
          <w:sz w:val="30"/>
          <w:szCs w:val="30"/>
        </w:rPr>
        <w:t xml:space="preserve">10. Current Limitations and Future Directions</w:t>
      </w:r>
    </w:p>
    <w:p>
      <w:pPr>
        <w:pStyle w:val="Heading2"/>
        <w:spacing w:after="120" w:before="240"/>
      </w:pPr>
      <w:r>
        <w:rPr>
          <w:rFonts w:ascii="Arial" w:cs="Arial" w:eastAsia="Arial" w:hAnsi="Arial"/>
          <w:b/>
          <w:bCs/>
          <w:color w:val="2E75B6"/>
          <w:sz w:val="26"/>
          <w:szCs w:val="26"/>
        </w:rPr>
        <w:t xml:space="preserve">10.1 Unresolved Challenges</w:t>
      </w:r>
    </w:p>
    <w:p>
      <w:pPr>
        <w:pStyle w:val="ListParagraph"/>
        <w:numPr>
          <w:ilvl w:val="0"/>
          <w:numId w:val="2"/>
        </w:numPr>
        <w:spacing w:after="60" w:before="60"/>
        <w:jc w:val="both"/>
      </w:pPr>
      <w:r>
        <w:rPr>
          <w:rFonts w:ascii="Arial" w:cs="Arial" w:eastAsia="Arial" w:hAnsi="Arial"/>
          <w:b w:val="false"/>
          <w:bCs w:val="false"/>
          <w:sz w:val="22"/>
          <w:szCs w:val="22"/>
        </w:rPr>
        <w:t xml:space="preserve">The EPR effect is heterogeneous and unreliable in human solid tumors, particularly fibrotic/desmoplastic tumors (pancreatic, colorectal) — a translational gap that explains why many EPR-based nano-formulations fail in clinical trials despite success in rodent models.</w:t>
      </w:r>
    </w:p>
    <w:p>
      <w:pPr>
        <w:pStyle w:val="ListParagraph"/>
        <w:numPr>
          <w:ilvl w:val="0"/>
          <w:numId w:val="2"/>
        </w:numPr>
        <w:spacing w:after="60" w:before="60"/>
        <w:jc w:val="both"/>
      </w:pPr>
      <w:r>
        <w:rPr>
          <w:rFonts w:ascii="Arial" w:cs="Arial" w:eastAsia="Arial" w:hAnsi="Arial"/>
          <w:b w:val="false"/>
          <w:bCs w:val="false"/>
          <w:sz w:val="22"/>
          <w:szCs w:val="22"/>
        </w:rPr>
        <w:t xml:space="preserve">The protein corona that forms around nanoparticles in biological fluids dynamically alters their surface identity, potentially masking targeting ligands and redirecting biodistribution to non-target organs.</w:t>
      </w:r>
    </w:p>
    <w:p>
      <w:pPr>
        <w:pStyle w:val="ListParagraph"/>
        <w:numPr>
          <w:ilvl w:val="0"/>
          <w:numId w:val="2"/>
        </w:numPr>
        <w:spacing w:after="60" w:before="60"/>
        <w:jc w:val="both"/>
      </w:pPr>
      <w:r>
        <w:rPr>
          <w:rFonts w:ascii="Arial" w:cs="Arial" w:eastAsia="Arial" w:hAnsi="Arial"/>
          <w:b w:val="false"/>
          <w:bCs w:val="false"/>
          <w:sz w:val="22"/>
          <w:szCs w:val="22"/>
        </w:rPr>
        <w:t xml:space="preserve">Scale-up and manufacturing reproducibility of complex nanoparticle formulations remains a significant pharmaceutical challenge — batch-to-batch variability in size, ligand density, and drug loading hampers regulatory approval.</w:t>
      </w:r>
    </w:p>
    <w:p>
      <w:pPr>
        <w:pStyle w:val="ListParagraph"/>
        <w:numPr>
          <w:ilvl w:val="0"/>
          <w:numId w:val="2"/>
        </w:numPr>
        <w:spacing w:after="60" w:before="60"/>
        <w:jc w:val="both"/>
      </w:pPr>
      <w:r>
        <w:rPr>
          <w:rFonts w:ascii="Arial" w:cs="Arial" w:eastAsia="Arial" w:hAnsi="Arial"/>
          <w:b w:val="false"/>
          <w:bCs w:val="false"/>
          <w:sz w:val="22"/>
          <w:szCs w:val="22"/>
        </w:rPr>
        <w:t xml:space="preserve">Anti-PEG antibody formation (ABC phenomenon) with repeated dosing of PEGylated carriers compromises long-term therapeutic efficacy and safety.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10.2 Emerging Frontiers</w:t>
      </w:r>
    </w:p>
    <w:p>
      <w:pPr>
        <w:pStyle w:val="ListParagraph"/>
        <w:numPr>
          <w:ilvl w:val="0"/>
          <w:numId w:val="2"/>
        </w:numPr>
        <w:spacing w:after="60" w:before="60"/>
        <w:jc w:val="both"/>
      </w:pPr>
      <w:r>
        <w:rPr>
          <w:rFonts w:ascii="Arial" w:cs="Arial" w:eastAsia="Arial" w:hAnsi="Arial"/>
          <w:b w:val="false"/>
          <w:bCs w:val="false"/>
          <w:sz w:val="22"/>
          <w:szCs w:val="22"/>
        </w:rPr>
        <w:t xml:space="preserve">PERSONALIZED TARGETING: Patient-specific tumor antigen profiling (from liquid biopsy or tumor sequencing) to select the optimal targeting ligand — truly personalized targeted nanomedicine.</w:t>
      </w:r>
    </w:p>
    <w:p>
      <w:pPr>
        <w:pStyle w:val="ListParagraph"/>
        <w:numPr>
          <w:ilvl w:val="0"/>
          <w:numId w:val="2"/>
        </w:numPr>
        <w:spacing w:after="60" w:before="60"/>
        <w:jc w:val="both"/>
      </w:pPr>
      <w:r>
        <w:rPr>
          <w:rFonts w:ascii="Arial" w:cs="Arial" w:eastAsia="Arial" w:hAnsi="Arial"/>
          <w:b w:val="false"/>
          <w:bCs w:val="false"/>
          <w:sz w:val="22"/>
          <w:szCs w:val="22"/>
        </w:rPr>
        <w:t xml:space="preserve">EXOSOME-BASED DELIVERY: Biological nanoparticles (exosomes, 30–150 nm) derived from the patient's own cells — inherently low immunogenicity, natural targeting tropism, and superior BBB crossing compared to synthetic carriers.</w:t>
      </w:r>
    </w:p>
    <w:p>
      <w:pPr>
        <w:pStyle w:val="ListParagraph"/>
        <w:numPr>
          <w:ilvl w:val="0"/>
          <w:numId w:val="2"/>
        </w:numPr>
        <w:spacing w:after="60" w:before="60"/>
        <w:jc w:val="both"/>
      </w:pPr>
      <w:r>
        <w:rPr>
          <w:rFonts w:ascii="Arial" w:cs="Arial" w:eastAsia="Arial" w:hAnsi="Arial"/>
          <w:b w:val="false"/>
          <w:bCs w:val="false"/>
          <w:sz w:val="22"/>
          <w:szCs w:val="22"/>
        </w:rPr>
        <w:t xml:space="preserve">STIMULI-RESPONSIVE MULTI-TRIGGER SYSTEMS: Carriers that require simultaneous multi-stimuli (e.g., acidic pH + elevated MMP + GSH) for drug release — dramatically improving target selectivity by requiring multiple tumor-specific conditions to be met simultaneously.</w:t>
      </w:r>
    </w:p>
    <w:p>
      <w:pPr>
        <w:pStyle w:val="ListParagraph"/>
        <w:numPr>
          <w:ilvl w:val="0"/>
          <w:numId w:val="2"/>
        </w:numPr>
        <w:spacing w:after="60" w:before="60"/>
        <w:jc w:val="both"/>
      </w:pPr>
      <w:r>
        <w:rPr>
          <w:rFonts w:ascii="Arial" w:cs="Arial" w:eastAsia="Arial" w:hAnsi="Arial"/>
          <w:b w:val="false"/>
          <w:bCs w:val="false"/>
          <w:sz w:val="22"/>
          <w:szCs w:val="22"/>
        </w:rPr>
        <w:t xml:space="preserve">ARTIFICIAL INTELLIGENCE IN TARGETING DESIGN: Machine learning algorithms analyzing tumor microenvironment proteomic data to rationally design optimal ligand-receptor pairs and predict in-vivo targeting efficiency before synthesis.</w:t>
      </w:r>
    </w:p>
    <w:p>
      <w:pPr>
        <w:spacing w:after="60" w:before="60"/>
      </w:pPr>
      <w:r>
        <w:t xml:space="preserve"/>
      </w:r>
    </w:p>
    <w:p>
      <w:pPr>
        <w:pStyle w:val="Heading1"/>
        <w:spacing w:after="160" w:before="320"/>
      </w:pPr>
      <w:r>
        <w:rPr>
          <w:rFonts w:ascii="Arial" w:cs="Arial" w:eastAsia="Arial" w:hAnsi="Arial"/>
          <w:b/>
          <w:bCs/>
          <w:color w:val="1F4E79"/>
          <w:sz w:val="30"/>
          <w:szCs w:val="30"/>
        </w:rPr>
        <w:t xml:space="preserve">11. Conclusion</w:t>
      </w:r>
    </w:p>
    <w:p>
      <w:pPr>
        <w:spacing w:after="80" w:before="80"/>
        <w:jc w:val="both"/>
      </w:pPr>
      <w:r>
        <w:rPr>
          <w:rFonts w:ascii="Arial" w:cs="Arial" w:eastAsia="Arial" w:hAnsi="Arial"/>
          <w:sz w:val="22"/>
          <w:szCs w:val="22"/>
        </w:rPr>
        <w:t xml:space="preserve">Targeted drug delivery is fundamentally a biological problem masquerading as a pharmaceutical one. The conceptual framework — from Paul Ehrlich's magic bullet to today's antibody-drug conjugates and siRNA lipid nanoparticles — is unified by a single biological reality: diseases create molecular differences between sick and healthy cells, and these differences can be exploited to direct therapeutic agents with unprecedented precision.</w:t>
      </w:r>
    </w:p>
    <w:p>
      <w:pPr>
        <w:spacing w:after="60" w:before="60"/>
      </w:pPr>
      <w:r>
        <w:t xml:space="preserve"/>
      </w:r>
    </w:p>
    <w:p>
      <w:pPr>
        <w:spacing w:after="80" w:before="80"/>
        <w:jc w:val="both"/>
      </w:pPr>
      <w:r>
        <w:rPr>
          <w:rFonts w:ascii="Arial" w:cs="Arial" w:eastAsia="Arial" w:hAnsi="Arial"/>
          <w:sz w:val="22"/>
          <w:szCs w:val="22"/>
        </w:rPr>
        <w:t xml:space="preserve">The biological events — systemic circulation, extravasation, receptor recognition, endocytosis, endosomal escape, and subcellular localization — form a sequential cascade where each step represents both a biological challenge and a design opportunity. The successful targeted drug delivery system is one that has been rationally engineered to navigate each of these events, exploiting the biology of disease rather than fighting it.</w:t>
      </w:r>
    </w:p>
    <w:p>
      <w:pPr>
        <w:spacing w:after="60" w:before="60"/>
      </w:pPr>
      <w:r>
        <w:t xml:space="preserve"/>
      </w:r>
    </w:p>
    <w:p>
      <w:pPr>
        <w:spacing w:after="80" w:before="80"/>
        <w:jc w:val="both"/>
      </w:pPr>
      <w:r>
        <w:rPr>
          <w:rFonts w:ascii="Arial" w:cs="Arial" w:eastAsia="Arial" w:hAnsi="Arial"/>
          <w:sz w:val="22"/>
          <w:szCs w:val="22"/>
        </w:rPr>
        <w:t xml:space="preserve">The future of targeted drug delivery lies not in perfecting any single technology but in integrating biological understanding with materials innovation — creating systems that are as dynamic and adaptive as the diseases they are designed to treat.</w:t>
      </w:r>
    </w:p>
    <w:p>
      <w:pPr>
        <w:spacing w:after="60" w:before="60"/>
      </w:pPr>
      <w:r>
        <w:t xml:space="preserve"/>
      </w:r>
    </w:p>
    <w:p>
      <w:pPr>
        <w:pStyle w:val="Heading1"/>
        <w:spacing w:after="160" w:before="320"/>
      </w:pPr>
      <w:r>
        <w:rPr>
          <w:rFonts w:ascii="Arial" w:cs="Arial" w:eastAsia="Arial" w:hAnsi="Arial"/>
          <w:b/>
          <w:bCs/>
          <w:color w:val="1F4E79"/>
          <w:sz w:val="30"/>
          <w:szCs w:val="30"/>
        </w:rPr>
        <w:t xml:space="preserve">References</w:t>
      </w:r>
    </w:p>
    <w:p>
      <w:pPr>
        <w:pStyle w:val="ListParagraph"/>
        <w:numPr>
          <w:ilvl w:val="0"/>
          <w:numId w:val="2"/>
        </w:numPr>
        <w:spacing w:after="60" w:before="60"/>
        <w:jc w:val="both"/>
      </w:pPr>
      <w:r>
        <w:rPr>
          <w:rFonts w:ascii="Arial" w:cs="Arial" w:eastAsia="Arial" w:hAnsi="Arial"/>
          <w:b w:val="false"/>
          <w:bCs w:val="false"/>
          <w:sz w:val="22"/>
          <w:szCs w:val="22"/>
        </w:rPr>
        <w:t xml:space="preserve">Matsumura Y, Maeda H. A new concept for macromolecular therapeutics in cancer chemotherapy. Cancer Research. 1986;46(12):6387–6392. [EPR Effect — Original Paper]</w:t>
      </w:r>
    </w:p>
    <w:p>
      <w:pPr>
        <w:pStyle w:val="ListParagraph"/>
        <w:numPr>
          <w:ilvl w:val="0"/>
          <w:numId w:val="2"/>
        </w:numPr>
        <w:spacing w:after="60" w:before="60"/>
        <w:jc w:val="both"/>
      </w:pPr>
      <w:r>
        <w:rPr>
          <w:rFonts w:ascii="Arial" w:cs="Arial" w:eastAsia="Arial" w:hAnsi="Arial"/>
          <w:b w:val="false"/>
          <w:bCs w:val="false"/>
          <w:sz w:val="22"/>
          <w:szCs w:val="22"/>
        </w:rPr>
        <w:t xml:space="preserve">Torchilin VP. Multifunctional, stimuli-sensitive nanoparticulate systems for drug delivery. Nature Reviews Drug Discovery. 2014;13(11):813–827.</w:t>
      </w:r>
    </w:p>
    <w:p>
      <w:pPr>
        <w:pStyle w:val="ListParagraph"/>
        <w:numPr>
          <w:ilvl w:val="0"/>
          <w:numId w:val="2"/>
        </w:numPr>
        <w:spacing w:after="60" w:before="60"/>
        <w:jc w:val="both"/>
      </w:pPr>
      <w:r>
        <w:rPr>
          <w:rFonts w:ascii="Arial" w:cs="Arial" w:eastAsia="Arial" w:hAnsi="Arial"/>
          <w:b w:val="false"/>
          <w:bCs w:val="false"/>
          <w:sz w:val="22"/>
          <w:szCs w:val="22"/>
        </w:rPr>
        <w:t xml:space="preserve">Jain RK, Stylianopoulos T. Delivering nanomedicine to solid tumors. Nature Reviews Clinical Oncology. 2010;7(11):653–664.</w:t>
      </w:r>
    </w:p>
    <w:p>
      <w:pPr>
        <w:pStyle w:val="ListParagraph"/>
        <w:numPr>
          <w:ilvl w:val="0"/>
          <w:numId w:val="2"/>
        </w:numPr>
        <w:spacing w:after="60" w:before="60"/>
        <w:jc w:val="both"/>
      </w:pPr>
      <w:r>
        <w:rPr>
          <w:rFonts w:ascii="Arial" w:cs="Arial" w:eastAsia="Arial" w:hAnsi="Arial"/>
          <w:b w:val="false"/>
          <w:bCs w:val="false"/>
          <w:sz w:val="22"/>
          <w:szCs w:val="22"/>
        </w:rPr>
        <w:t xml:space="preserve">Vyas SP, Khar RK. Controlled Drug Delivery — Concepts and Advances. Vallabh Prakashan; 2002.</w:t>
      </w:r>
    </w:p>
    <w:p>
      <w:pPr>
        <w:pStyle w:val="ListParagraph"/>
        <w:numPr>
          <w:ilvl w:val="0"/>
          <w:numId w:val="2"/>
        </w:numPr>
        <w:spacing w:after="60" w:before="60"/>
        <w:jc w:val="both"/>
      </w:pPr>
      <w:r>
        <w:rPr>
          <w:rFonts w:ascii="Arial" w:cs="Arial" w:eastAsia="Arial" w:hAnsi="Arial"/>
          <w:b w:val="false"/>
          <w:bCs w:val="false"/>
          <w:sz w:val="22"/>
          <w:szCs w:val="22"/>
        </w:rPr>
        <w:t xml:space="preserve">Jain NK. Controlled and Novel Drug Delivery. CBS Publishers; 1997.</w:t>
      </w:r>
    </w:p>
    <w:p>
      <w:pPr>
        <w:pStyle w:val="ListParagraph"/>
        <w:numPr>
          <w:ilvl w:val="0"/>
          <w:numId w:val="2"/>
        </w:numPr>
        <w:spacing w:after="60" w:before="60"/>
        <w:jc w:val="both"/>
      </w:pPr>
      <w:r>
        <w:rPr>
          <w:rFonts w:ascii="Arial" w:cs="Arial" w:eastAsia="Arial" w:hAnsi="Arial"/>
          <w:b w:val="false"/>
          <w:bCs w:val="false"/>
          <w:sz w:val="22"/>
          <w:szCs w:val="22"/>
        </w:rPr>
        <w:t xml:space="preserve">Chien YW. Novel Drug Delivery Systems. 2nd ed. Marcel Dekker; 1992.</w:t>
      </w:r>
    </w:p>
    <w:p>
      <w:pPr>
        <w:pStyle w:val="ListParagraph"/>
        <w:numPr>
          <w:ilvl w:val="0"/>
          <w:numId w:val="2"/>
        </w:numPr>
        <w:spacing w:after="60" w:before="60"/>
        <w:jc w:val="both"/>
      </w:pPr>
      <w:r>
        <w:rPr>
          <w:rFonts w:ascii="Arial" w:cs="Arial" w:eastAsia="Arial" w:hAnsi="Arial"/>
          <w:b w:val="false"/>
          <w:bCs w:val="false"/>
          <w:sz w:val="22"/>
          <w:szCs w:val="22"/>
        </w:rPr>
        <w:t xml:space="preserve">Peer D, et al. Nanocarriers as an emerging platform for cancer therapy. Nature Nanotechnology. 2007;2(12):751–760.</w:t>
      </w:r>
    </w:p>
    <w:p>
      <w:pPr>
        <w:pStyle w:val="ListParagraph"/>
        <w:numPr>
          <w:ilvl w:val="0"/>
          <w:numId w:val="2"/>
        </w:numPr>
        <w:spacing w:after="60" w:before="60"/>
        <w:jc w:val="both"/>
      </w:pPr>
      <w:r>
        <w:rPr>
          <w:rFonts w:ascii="Arial" w:cs="Arial" w:eastAsia="Arial" w:hAnsi="Arial"/>
          <w:b w:val="false"/>
          <w:bCs w:val="false"/>
          <w:sz w:val="22"/>
          <w:szCs w:val="22"/>
        </w:rPr>
        <w:t xml:space="preserve">Allen TM, Cullis PR. Drug delivery systems: entering the mainstream. Science. 2004;303(5665):1818–1822.</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20"/>
      <w:jc w:val="center"/>
    </w:pPr>
    <w:r>
      <w:rPr>
        <w:rFonts w:ascii="Arial" w:cs="Arial" w:eastAsia="Arial" w:hAnsi="Arial"/>
        <w:color w:val="595959"/>
        <w:sz w:val="18"/>
        <w:szCs w:val="18"/>
      </w:rPr>
      <w:t xml:space="preserve">M.Pharm Examination Answer | Targeted Drug Delivery Systems | Page </w:t>
    </w:r>
    <w:r>
      <w:rPr>
        <w:rFonts w:ascii="Arial" w:cs="Arial" w:eastAsia="Arial" w:hAnsi="Arial"/>
        <w:color w:val="595959"/>
        <w:sz w:val="18"/>
        <w:szCs w:val="18"/>
      </w:rPr>
      <w:t xml:space="preserve">M.Pharm Examination Answer | Targeted Drug Delivery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60" w:before="0"/>
    </w:pPr>
    <w:r>
      <w:rPr>
        <w:rFonts w:ascii="Arial" w:cs="Arial" w:eastAsia="Arial" w:hAnsi="Arial"/>
        <w:b/>
        <w:bCs/>
        <w:color w:val="2E75B6"/>
        <w:sz w:val="18"/>
        <w:szCs w:val="18"/>
      </w:rPr>
      <w:t xml:space="preserve">MPH 201T – Molecular Pharmaceutics (NTDS)  |  Unit 1 – Part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2026-04-12T11:29:39.001Z</dcterms:created>
  <dcterms:modified xsi:type="dcterms:W3CDTF">2026-04-12T11:29:39.002Z</dcterms:modified>
</cp:coreProperties>
</file>

<file path=docProps/custom.xml><?xml version="1.0" encoding="utf-8"?>
<Properties xmlns="http://schemas.openxmlformats.org/officeDocument/2006/custom-properties" xmlns:vt="http://schemas.openxmlformats.org/officeDocument/2006/docPropsVTypes"/>
</file>