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GreenTrail Outdoors – Promotional Strategy Recommendation</w:t>
      </w:r>
    </w:p>
    <w:p>
      <w:r>
        <w:rPr>
          <w:b/>
        </w:rPr>
        <w:t xml:space="preserve">Recommended Strategy: </w:t>
      </w:r>
      <w:r>
        <w:t>Sustainability-Focused Special Event Promotion</w:t>
      </w:r>
    </w:p>
    <w:p>
      <w:pPr>
        <w:pStyle w:val="Heading1"/>
      </w:pPr>
      <w:r>
        <w:t>1. Recommended Promotion Strategy</w:t>
      </w:r>
    </w:p>
    <w:p>
      <w:r>
        <w:t>GreenTrail Outdoors should use a sustainability-focused Special Event promotion. This combines the strongest-performing historical promotion type with GreenTrail's sustainability ethos.</w:t>
      </w:r>
    </w:p>
    <w:p>
      <w:pPr>
        <w:pStyle w:val="Heading1"/>
      </w:pPr>
      <w:r>
        <w:t>2. Data-Based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Promotion Type</w:t>
            </w:r>
          </w:p>
        </w:tc>
        <w:tc>
          <w:tcPr>
            <w:tcW w:type="dxa" w:w="2880"/>
          </w:tcPr>
          <w:p>
            <w:r>
              <w:t>Average Sales After</w:t>
            </w:r>
          </w:p>
        </w:tc>
        <w:tc>
          <w:tcPr>
            <w:tcW w:type="dxa" w:w="2880"/>
          </w:tcPr>
          <w:p>
            <w:r>
              <w:t>Average Visit Uplift</w:t>
            </w:r>
          </w:p>
        </w:tc>
      </w:tr>
      <w:tr>
        <w:tc>
          <w:tcPr>
            <w:tcW w:type="dxa" w:w="2880"/>
          </w:tcPr>
          <w:p>
            <w:r>
              <w:t>Buy-One-Get-One</w:t>
            </w:r>
          </w:p>
        </w:tc>
        <w:tc>
          <w:tcPr>
            <w:tcW w:type="dxa" w:w="2880"/>
          </w:tcPr>
          <w:p>
            <w:r>
              <w:t>$37,750</w:t>
            </w:r>
          </w:p>
        </w:tc>
        <w:tc>
          <w:tcPr>
            <w:tcW w:type="dxa" w:w="2880"/>
          </w:tcPr>
          <w:p>
            <w:r>
              <w:t>20.72%</w:t>
            </w:r>
          </w:p>
        </w:tc>
      </w:tr>
      <w:tr>
        <w:tc>
          <w:tcPr>
            <w:tcW w:type="dxa" w:w="2880"/>
          </w:tcPr>
          <w:p>
            <w:r>
              <w:t>Discount</w:t>
            </w:r>
          </w:p>
        </w:tc>
        <w:tc>
          <w:tcPr>
            <w:tcW w:type="dxa" w:w="2880"/>
          </w:tcPr>
          <w:p>
            <w:r>
              <w:t>$37,777.78</w:t>
            </w:r>
          </w:p>
        </w:tc>
        <w:tc>
          <w:tcPr>
            <w:tcW w:type="dxa" w:w="2880"/>
          </w:tcPr>
          <w:p>
            <w:r>
              <w:t>26.32%</w:t>
            </w:r>
          </w:p>
        </w:tc>
      </w:tr>
      <w:tr>
        <w:tc>
          <w:tcPr>
            <w:tcW w:type="dxa" w:w="2880"/>
          </w:tcPr>
          <w:p>
            <w:r>
              <w:t>Special Event</w:t>
            </w:r>
          </w:p>
        </w:tc>
        <w:tc>
          <w:tcPr>
            <w:tcW w:type="dxa" w:w="2880"/>
          </w:tcPr>
          <w:p>
            <w:r>
              <w:t>$39,375</w:t>
            </w:r>
          </w:p>
        </w:tc>
        <w:tc>
          <w:tcPr>
            <w:tcW w:type="dxa" w:w="2880"/>
          </w:tcPr>
          <w:p>
            <w:r>
              <w:t>29.89%</w:t>
            </w:r>
          </w:p>
        </w:tc>
      </w:tr>
    </w:tbl>
    <w:p>
      <w:r>
        <w:t>Special Event is the preferred option because it has the highest average sales after promotion and the highest customer visit uplift.</w:t>
      </w:r>
    </w:p>
    <w:p>
      <w:pPr>
        <w:pStyle w:val="Heading1"/>
      </w:pPr>
      <w:r>
        <w:t>3. Proposed Sustainable Special Event</w:t>
      </w:r>
    </w:p>
    <w:p>
      <w:pPr>
        <w:pStyle w:val="ListBullet"/>
      </w:pPr>
      <w:r>
        <w:t>Sustainable product showcase and demonstrations</w:t>
      </w:r>
    </w:p>
    <w:p>
      <w:pPr>
        <w:pStyle w:val="ListBullet"/>
      </w:pPr>
      <w:r>
        <w:t>Eco-friendly product bundles</w:t>
      </w:r>
    </w:p>
    <w:p>
      <w:pPr>
        <w:pStyle w:val="ListBullet"/>
      </w:pPr>
      <w:r>
        <w:t>Product recycling or trade-in activities</w:t>
      </w:r>
    </w:p>
    <w:p>
      <w:pPr>
        <w:pStyle w:val="ListBullet"/>
      </w:pPr>
      <w:r>
        <w:t>Repair and maintenance workshops</w:t>
      </w:r>
    </w:p>
    <w:p>
      <w:pPr>
        <w:pStyle w:val="ListBullet"/>
      </w:pPr>
      <w:r>
        <w:t>Education on sustainable outdoor practices</w:t>
      </w:r>
    </w:p>
    <w:p>
      <w:pPr>
        <w:pStyle w:val="Heading1"/>
      </w:pPr>
      <w:r>
        <w:t>4. Test &amp; Learn Approach</w:t>
      </w:r>
    </w:p>
    <w:p>
      <w:r>
        <w:t>Use comparable test and control stores. Match stores using historical sales, customer traffic, store size, store type, geography, and product mix. Random assignment should be used where feasible.</w:t>
      </w:r>
    </w:p>
    <w:p>
      <w:pPr>
        <w:pStyle w:val="Heading1"/>
      </w:pPr>
      <w:r>
        <w:t>5. Test Duration</w:t>
      </w:r>
    </w:p>
    <w:p>
      <w:r>
        <w:t>Run the test for 4–6 weeks. This provides enough observations to evaluate customer response while allowing GreenTrail to adapt quickly.</w:t>
      </w:r>
    </w:p>
    <w:p>
      <w:pPr>
        <w:pStyle w:val="Heading1"/>
      </w:pPr>
      <w:r>
        <w:t>6. Key Success Metrics</w:t>
      </w:r>
    </w:p>
    <w:p>
      <w:pPr>
        <w:pStyle w:val="ListBullet"/>
      </w:pPr>
      <w:r>
        <w:t>Incremental sales and profit</w:t>
      </w:r>
    </w:p>
    <w:p>
      <w:pPr>
        <w:pStyle w:val="ListBullet"/>
      </w:pPr>
      <w:r>
        <w:t>Promotion ROI</w:t>
      </w:r>
    </w:p>
    <w:p>
      <w:pPr>
        <w:pStyle w:val="ListBullet"/>
      </w:pPr>
      <w:r>
        <w:t>Customer visits and transactions</w:t>
      </w:r>
    </w:p>
    <w:p>
      <w:pPr>
        <w:pStyle w:val="ListBullet"/>
      </w:pPr>
      <w:r>
        <w:t>Average basket size</w:t>
      </w:r>
    </w:p>
    <w:p>
      <w:pPr>
        <w:pStyle w:val="ListBullet"/>
      </w:pPr>
      <w:r>
        <w:t>Sustainable-product sales and product mix</w:t>
      </w:r>
    </w:p>
    <w:p>
      <w:pPr>
        <w:pStyle w:val="ListBullet"/>
      </w:pPr>
      <w:r>
        <w:t>Repeat purchases</w:t>
      </w:r>
    </w:p>
    <w:p>
      <w:pPr>
        <w:pStyle w:val="Heading1"/>
      </w:pPr>
      <w:r>
        <w:t>7. Final Recommendation</w:t>
      </w:r>
    </w:p>
    <w:p>
      <w:r>
        <w:t>GreenTrail should test a sustainability-focused Special Event promotion, initially focusing on comparable high-performing stores, including Urban locations where appropriate. The promotion should be evaluated through a controlled 4–6 week Test &amp; Learn experiment before wider rollout.</w:t>
      </w:r>
    </w:p>
    <w:p>
      <w:r>
        <w:t>Important: Because all 25 historical stores received promotions, the historical results are observational. A control group is required to establish the promotion's incremental causal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