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CRISP-ML(Q) Phase 2: Data Understanding</w:t>
      </w:r>
    </w:p>
    <w:p>
      <w:pPr>
        <w:jc w:val="center"/>
      </w:pPr>
      <w:r>
        <w:rPr>
          <w:b/>
          <w:color w:val="1F4E79"/>
          <w:sz w:val="28"/>
        </w:rPr>
        <w:t>Predictive Inventory Optimization for Footwear Wholesale Distribution</w:t>
        <w:br/>
        <w:t>Using Machine Learning</w:t>
      </w:r>
    </w:p>
    <w:p/>
    <w:p>
      <w:pPr>
        <w:pStyle w:val="Heading1"/>
      </w:pPr>
      <w:r>
        <w:t>2.1 Data Source Description</w:t>
      </w:r>
    </w:p>
    <w:p>
      <w:pPr>
        <w:pStyle w:val="Heading2"/>
      </w:pPr>
      <w:r>
        <w:t>2.1.1 Dataset Overview</w:t>
      </w:r>
    </w:p>
    <w:tbl>
      <w:tblPr>
        <w:tblStyle w:val="TableGrid"/>
        <w:tblW w:type="auto" w:w="0"/>
        <w:jc w:val="center"/>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Property</w:t>
            </w:r>
          </w:p>
        </w:tc>
        <w:tc>
          <w:tcPr>
            <w:tcW w:type="dxa" w:w="4320"/>
            <w:shd w:fill="1F4E79" w:val="clear"/>
          </w:tcPr>
          <w:p>
            <w:pPr>
              <w:jc w:val="center"/>
            </w:pPr>
            <w:r>
              <w:rPr>
                <w:b/>
                <w:color w:val="FFFFFF"/>
                <w:sz w:val="18"/>
              </w:rPr>
              <w:t>Details</w:t>
            </w:r>
          </w:p>
        </w:tc>
      </w:tr>
      <w:tr>
        <w:tc>
          <w:tcPr>
            <w:tcW w:type="dxa" w:w="4320"/>
          </w:tcPr>
          <w:p>
            <w:r>
              <w:rPr>
                <w:sz w:val="18"/>
              </w:rPr>
              <w:t>File Name</w:t>
            </w:r>
          </w:p>
        </w:tc>
        <w:tc>
          <w:tcPr>
            <w:tcW w:type="dxa" w:w="4320"/>
          </w:tcPr>
          <w:p>
            <w:r>
              <w:rPr>
                <w:sz w:val="18"/>
              </w:rPr>
              <w:t>FootWare_Wholesale_Sales_Dataset.csv</w:t>
            </w:r>
          </w:p>
        </w:tc>
      </w:tr>
      <w:tr>
        <w:tc>
          <w:tcPr>
            <w:tcW w:type="dxa" w:w="4320"/>
            <w:shd w:fill="F2F2F2" w:val="clear"/>
          </w:tcPr>
          <w:p>
            <w:r>
              <w:rPr>
                <w:sz w:val="18"/>
              </w:rPr>
              <w:t>File Format</w:t>
            </w:r>
          </w:p>
        </w:tc>
        <w:tc>
          <w:tcPr>
            <w:tcW w:type="dxa" w:w="4320"/>
            <w:shd w:fill="F2F2F2" w:val="clear"/>
          </w:tcPr>
          <w:p>
            <w:r>
              <w:rPr>
                <w:sz w:val="18"/>
              </w:rPr>
              <w:t>Comma-Separated Values (CSV)</w:t>
            </w:r>
          </w:p>
        </w:tc>
      </w:tr>
      <w:tr>
        <w:tc>
          <w:tcPr>
            <w:tcW w:type="dxa" w:w="4320"/>
          </w:tcPr>
          <w:p>
            <w:r>
              <w:rPr>
                <w:sz w:val="18"/>
              </w:rPr>
              <w:t>File Size</w:t>
            </w:r>
          </w:p>
        </w:tc>
        <w:tc>
          <w:tcPr>
            <w:tcW w:type="dxa" w:w="4320"/>
          </w:tcPr>
          <w:p>
            <w:r>
              <w:rPr>
                <w:sz w:val="18"/>
              </w:rPr>
              <w:t>~1.18 MB</w:t>
            </w:r>
          </w:p>
        </w:tc>
      </w:tr>
      <w:tr>
        <w:tc>
          <w:tcPr>
            <w:tcW w:type="dxa" w:w="4320"/>
            <w:shd w:fill="F2F2F2" w:val="clear"/>
          </w:tcPr>
          <w:p>
            <w:r>
              <w:rPr>
                <w:sz w:val="18"/>
              </w:rPr>
              <w:t>Total Records</w:t>
            </w:r>
          </w:p>
        </w:tc>
        <w:tc>
          <w:tcPr>
            <w:tcW w:type="dxa" w:w="4320"/>
            <w:shd w:fill="F2F2F2" w:val="clear"/>
          </w:tcPr>
          <w:p>
            <w:r>
              <w:rPr>
                <w:sz w:val="18"/>
              </w:rPr>
              <w:t>11,116 transaction records</w:t>
            </w:r>
          </w:p>
        </w:tc>
      </w:tr>
      <w:tr>
        <w:tc>
          <w:tcPr>
            <w:tcW w:type="dxa" w:w="4320"/>
          </w:tcPr>
          <w:p>
            <w:r>
              <w:rPr>
                <w:sz w:val="18"/>
              </w:rPr>
              <w:t>Total Features</w:t>
            </w:r>
          </w:p>
        </w:tc>
        <w:tc>
          <w:tcPr>
            <w:tcW w:type="dxa" w:w="4320"/>
          </w:tcPr>
          <w:p>
            <w:r>
              <w:rPr>
                <w:sz w:val="18"/>
              </w:rPr>
              <w:t>16 columns (attributes)</w:t>
            </w:r>
          </w:p>
        </w:tc>
      </w:tr>
      <w:tr>
        <w:tc>
          <w:tcPr>
            <w:tcW w:type="dxa" w:w="4320"/>
            <w:shd w:fill="F2F2F2" w:val="clear"/>
          </w:tcPr>
          <w:p>
            <w:r>
              <w:rPr>
                <w:sz w:val="18"/>
              </w:rPr>
              <w:t>Date Range</w:t>
            </w:r>
          </w:p>
        </w:tc>
        <w:tc>
          <w:tcPr>
            <w:tcW w:type="dxa" w:w="4320"/>
            <w:shd w:fill="F2F2F2" w:val="clear"/>
          </w:tcPr>
          <w:p>
            <w:r>
              <w:rPr>
                <w:sz w:val="18"/>
              </w:rPr>
              <w:t>01 January 2023 to 31 December 2025 (3 complete years)</w:t>
            </w:r>
          </w:p>
        </w:tc>
      </w:tr>
      <w:tr>
        <w:tc>
          <w:tcPr>
            <w:tcW w:type="dxa" w:w="4320"/>
          </w:tcPr>
          <w:p>
            <w:r>
              <w:rPr>
                <w:sz w:val="18"/>
              </w:rPr>
              <w:t>Granularity</w:t>
            </w:r>
          </w:p>
        </w:tc>
        <w:tc>
          <w:tcPr>
            <w:tcW w:type="dxa" w:w="4320"/>
          </w:tcPr>
          <w:p>
            <w:r>
              <w:rPr>
                <w:sz w:val="18"/>
              </w:rPr>
              <w:t>Transaction-level (multiple records per day per product)</w:t>
            </w:r>
          </w:p>
        </w:tc>
      </w:tr>
      <w:tr>
        <w:tc>
          <w:tcPr>
            <w:tcW w:type="dxa" w:w="4320"/>
            <w:shd w:fill="F2F2F2" w:val="clear"/>
          </w:tcPr>
          <w:p>
            <w:r>
              <w:rPr>
                <w:sz w:val="18"/>
              </w:rPr>
              <w:t>Source Type</w:t>
            </w:r>
          </w:p>
        </w:tc>
        <w:tc>
          <w:tcPr>
            <w:tcW w:type="dxa" w:w="4320"/>
            <w:shd w:fill="F2F2F2" w:val="clear"/>
          </w:tcPr>
          <w:p>
            <w:r>
              <w:rPr>
                <w:sz w:val="18"/>
              </w:rPr>
              <w:t>Historical wholesale sales records</w:t>
            </w:r>
          </w:p>
        </w:tc>
      </w:tr>
      <w:tr>
        <w:tc>
          <w:tcPr>
            <w:tcW w:type="dxa" w:w="4320"/>
          </w:tcPr>
          <w:p>
            <w:r>
              <w:rPr>
                <w:sz w:val="18"/>
              </w:rPr>
              <w:t>Encoding</w:t>
            </w:r>
          </w:p>
        </w:tc>
        <w:tc>
          <w:tcPr>
            <w:tcW w:type="dxa" w:w="4320"/>
          </w:tcPr>
          <w:p>
            <w:r>
              <w:rPr>
                <w:sz w:val="18"/>
              </w:rPr>
              <w:t>UTF-8</w:t>
            </w:r>
          </w:p>
        </w:tc>
      </w:tr>
    </w:tbl>
    <w:p>
      <w:pPr>
        <w:pStyle w:val="Heading2"/>
      </w:pPr>
      <w:r>
        <w:t>2.1.2 Data Collection Context</w:t>
      </w:r>
    </w:p>
    <w:p>
      <w:r>
        <w:rPr>
          <w:b w:val="0"/>
          <w:i w:val="0"/>
          <w:sz w:val="22"/>
        </w:rPr>
        <w:t>The dataset represents daily wholesale footwear sales transactions recorded across a distribution network of 7 dealers operating in 4 Indian cities. Each record captures a single sales transaction including product details, pricing, profitability, taxation, dealer information, and current stock levels.</w:t>
      </w:r>
    </w:p>
    <w:p>
      <w:pPr>
        <w:pStyle w:val="Heading1"/>
      </w:pPr>
      <w:r>
        <w:t>2.2 Data Dictionary — Feature Description</w:t>
      </w:r>
    </w:p>
    <w:p>
      <w:pPr>
        <w:pStyle w:val="Heading2"/>
      </w:pPr>
      <w:r>
        <w:t>2.2.1 Complete Feature Listing</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val="clear"/>
          </w:tcPr>
          <w:p>
            <w:pPr>
              <w:jc w:val="center"/>
            </w:pPr>
            <w:r>
              <w:rPr>
                <w:b/>
                <w:color w:val="FFFFFF"/>
                <w:sz w:val="18"/>
              </w:rPr>
              <w:t>#</w:t>
            </w:r>
          </w:p>
        </w:tc>
        <w:tc>
          <w:tcPr>
            <w:tcW w:type="dxa" w:w="1728"/>
            <w:shd w:fill="1F4E79" w:val="clear"/>
          </w:tcPr>
          <w:p>
            <w:pPr>
              <w:jc w:val="center"/>
            </w:pPr>
            <w:r>
              <w:rPr>
                <w:b/>
                <w:color w:val="FFFFFF"/>
                <w:sz w:val="18"/>
              </w:rPr>
              <w:t>Column Name</w:t>
            </w:r>
          </w:p>
        </w:tc>
        <w:tc>
          <w:tcPr>
            <w:tcW w:type="dxa" w:w="1728"/>
            <w:shd w:fill="1F4E79" w:val="clear"/>
          </w:tcPr>
          <w:p>
            <w:pPr>
              <w:jc w:val="center"/>
            </w:pPr>
            <w:r>
              <w:rPr>
                <w:b/>
                <w:color w:val="FFFFFF"/>
                <w:sz w:val="18"/>
              </w:rPr>
              <w:t>Data Type</w:t>
            </w:r>
          </w:p>
        </w:tc>
        <w:tc>
          <w:tcPr>
            <w:tcW w:type="dxa" w:w="1728"/>
            <w:shd w:fill="1F4E79" w:val="clear"/>
          </w:tcPr>
          <w:p>
            <w:pPr>
              <w:jc w:val="center"/>
            </w:pPr>
            <w:r>
              <w:rPr>
                <w:b/>
                <w:color w:val="FFFFFF"/>
                <w:sz w:val="18"/>
              </w:rPr>
              <w:t>Description</w:t>
            </w:r>
          </w:p>
        </w:tc>
        <w:tc>
          <w:tcPr>
            <w:tcW w:type="dxa" w:w="1728"/>
            <w:shd w:fill="1F4E79" w:val="clear"/>
          </w:tcPr>
          <w:p>
            <w:pPr>
              <w:jc w:val="center"/>
            </w:pPr>
            <w:r>
              <w:rPr>
                <w:b/>
                <w:color w:val="FFFFFF"/>
                <w:sz w:val="18"/>
              </w:rPr>
              <w:t>Role in ML</w:t>
            </w:r>
          </w:p>
        </w:tc>
      </w:tr>
      <w:tr>
        <w:tc>
          <w:tcPr>
            <w:tcW w:type="dxa" w:w="1728"/>
          </w:tcPr>
          <w:p>
            <w:r>
              <w:rPr>
                <w:sz w:val="18"/>
              </w:rPr>
              <w:t>1</w:t>
            </w:r>
          </w:p>
        </w:tc>
        <w:tc>
          <w:tcPr>
            <w:tcW w:type="dxa" w:w="1728"/>
          </w:tcPr>
          <w:p>
            <w:r>
              <w:rPr>
                <w:sz w:val="18"/>
              </w:rPr>
              <w:t>Date</w:t>
            </w:r>
          </w:p>
        </w:tc>
        <w:tc>
          <w:tcPr>
            <w:tcW w:type="dxa" w:w="1728"/>
          </w:tcPr>
          <w:p>
            <w:r>
              <w:rPr>
                <w:sz w:val="18"/>
              </w:rPr>
              <w:t>String (DD-MM-YYYY)</w:t>
            </w:r>
          </w:p>
        </w:tc>
        <w:tc>
          <w:tcPr>
            <w:tcW w:type="dxa" w:w="1728"/>
          </w:tcPr>
          <w:p>
            <w:r>
              <w:rPr>
                <w:sz w:val="18"/>
              </w:rPr>
              <w:t>Date of sales transaction</w:t>
            </w:r>
          </w:p>
        </w:tc>
        <w:tc>
          <w:tcPr>
            <w:tcW w:type="dxa" w:w="1728"/>
          </w:tcPr>
          <w:p>
            <w:r>
              <w:rPr>
                <w:sz w:val="18"/>
              </w:rPr>
              <w:t>Time-based feature engineering</w:t>
            </w:r>
          </w:p>
        </w:tc>
      </w:tr>
      <w:tr>
        <w:tc>
          <w:tcPr>
            <w:tcW w:type="dxa" w:w="1728"/>
            <w:shd w:fill="F2F2F2" w:val="clear"/>
          </w:tcPr>
          <w:p>
            <w:r>
              <w:rPr>
                <w:sz w:val="18"/>
              </w:rPr>
              <w:t>2</w:t>
            </w:r>
          </w:p>
        </w:tc>
        <w:tc>
          <w:tcPr>
            <w:tcW w:type="dxa" w:w="1728"/>
            <w:shd w:fill="F2F2F2" w:val="clear"/>
          </w:tcPr>
          <w:p>
            <w:r>
              <w:rPr>
                <w:sz w:val="18"/>
              </w:rPr>
              <w:t>Product</w:t>
            </w:r>
          </w:p>
        </w:tc>
        <w:tc>
          <w:tcPr>
            <w:tcW w:type="dxa" w:w="1728"/>
            <w:shd w:fill="F2F2F2" w:val="clear"/>
          </w:tcPr>
          <w:p>
            <w:r>
              <w:rPr>
                <w:sz w:val="18"/>
              </w:rPr>
              <w:t>Categorical</w:t>
            </w:r>
          </w:p>
        </w:tc>
        <w:tc>
          <w:tcPr>
            <w:tcW w:type="dxa" w:w="1728"/>
            <w:shd w:fill="F2F2F2" w:val="clear"/>
          </w:tcPr>
          <w:p>
            <w:r>
              <w:rPr>
                <w:sz w:val="18"/>
              </w:rPr>
              <w:t>Product category/type</w:t>
            </w:r>
          </w:p>
        </w:tc>
        <w:tc>
          <w:tcPr>
            <w:tcW w:type="dxa" w:w="1728"/>
            <w:shd w:fill="F2F2F2" w:val="clear"/>
          </w:tcPr>
          <w:p>
            <w:r>
              <w:rPr>
                <w:sz w:val="18"/>
              </w:rPr>
              <w:t>Input feature (encoded)</w:t>
            </w:r>
          </w:p>
        </w:tc>
      </w:tr>
      <w:tr>
        <w:tc>
          <w:tcPr>
            <w:tcW w:type="dxa" w:w="1728"/>
          </w:tcPr>
          <w:p>
            <w:r>
              <w:rPr>
                <w:sz w:val="18"/>
              </w:rPr>
              <w:t>3</w:t>
            </w:r>
          </w:p>
        </w:tc>
        <w:tc>
          <w:tcPr>
            <w:tcW w:type="dxa" w:w="1728"/>
          </w:tcPr>
          <w:p>
            <w:r>
              <w:rPr>
                <w:sz w:val="18"/>
              </w:rPr>
              <w:t>Brand</w:t>
            </w:r>
          </w:p>
        </w:tc>
        <w:tc>
          <w:tcPr>
            <w:tcW w:type="dxa" w:w="1728"/>
          </w:tcPr>
          <w:p>
            <w:r>
              <w:rPr>
                <w:sz w:val="18"/>
              </w:rPr>
              <w:t>Categorical</w:t>
            </w:r>
          </w:p>
        </w:tc>
        <w:tc>
          <w:tcPr>
            <w:tcW w:type="dxa" w:w="1728"/>
          </w:tcPr>
          <w:p>
            <w:r>
              <w:rPr>
                <w:sz w:val="18"/>
              </w:rPr>
              <w:t>Brand name of the product</w:t>
            </w:r>
          </w:p>
        </w:tc>
        <w:tc>
          <w:tcPr>
            <w:tcW w:type="dxa" w:w="1728"/>
          </w:tcPr>
          <w:p>
            <w:r>
              <w:rPr>
                <w:sz w:val="18"/>
              </w:rPr>
              <w:t>Input feature (encoded)</w:t>
            </w:r>
          </w:p>
        </w:tc>
      </w:tr>
      <w:tr>
        <w:tc>
          <w:tcPr>
            <w:tcW w:type="dxa" w:w="1728"/>
            <w:shd w:fill="F2F2F2" w:val="clear"/>
          </w:tcPr>
          <w:p>
            <w:r>
              <w:rPr>
                <w:sz w:val="18"/>
              </w:rPr>
              <w:t>4</w:t>
            </w:r>
          </w:p>
        </w:tc>
        <w:tc>
          <w:tcPr>
            <w:tcW w:type="dxa" w:w="1728"/>
            <w:shd w:fill="F2F2F2" w:val="clear"/>
          </w:tcPr>
          <w:p>
            <w:r>
              <w:rPr>
                <w:sz w:val="18"/>
              </w:rPr>
              <w:t>Size</w:t>
            </w:r>
          </w:p>
        </w:tc>
        <w:tc>
          <w:tcPr>
            <w:tcW w:type="dxa" w:w="1728"/>
            <w:shd w:fill="F2F2F2" w:val="clear"/>
          </w:tcPr>
          <w:p>
            <w:r>
              <w:rPr>
                <w:sz w:val="18"/>
              </w:rPr>
              <w:t>Numerical (Integer)</w:t>
            </w:r>
          </w:p>
        </w:tc>
        <w:tc>
          <w:tcPr>
            <w:tcW w:type="dxa" w:w="1728"/>
            <w:shd w:fill="F2F2F2" w:val="clear"/>
          </w:tcPr>
          <w:p>
            <w:r>
              <w:rPr>
                <w:sz w:val="18"/>
              </w:rPr>
              <w:t>Shoe size</w:t>
            </w:r>
          </w:p>
        </w:tc>
        <w:tc>
          <w:tcPr>
            <w:tcW w:type="dxa" w:w="1728"/>
            <w:shd w:fill="F2F2F2" w:val="clear"/>
          </w:tcPr>
          <w:p>
            <w:r>
              <w:rPr>
                <w:sz w:val="18"/>
              </w:rPr>
              <w:t>Input feature</w:t>
            </w:r>
          </w:p>
        </w:tc>
      </w:tr>
      <w:tr>
        <w:tc>
          <w:tcPr>
            <w:tcW w:type="dxa" w:w="1728"/>
          </w:tcPr>
          <w:p>
            <w:r>
              <w:rPr>
                <w:sz w:val="18"/>
              </w:rPr>
              <w:t>5</w:t>
            </w:r>
          </w:p>
        </w:tc>
        <w:tc>
          <w:tcPr>
            <w:tcW w:type="dxa" w:w="1728"/>
          </w:tcPr>
          <w:p>
            <w:r>
              <w:rPr>
                <w:sz w:val="18"/>
              </w:rPr>
              <w:t>Quantity Sold</w:t>
            </w:r>
          </w:p>
        </w:tc>
        <w:tc>
          <w:tcPr>
            <w:tcW w:type="dxa" w:w="1728"/>
          </w:tcPr>
          <w:p>
            <w:r>
              <w:rPr>
                <w:sz w:val="18"/>
              </w:rPr>
              <w:t>Numerical (Integer)</w:t>
            </w:r>
          </w:p>
        </w:tc>
        <w:tc>
          <w:tcPr>
            <w:tcW w:type="dxa" w:w="1728"/>
          </w:tcPr>
          <w:p>
            <w:r>
              <w:rPr>
                <w:sz w:val="18"/>
              </w:rPr>
              <w:t>Units sold in transaction</w:t>
            </w:r>
          </w:p>
        </w:tc>
        <w:tc>
          <w:tcPr>
            <w:tcW w:type="dxa" w:w="1728"/>
          </w:tcPr>
          <w:p>
            <w:r>
              <w:rPr>
                <w:sz w:val="18"/>
              </w:rPr>
              <w:t>TARGET VARIABLE</w:t>
            </w:r>
          </w:p>
        </w:tc>
      </w:tr>
      <w:tr>
        <w:tc>
          <w:tcPr>
            <w:tcW w:type="dxa" w:w="1728"/>
            <w:shd w:fill="F2F2F2" w:val="clear"/>
          </w:tcPr>
          <w:p>
            <w:r>
              <w:rPr>
                <w:sz w:val="18"/>
              </w:rPr>
              <w:t>6</w:t>
            </w:r>
          </w:p>
        </w:tc>
        <w:tc>
          <w:tcPr>
            <w:tcW w:type="dxa" w:w="1728"/>
            <w:shd w:fill="F2F2F2" w:val="clear"/>
          </w:tcPr>
          <w:p>
            <w:r>
              <w:rPr>
                <w:sz w:val="18"/>
              </w:rPr>
              <w:t>Unit Price (₹)</w:t>
            </w:r>
          </w:p>
        </w:tc>
        <w:tc>
          <w:tcPr>
            <w:tcW w:type="dxa" w:w="1728"/>
            <w:shd w:fill="F2F2F2" w:val="clear"/>
          </w:tcPr>
          <w:p>
            <w:r>
              <w:rPr>
                <w:sz w:val="18"/>
              </w:rPr>
              <w:t>Numerical (Float)</w:t>
            </w:r>
          </w:p>
        </w:tc>
        <w:tc>
          <w:tcPr>
            <w:tcW w:type="dxa" w:w="1728"/>
            <w:shd w:fill="F2F2F2" w:val="clear"/>
          </w:tcPr>
          <w:p>
            <w:r>
              <w:rPr>
                <w:sz w:val="18"/>
              </w:rPr>
              <w:t>Selling price per unit</w:t>
            </w:r>
          </w:p>
        </w:tc>
        <w:tc>
          <w:tcPr>
            <w:tcW w:type="dxa" w:w="1728"/>
            <w:shd w:fill="F2F2F2" w:val="clear"/>
          </w:tcPr>
          <w:p>
            <w:r>
              <w:rPr>
                <w:sz w:val="18"/>
              </w:rPr>
              <w:t>Input feature</w:t>
            </w:r>
          </w:p>
        </w:tc>
      </w:tr>
      <w:tr>
        <w:tc>
          <w:tcPr>
            <w:tcW w:type="dxa" w:w="1728"/>
          </w:tcPr>
          <w:p>
            <w:r>
              <w:rPr>
                <w:sz w:val="18"/>
              </w:rPr>
              <w:t>7</w:t>
            </w:r>
          </w:p>
        </w:tc>
        <w:tc>
          <w:tcPr>
            <w:tcW w:type="dxa" w:w="1728"/>
          </w:tcPr>
          <w:p>
            <w:r>
              <w:rPr>
                <w:sz w:val="18"/>
              </w:rPr>
              <w:t>Margin (%)</w:t>
            </w:r>
          </w:p>
        </w:tc>
        <w:tc>
          <w:tcPr>
            <w:tcW w:type="dxa" w:w="1728"/>
          </w:tcPr>
          <w:p>
            <w:r>
              <w:rPr>
                <w:sz w:val="18"/>
              </w:rPr>
              <w:t>Categorical (String)</w:t>
            </w:r>
          </w:p>
        </w:tc>
        <w:tc>
          <w:tcPr>
            <w:tcW w:type="dxa" w:w="1728"/>
          </w:tcPr>
          <w:p>
            <w:r>
              <w:rPr>
                <w:sz w:val="18"/>
              </w:rPr>
              <w:t>Profit margin percentage</w:t>
            </w:r>
          </w:p>
        </w:tc>
        <w:tc>
          <w:tcPr>
            <w:tcW w:type="dxa" w:w="1728"/>
          </w:tcPr>
          <w:p>
            <w:r>
              <w:rPr>
                <w:sz w:val="18"/>
              </w:rPr>
              <w:t>Input (derived from Brand)</w:t>
            </w:r>
          </w:p>
        </w:tc>
      </w:tr>
      <w:tr>
        <w:tc>
          <w:tcPr>
            <w:tcW w:type="dxa" w:w="1728"/>
            <w:shd w:fill="F2F2F2" w:val="clear"/>
          </w:tcPr>
          <w:p>
            <w:r>
              <w:rPr>
                <w:sz w:val="18"/>
              </w:rPr>
              <w:t>8</w:t>
            </w:r>
          </w:p>
        </w:tc>
        <w:tc>
          <w:tcPr>
            <w:tcW w:type="dxa" w:w="1728"/>
            <w:shd w:fill="F2F2F2" w:val="clear"/>
          </w:tcPr>
          <w:p>
            <w:r>
              <w:rPr>
                <w:sz w:val="18"/>
              </w:rPr>
              <w:t>Profit (₹)</w:t>
            </w:r>
          </w:p>
        </w:tc>
        <w:tc>
          <w:tcPr>
            <w:tcW w:type="dxa" w:w="1728"/>
            <w:shd w:fill="F2F2F2" w:val="clear"/>
          </w:tcPr>
          <w:p>
            <w:r>
              <w:rPr>
                <w:sz w:val="18"/>
              </w:rPr>
              <w:t>Numerical (Float)</w:t>
            </w:r>
          </w:p>
        </w:tc>
        <w:tc>
          <w:tcPr>
            <w:tcW w:type="dxa" w:w="1728"/>
            <w:shd w:fill="F2F2F2" w:val="clear"/>
          </w:tcPr>
          <w:p>
            <w:r>
              <w:rPr>
                <w:sz w:val="18"/>
              </w:rPr>
              <w:t>Profit per unit</w:t>
            </w:r>
          </w:p>
        </w:tc>
        <w:tc>
          <w:tcPr>
            <w:tcW w:type="dxa" w:w="1728"/>
            <w:shd w:fill="F2F2F2" w:val="clear"/>
          </w:tcPr>
          <w:p>
            <w:r>
              <w:rPr>
                <w:sz w:val="18"/>
              </w:rPr>
              <w:t>Derived — handle carefully</w:t>
            </w:r>
          </w:p>
        </w:tc>
      </w:tr>
      <w:tr>
        <w:tc>
          <w:tcPr>
            <w:tcW w:type="dxa" w:w="1728"/>
          </w:tcPr>
          <w:p>
            <w:r>
              <w:rPr>
                <w:sz w:val="18"/>
              </w:rPr>
              <w:t>9</w:t>
            </w:r>
          </w:p>
        </w:tc>
        <w:tc>
          <w:tcPr>
            <w:tcW w:type="dxa" w:w="1728"/>
          </w:tcPr>
          <w:p>
            <w:r>
              <w:rPr>
                <w:sz w:val="18"/>
              </w:rPr>
              <w:t>Net Profit (₹)</w:t>
            </w:r>
          </w:p>
        </w:tc>
        <w:tc>
          <w:tcPr>
            <w:tcW w:type="dxa" w:w="1728"/>
          </w:tcPr>
          <w:p>
            <w:r>
              <w:rPr>
                <w:sz w:val="18"/>
              </w:rPr>
              <w:t>Numerical (Float)</w:t>
            </w:r>
          </w:p>
        </w:tc>
        <w:tc>
          <w:tcPr>
            <w:tcW w:type="dxa" w:w="1728"/>
          </w:tcPr>
          <w:p>
            <w:r>
              <w:rPr>
                <w:sz w:val="18"/>
              </w:rPr>
              <w:t>Total profit</w:t>
            </w:r>
          </w:p>
        </w:tc>
        <w:tc>
          <w:tcPr>
            <w:tcW w:type="dxa" w:w="1728"/>
          </w:tcPr>
          <w:p>
            <w:r>
              <w:rPr>
                <w:sz w:val="18"/>
              </w:rPr>
              <w:t>EXCLUDE — data leakage</w:t>
            </w:r>
          </w:p>
        </w:tc>
      </w:tr>
      <w:tr>
        <w:tc>
          <w:tcPr>
            <w:tcW w:type="dxa" w:w="1728"/>
            <w:shd w:fill="F2F2F2" w:val="clear"/>
          </w:tcPr>
          <w:p>
            <w:r>
              <w:rPr>
                <w:sz w:val="18"/>
              </w:rPr>
              <w:t>10</w:t>
            </w:r>
          </w:p>
        </w:tc>
        <w:tc>
          <w:tcPr>
            <w:tcW w:type="dxa" w:w="1728"/>
            <w:shd w:fill="F2F2F2" w:val="clear"/>
          </w:tcPr>
          <w:p>
            <w:r>
              <w:rPr>
                <w:sz w:val="18"/>
              </w:rPr>
              <w:t>Total Revenue (₹)</w:t>
            </w:r>
          </w:p>
        </w:tc>
        <w:tc>
          <w:tcPr>
            <w:tcW w:type="dxa" w:w="1728"/>
            <w:shd w:fill="F2F2F2" w:val="clear"/>
          </w:tcPr>
          <w:p>
            <w:r>
              <w:rPr>
                <w:sz w:val="18"/>
              </w:rPr>
              <w:t>Numerical (Float)</w:t>
            </w:r>
          </w:p>
        </w:tc>
        <w:tc>
          <w:tcPr>
            <w:tcW w:type="dxa" w:w="1728"/>
            <w:shd w:fill="F2F2F2" w:val="clear"/>
          </w:tcPr>
          <w:p>
            <w:r>
              <w:rPr>
                <w:sz w:val="18"/>
              </w:rPr>
              <w:t>Total revenue</w:t>
            </w:r>
          </w:p>
        </w:tc>
        <w:tc>
          <w:tcPr>
            <w:tcW w:type="dxa" w:w="1728"/>
            <w:shd w:fill="F2F2F2" w:val="clear"/>
          </w:tcPr>
          <w:p>
            <w:r>
              <w:rPr>
                <w:sz w:val="18"/>
              </w:rPr>
              <w:t>EXCLUDE — data leakage</w:t>
            </w:r>
          </w:p>
        </w:tc>
      </w:tr>
      <w:tr>
        <w:tc>
          <w:tcPr>
            <w:tcW w:type="dxa" w:w="1728"/>
          </w:tcPr>
          <w:p>
            <w:r>
              <w:rPr>
                <w:sz w:val="18"/>
              </w:rPr>
              <w:t>11</w:t>
            </w:r>
          </w:p>
        </w:tc>
        <w:tc>
          <w:tcPr>
            <w:tcW w:type="dxa" w:w="1728"/>
          </w:tcPr>
          <w:p>
            <w:r>
              <w:rPr>
                <w:sz w:val="18"/>
              </w:rPr>
              <w:t>Tax (GST %)</w:t>
            </w:r>
          </w:p>
        </w:tc>
        <w:tc>
          <w:tcPr>
            <w:tcW w:type="dxa" w:w="1728"/>
          </w:tcPr>
          <w:p>
            <w:r>
              <w:rPr>
                <w:sz w:val="18"/>
              </w:rPr>
              <w:t>Categorical</w:t>
            </w:r>
          </w:p>
        </w:tc>
        <w:tc>
          <w:tcPr>
            <w:tcW w:type="dxa" w:w="1728"/>
          </w:tcPr>
          <w:p>
            <w:r>
              <w:rPr>
                <w:sz w:val="18"/>
              </w:rPr>
              <w:t>GST percentage (12%)</w:t>
            </w:r>
          </w:p>
        </w:tc>
        <w:tc>
          <w:tcPr>
            <w:tcW w:type="dxa" w:w="1728"/>
          </w:tcPr>
          <w:p>
            <w:r>
              <w:rPr>
                <w:sz w:val="18"/>
              </w:rPr>
              <w:t>Constant — low value</w:t>
            </w:r>
          </w:p>
        </w:tc>
      </w:tr>
      <w:tr>
        <w:tc>
          <w:tcPr>
            <w:tcW w:type="dxa" w:w="1728"/>
            <w:shd w:fill="F2F2F2" w:val="clear"/>
          </w:tcPr>
          <w:p>
            <w:r>
              <w:rPr>
                <w:sz w:val="18"/>
              </w:rPr>
              <w:t>12</w:t>
            </w:r>
          </w:p>
        </w:tc>
        <w:tc>
          <w:tcPr>
            <w:tcW w:type="dxa" w:w="1728"/>
            <w:shd w:fill="F2F2F2" w:val="clear"/>
          </w:tcPr>
          <w:p>
            <w:r>
              <w:rPr>
                <w:sz w:val="18"/>
              </w:rPr>
              <w:t>Tax Amount (₹)</w:t>
            </w:r>
          </w:p>
        </w:tc>
        <w:tc>
          <w:tcPr>
            <w:tcW w:type="dxa" w:w="1728"/>
            <w:shd w:fill="F2F2F2" w:val="clear"/>
          </w:tcPr>
          <w:p>
            <w:r>
              <w:rPr>
                <w:sz w:val="18"/>
              </w:rPr>
              <w:t>Numerical (Float)</w:t>
            </w:r>
          </w:p>
        </w:tc>
        <w:tc>
          <w:tcPr>
            <w:tcW w:type="dxa" w:w="1728"/>
            <w:shd w:fill="F2F2F2" w:val="clear"/>
          </w:tcPr>
          <w:p>
            <w:r>
              <w:rPr>
                <w:sz w:val="18"/>
              </w:rPr>
              <w:t>Tax per unit</w:t>
            </w:r>
          </w:p>
        </w:tc>
        <w:tc>
          <w:tcPr>
            <w:tcW w:type="dxa" w:w="1728"/>
            <w:shd w:fill="F2F2F2" w:val="clear"/>
          </w:tcPr>
          <w:p>
            <w:r>
              <w:rPr>
                <w:sz w:val="18"/>
              </w:rPr>
              <w:t>Derived — redundant</w:t>
            </w:r>
          </w:p>
        </w:tc>
      </w:tr>
      <w:tr>
        <w:tc>
          <w:tcPr>
            <w:tcW w:type="dxa" w:w="1728"/>
          </w:tcPr>
          <w:p>
            <w:r>
              <w:rPr>
                <w:sz w:val="18"/>
              </w:rPr>
              <w:t>13</w:t>
            </w:r>
          </w:p>
        </w:tc>
        <w:tc>
          <w:tcPr>
            <w:tcW w:type="dxa" w:w="1728"/>
          </w:tcPr>
          <w:p>
            <w:r>
              <w:rPr>
                <w:sz w:val="18"/>
              </w:rPr>
              <w:t>Net Tax (₹)</w:t>
            </w:r>
          </w:p>
        </w:tc>
        <w:tc>
          <w:tcPr>
            <w:tcW w:type="dxa" w:w="1728"/>
          </w:tcPr>
          <w:p>
            <w:r>
              <w:rPr>
                <w:sz w:val="18"/>
              </w:rPr>
              <w:t>Numerical (Float)</w:t>
            </w:r>
          </w:p>
        </w:tc>
        <w:tc>
          <w:tcPr>
            <w:tcW w:type="dxa" w:w="1728"/>
          </w:tcPr>
          <w:p>
            <w:r>
              <w:rPr>
                <w:sz w:val="18"/>
              </w:rPr>
              <w:t>Total tax</w:t>
            </w:r>
          </w:p>
        </w:tc>
        <w:tc>
          <w:tcPr>
            <w:tcW w:type="dxa" w:w="1728"/>
          </w:tcPr>
          <w:p>
            <w:r>
              <w:rPr>
                <w:sz w:val="18"/>
              </w:rPr>
              <w:t>EXCLUDE — data leakage</w:t>
            </w:r>
          </w:p>
        </w:tc>
      </w:tr>
      <w:tr>
        <w:tc>
          <w:tcPr>
            <w:tcW w:type="dxa" w:w="1728"/>
            <w:shd w:fill="F2F2F2" w:val="clear"/>
          </w:tcPr>
          <w:p>
            <w:r>
              <w:rPr>
                <w:sz w:val="18"/>
              </w:rPr>
              <w:t>14</w:t>
            </w:r>
          </w:p>
        </w:tc>
        <w:tc>
          <w:tcPr>
            <w:tcW w:type="dxa" w:w="1728"/>
            <w:shd w:fill="F2F2F2" w:val="clear"/>
          </w:tcPr>
          <w:p>
            <w:r>
              <w:rPr>
                <w:sz w:val="18"/>
              </w:rPr>
              <w:t>Dealer</w:t>
            </w:r>
          </w:p>
        </w:tc>
        <w:tc>
          <w:tcPr>
            <w:tcW w:type="dxa" w:w="1728"/>
            <w:shd w:fill="F2F2F2" w:val="clear"/>
          </w:tcPr>
          <w:p>
            <w:r>
              <w:rPr>
                <w:sz w:val="18"/>
              </w:rPr>
              <w:t>Categorical</w:t>
            </w:r>
          </w:p>
        </w:tc>
        <w:tc>
          <w:tcPr>
            <w:tcW w:type="dxa" w:w="1728"/>
            <w:shd w:fill="F2F2F2" w:val="clear"/>
          </w:tcPr>
          <w:p>
            <w:r>
              <w:rPr>
                <w:sz w:val="18"/>
              </w:rPr>
              <w:t>Dealer identifier</w:t>
            </w:r>
          </w:p>
        </w:tc>
        <w:tc>
          <w:tcPr>
            <w:tcW w:type="dxa" w:w="1728"/>
            <w:shd w:fill="F2F2F2" w:val="clear"/>
          </w:tcPr>
          <w:p>
            <w:r>
              <w:rPr>
                <w:sz w:val="18"/>
              </w:rPr>
              <w:t>Input feature (encoded)</w:t>
            </w:r>
          </w:p>
        </w:tc>
      </w:tr>
      <w:tr>
        <w:tc>
          <w:tcPr>
            <w:tcW w:type="dxa" w:w="1728"/>
          </w:tcPr>
          <w:p>
            <w:r>
              <w:rPr>
                <w:sz w:val="18"/>
              </w:rPr>
              <w:t>15</w:t>
            </w:r>
          </w:p>
        </w:tc>
        <w:tc>
          <w:tcPr>
            <w:tcW w:type="dxa" w:w="1728"/>
          </w:tcPr>
          <w:p>
            <w:r>
              <w:rPr>
                <w:sz w:val="18"/>
              </w:rPr>
              <w:t>Stock Availability</w:t>
            </w:r>
          </w:p>
        </w:tc>
        <w:tc>
          <w:tcPr>
            <w:tcW w:type="dxa" w:w="1728"/>
          </w:tcPr>
          <w:p>
            <w:r>
              <w:rPr>
                <w:sz w:val="18"/>
              </w:rPr>
              <w:t>Numerical (Integer)</w:t>
            </w:r>
          </w:p>
        </w:tc>
        <w:tc>
          <w:tcPr>
            <w:tcW w:type="dxa" w:w="1728"/>
          </w:tcPr>
          <w:p>
            <w:r>
              <w:rPr>
                <w:sz w:val="18"/>
              </w:rPr>
              <w:t>Current stock level</w:t>
            </w:r>
          </w:p>
        </w:tc>
        <w:tc>
          <w:tcPr>
            <w:tcW w:type="dxa" w:w="1728"/>
          </w:tcPr>
          <w:p>
            <w:r>
              <w:rPr>
                <w:sz w:val="18"/>
              </w:rPr>
              <w:t>Input feature (key)</w:t>
            </w:r>
          </w:p>
        </w:tc>
      </w:tr>
      <w:tr>
        <w:tc>
          <w:tcPr>
            <w:tcW w:type="dxa" w:w="1728"/>
            <w:shd w:fill="F2F2F2" w:val="clear"/>
          </w:tcPr>
          <w:p>
            <w:r>
              <w:rPr>
                <w:sz w:val="18"/>
              </w:rPr>
              <w:t>16</w:t>
            </w:r>
          </w:p>
        </w:tc>
        <w:tc>
          <w:tcPr>
            <w:tcW w:type="dxa" w:w="1728"/>
            <w:shd w:fill="F2F2F2" w:val="clear"/>
          </w:tcPr>
          <w:p>
            <w:r>
              <w:rPr>
                <w:sz w:val="18"/>
              </w:rPr>
              <w:t>Dealer Location</w:t>
            </w:r>
          </w:p>
        </w:tc>
        <w:tc>
          <w:tcPr>
            <w:tcW w:type="dxa" w:w="1728"/>
            <w:shd w:fill="F2F2F2" w:val="clear"/>
          </w:tcPr>
          <w:p>
            <w:r>
              <w:rPr>
                <w:sz w:val="18"/>
              </w:rPr>
              <w:t>Categorical</w:t>
            </w:r>
          </w:p>
        </w:tc>
        <w:tc>
          <w:tcPr>
            <w:tcW w:type="dxa" w:w="1728"/>
            <w:shd w:fill="F2F2F2" w:val="clear"/>
          </w:tcPr>
          <w:p>
            <w:r>
              <w:rPr>
                <w:sz w:val="18"/>
              </w:rPr>
              <w:t>Geographic location</w:t>
            </w:r>
          </w:p>
        </w:tc>
        <w:tc>
          <w:tcPr>
            <w:tcW w:type="dxa" w:w="1728"/>
            <w:shd w:fill="F2F2F2" w:val="clear"/>
          </w:tcPr>
          <w:p>
            <w:r>
              <w:rPr>
                <w:sz w:val="18"/>
              </w:rPr>
              <w:t>Input (redundant with Dealer)</w:t>
            </w:r>
          </w:p>
        </w:tc>
      </w:tr>
    </w:tbl>
    <w:p>
      <w:pPr>
        <w:pStyle w:val="Heading2"/>
      </w:pPr>
      <w:r>
        <w:t>2.2.2 Feature Classification</w:t>
      </w:r>
    </w:p>
    <w:p>
      <w:r>
        <w:rPr>
          <w:b/>
          <w:i w:val="0"/>
          <w:sz w:val="22"/>
        </w:rPr>
        <w:t>Target Variable (1):</w:t>
      </w:r>
    </w:p>
    <w:p>
      <w:pPr>
        <w:pStyle w:val="ListBullet"/>
        <w:ind w:left="850"/>
      </w:pPr>
      <w:r>
        <w:t>Quantity Sold</w:t>
      </w:r>
    </w:p>
    <w:p>
      <w:r>
        <w:rPr>
          <w:b/>
          <w:i w:val="0"/>
          <w:sz w:val="22"/>
        </w:rPr>
        <w:t>Categorical Features (6):</w:t>
      </w:r>
    </w:p>
    <w:p>
      <w:pPr>
        <w:pStyle w:val="ListBullet"/>
        <w:ind w:left="850"/>
      </w:pPr>
      <w:r>
        <w:t>Product (5 categories), Brand (10 categories), Margin % (5 — derived from Brand), Tax GST % (constant 12%), Dealer (7 categories), Dealer Location (4 categories)</w:t>
      </w:r>
    </w:p>
    <w:p>
      <w:r>
        <w:rPr>
          <w:b/>
          <w:i w:val="0"/>
          <w:sz w:val="22"/>
        </w:rPr>
        <w:t>Numerical Features (8):</w:t>
      </w:r>
    </w:p>
    <w:p>
      <w:pPr>
        <w:pStyle w:val="ListBullet"/>
        <w:ind w:left="850"/>
      </w:pPr>
      <w:r>
        <w:t>Size (discrete: 6–11), Unit Price (continuous), Profit (derived), Net Profit (derived), Total Revenue (derived), Tax Amount (derived), Net Tax (derived), Stock Availability (discrete: 1–200)</w:t>
      </w:r>
    </w:p>
    <w:p>
      <w:r>
        <w:rPr>
          <w:b/>
          <w:i w:val="0"/>
          <w:sz w:val="22"/>
        </w:rPr>
        <w:t>Temporal Feature (1):</w:t>
      </w:r>
    </w:p>
    <w:p>
      <w:pPr>
        <w:pStyle w:val="ListBullet"/>
        <w:ind w:left="850"/>
      </w:pPr>
      <w:r>
        <w:t>Date — to be decomposed into multiple engineered features</w:t>
      </w:r>
    </w:p>
    <w:p>
      <w:pPr>
        <w:pStyle w:val="Heading1"/>
      </w:pPr>
      <w:r>
        <w:t>2.3 Categorical Feature Analysis</w:t>
      </w:r>
    </w:p>
    <w:p>
      <w:pPr>
        <w:pStyle w:val="Heading2"/>
      </w:pPr>
      <w:r>
        <w:t>2.3.1 Product Categories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Product</w:t>
            </w:r>
          </w:p>
        </w:tc>
        <w:tc>
          <w:tcPr>
            <w:tcW w:type="dxa" w:w="2880"/>
            <w:shd w:fill="1F4E79" w:val="clear"/>
          </w:tcPr>
          <w:p>
            <w:pPr>
              <w:jc w:val="center"/>
            </w:pPr>
            <w:r>
              <w:rPr>
                <w:b/>
                <w:color w:val="FFFFFF"/>
                <w:sz w:val="18"/>
              </w:rPr>
              <w:t>Description</w:t>
            </w:r>
          </w:p>
        </w:tc>
        <w:tc>
          <w:tcPr>
            <w:tcW w:type="dxa" w:w="2880"/>
            <w:shd w:fill="1F4E79" w:val="clear"/>
          </w:tcPr>
          <w:p>
            <w:pPr>
              <w:jc w:val="center"/>
            </w:pPr>
            <w:r>
              <w:rPr>
                <w:b/>
                <w:color w:val="FFFFFF"/>
                <w:sz w:val="18"/>
              </w:rPr>
              <w:t>Expected Demand Pattern</w:t>
            </w:r>
          </w:p>
        </w:tc>
      </w:tr>
      <w:tr>
        <w:tc>
          <w:tcPr>
            <w:tcW w:type="dxa" w:w="2880"/>
          </w:tcPr>
          <w:p>
            <w:r>
              <w:rPr>
                <w:sz w:val="18"/>
              </w:rPr>
              <w:t>Flats</w:t>
            </w:r>
          </w:p>
        </w:tc>
        <w:tc>
          <w:tcPr>
            <w:tcW w:type="dxa" w:w="2880"/>
          </w:tcPr>
          <w:p>
            <w:r>
              <w:rPr>
                <w:sz w:val="18"/>
              </w:rPr>
              <w:t>Casual flat footwear</w:t>
            </w:r>
          </w:p>
        </w:tc>
        <w:tc>
          <w:tcPr>
            <w:tcW w:type="dxa" w:w="2880"/>
          </w:tcPr>
          <w:p>
            <w:r>
              <w:rPr>
                <w:sz w:val="18"/>
              </w:rPr>
              <w:t>Year-round demand; slight increase in summer</w:t>
            </w:r>
          </w:p>
        </w:tc>
      </w:tr>
      <w:tr>
        <w:tc>
          <w:tcPr>
            <w:tcW w:type="dxa" w:w="2880"/>
            <w:shd w:fill="F2F2F2" w:val="clear"/>
          </w:tcPr>
          <w:p>
            <w:r>
              <w:rPr>
                <w:sz w:val="18"/>
              </w:rPr>
              <w:t>Sandals</w:t>
            </w:r>
          </w:p>
        </w:tc>
        <w:tc>
          <w:tcPr>
            <w:tcW w:type="dxa" w:w="2880"/>
            <w:shd w:fill="F2F2F2" w:val="clear"/>
          </w:tcPr>
          <w:p>
            <w:r>
              <w:rPr>
                <w:sz w:val="18"/>
              </w:rPr>
              <w:t>Open footwear</w:t>
            </w:r>
          </w:p>
        </w:tc>
        <w:tc>
          <w:tcPr>
            <w:tcW w:type="dxa" w:w="2880"/>
            <w:shd w:fill="F2F2F2" w:val="clear"/>
          </w:tcPr>
          <w:p>
            <w:r>
              <w:rPr>
                <w:sz w:val="18"/>
              </w:rPr>
              <w:t>Higher demand in summer/monsoon seasons</w:t>
            </w:r>
          </w:p>
        </w:tc>
      </w:tr>
      <w:tr>
        <w:tc>
          <w:tcPr>
            <w:tcW w:type="dxa" w:w="2880"/>
          </w:tcPr>
          <w:p>
            <w:r>
              <w:rPr>
                <w:sz w:val="18"/>
              </w:rPr>
              <w:t>Sneakers</w:t>
            </w:r>
          </w:p>
        </w:tc>
        <w:tc>
          <w:tcPr>
            <w:tcW w:type="dxa" w:w="2880"/>
          </w:tcPr>
          <w:p>
            <w:r>
              <w:rPr>
                <w:sz w:val="18"/>
              </w:rPr>
              <w:t>Sports and casual shoes</w:t>
            </w:r>
          </w:p>
        </w:tc>
        <w:tc>
          <w:tcPr>
            <w:tcW w:type="dxa" w:w="2880"/>
          </w:tcPr>
          <w:p>
            <w:r>
              <w:rPr>
                <w:sz w:val="18"/>
              </w:rPr>
              <w:t>Consistent demand; influenced by trends</w:t>
            </w:r>
          </w:p>
        </w:tc>
      </w:tr>
      <w:tr>
        <w:tc>
          <w:tcPr>
            <w:tcW w:type="dxa" w:w="2880"/>
            <w:shd w:fill="F2F2F2" w:val="clear"/>
          </w:tcPr>
          <w:p>
            <w:r>
              <w:rPr>
                <w:sz w:val="18"/>
              </w:rPr>
              <w:t>Boots</w:t>
            </w:r>
          </w:p>
        </w:tc>
        <w:tc>
          <w:tcPr>
            <w:tcW w:type="dxa" w:w="2880"/>
            <w:shd w:fill="F2F2F2" w:val="clear"/>
          </w:tcPr>
          <w:p>
            <w:r>
              <w:rPr>
                <w:sz w:val="18"/>
              </w:rPr>
              <w:t>Ankle/knee-high footwear</w:t>
            </w:r>
          </w:p>
        </w:tc>
        <w:tc>
          <w:tcPr>
            <w:tcW w:type="dxa" w:w="2880"/>
            <w:shd w:fill="F2F2F2" w:val="clear"/>
          </w:tcPr>
          <w:p>
            <w:r>
              <w:rPr>
                <w:sz w:val="18"/>
              </w:rPr>
              <w:t>Higher demand in winter months</w:t>
            </w:r>
          </w:p>
        </w:tc>
      </w:tr>
      <w:tr>
        <w:tc>
          <w:tcPr>
            <w:tcW w:type="dxa" w:w="2880"/>
          </w:tcPr>
          <w:p>
            <w:r>
              <w:rPr>
                <w:sz w:val="18"/>
              </w:rPr>
              <w:t>Heels</w:t>
            </w:r>
          </w:p>
        </w:tc>
        <w:tc>
          <w:tcPr>
            <w:tcW w:type="dxa" w:w="2880"/>
          </w:tcPr>
          <w:p>
            <w:r>
              <w:rPr>
                <w:sz w:val="18"/>
              </w:rPr>
              <w:t>Elevated formal/party footwear</w:t>
            </w:r>
          </w:p>
        </w:tc>
        <w:tc>
          <w:tcPr>
            <w:tcW w:type="dxa" w:w="2880"/>
          </w:tcPr>
          <w:p>
            <w:r>
              <w:rPr>
                <w:sz w:val="18"/>
              </w:rPr>
              <w:t>Steady demand; possibly event/festival-driven</w:t>
            </w:r>
          </w:p>
        </w:tc>
      </w:tr>
    </w:tbl>
    <w:p>
      <w:pPr>
        <w:pStyle w:val="Heading2"/>
      </w:pPr>
      <w:r>
        <w:t>2.3.2 Brand Portfolio</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val="clear"/>
          </w:tcPr>
          <w:p>
            <w:pPr>
              <w:jc w:val="center"/>
            </w:pPr>
            <w:r>
              <w:rPr>
                <w:b/>
                <w:color w:val="FFFFFF"/>
                <w:sz w:val="18"/>
              </w:rPr>
              <w:t>Brand</w:t>
            </w:r>
          </w:p>
        </w:tc>
        <w:tc>
          <w:tcPr>
            <w:tcW w:type="dxa" w:w="2160"/>
            <w:shd w:fill="1F4E79" w:val="clear"/>
          </w:tcPr>
          <w:p>
            <w:pPr>
              <w:jc w:val="center"/>
            </w:pPr>
            <w:r>
              <w:rPr>
                <w:b/>
                <w:color w:val="FFFFFF"/>
                <w:sz w:val="18"/>
              </w:rPr>
              <w:t>Margin (%)</w:t>
            </w:r>
          </w:p>
        </w:tc>
        <w:tc>
          <w:tcPr>
            <w:tcW w:type="dxa" w:w="2160"/>
            <w:shd w:fill="1F4E79" w:val="clear"/>
          </w:tcPr>
          <w:p>
            <w:pPr>
              <w:jc w:val="center"/>
            </w:pPr>
            <w:r>
              <w:rPr>
                <w:b/>
                <w:color w:val="FFFFFF"/>
                <w:sz w:val="18"/>
              </w:rPr>
              <w:t>Price Range (₹)</w:t>
            </w:r>
          </w:p>
        </w:tc>
        <w:tc>
          <w:tcPr>
            <w:tcW w:type="dxa" w:w="2160"/>
            <w:shd w:fill="1F4E79" w:val="clear"/>
          </w:tcPr>
          <w:p>
            <w:pPr>
              <w:jc w:val="center"/>
            </w:pPr>
            <w:r>
              <w:rPr>
                <w:b/>
                <w:color w:val="FFFFFF"/>
                <w:sz w:val="18"/>
              </w:rPr>
              <w:t>Brand Tier</w:t>
            </w:r>
          </w:p>
        </w:tc>
      </w:tr>
      <w:tr>
        <w:tc>
          <w:tcPr>
            <w:tcW w:type="dxa" w:w="2160"/>
          </w:tcPr>
          <w:p>
            <w:r>
              <w:rPr>
                <w:sz w:val="18"/>
              </w:rPr>
              <w:t>Nike</w:t>
            </w:r>
          </w:p>
        </w:tc>
        <w:tc>
          <w:tcPr>
            <w:tcW w:type="dxa" w:w="2160"/>
          </w:tcPr>
          <w:p>
            <w:r>
              <w:rPr>
                <w:sz w:val="18"/>
              </w:rPr>
              <w:t>15%</w:t>
            </w:r>
          </w:p>
        </w:tc>
        <w:tc>
          <w:tcPr>
            <w:tcW w:type="dxa" w:w="2160"/>
          </w:tcPr>
          <w:p>
            <w:r>
              <w:rPr>
                <w:sz w:val="18"/>
              </w:rPr>
              <w:t>3,000 – 15,000</w:t>
            </w:r>
          </w:p>
        </w:tc>
        <w:tc>
          <w:tcPr>
            <w:tcW w:type="dxa" w:w="2160"/>
          </w:tcPr>
          <w:p>
            <w:r>
              <w:rPr>
                <w:sz w:val="18"/>
              </w:rPr>
              <w:t>Premium</w:t>
            </w:r>
          </w:p>
        </w:tc>
      </w:tr>
      <w:tr>
        <w:tc>
          <w:tcPr>
            <w:tcW w:type="dxa" w:w="2160"/>
            <w:shd w:fill="F2F2F2" w:val="clear"/>
          </w:tcPr>
          <w:p>
            <w:r>
              <w:rPr>
                <w:sz w:val="18"/>
              </w:rPr>
              <w:t>Adidas</w:t>
            </w:r>
          </w:p>
        </w:tc>
        <w:tc>
          <w:tcPr>
            <w:tcW w:type="dxa" w:w="2160"/>
            <w:shd w:fill="F2F2F2" w:val="clear"/>
          </w:tcPr>
          <w:p>
            <w:r>
              <w:rPr>
                <w:sz w:val="18"/>
              </w:rPr>
              <w:t>15%</w:t>
            </w:r>
          </w:p>
        </w:tc>
        <w:tc>
          <w:tcPr>
            <w:tcW w:type="dxa" w:w="2160"/>
            <w:shd w:fill="F2F2F2" w:val="clear"/>
          </w:tcPr>
          <w:p>
            <w:r>
              <w:rPr>
                <w:sz w:val="18"/>
              </w:rPr>
              <w:t>2,000 – 10,000</w:t>
            </w:r>
          </w:p>
        </w:tc>
        <w:tc>
          <w:tcPr>
            <w:tcW w:type="dxa" w:w="2160"/>
            <w:shd w:fill="F2F2F2" w:val="clear"/>
          </w:tcPr>
          <w:p>
            <w:r>
              <w:rPr>
                <w:sz w:val="18"/>
              </w:rPr>
              <w:t>Premium</w:t>
            </w:r>
          </w:p>
        </w:tc>
      </w:tr>
      <w:tr>
        <w:tc>
          <w:tcPr>
            <w:tcW w:type="dxa" w:w="2160"/>
          </w:tcPr>
          <w:p>
            <w:r>
              <w:rPr>
                <w:sz w:val="18"/>
              </w:rPr>
              <w:t>Puma</w:t>
            </w:r>
          </w:p>
        </w:tc>
        <w:tc>
          <w:tcPr>
            <w:tcW w:type="dxa" w:w="2160"/>
          </w:tcPr>
          <w:p>
            <w:r>
              <w:rPr>
                <w:sz w:val="18"/>
              </w:rPr>
              <w:t>20%</w:t>
            </w:r>
          </w:p>
        </w:tc>
        <w:tc>
          <w:tcPr>
            <w:tcW w:type="dxa" w:w="2160"/>
          </w:tcPr>
          <w:p>
            <w:r>
              <w:rPr>
                <w:sz w:val="18"/>
              </w:rPr>
              <w:t>1,500 – 7,000</w:t>
            </w:r>
          </w:p>
        </w:tc>
        <w:tc>
          <w:tcPr>
            <w:tcW w:type="dxa" w:w="2160"/>
          </w:tcPr>
          <w:p>
            <w:r>
              <w:rPr>
                <w:sz w:val="18"/>
              </w:rPr>
              <w:t>Mid-Premium</w:t>
            </w:r>
          </w:p>
        </w:tc>
      </w:tr>
      <w:tr>
        <w:tc>
          <w:tcPr>
            <w:tcW w:type="dxa" w:w="2160"/>
            <w:shd w:fill="F2F2F2" w:val="clear"/>
          </w:tcPr>
          <w:p>
            <w:r>
              <w:rPr>
                <w:sz w:val="18"/>
              </w:rPr>
              <w:t>Reebok</w:t>
            </w:r>
          </w:p>
        </w:tc>
        <w:tc>
          <w:tcPr>
            <w:tcW w:type="dxa" w:w="2160"/>
            <w:shd w:fill="F2F2F2" w:val="clear"/>
          </w:tcPr>
          <w:p>
            <w:r>
              <w:rPr>
                <w:sz w:val="18"/>
              </w:rPr>
              <w:t>20%</w:t>
            </w:r>
          </w:p>
        </w:tc>
        <w:tc>
          <w:tcPr>
            <w:tcW w:type="dxa" w:w="2160"/>
            <w:shd w:fill="F2F2F2" w:val="clear"/>
          </w:tcPr>
          <w:p>
            <w:r>
              <w:rPr>
                <w:sz w:val="18"/>
              </w:rPr>
              <w:t>2,000 – 7,500</w:t>
            </w:r>
          </w:p>
        </w:tc>
        <w:tc>
          <w:tcPr>
            <w:tcW w:type="dxa" w:w="2160"/>
            <w:shd w:fill="F2F2F2" w:val="clear"/>
          </w:tcPr>
          <w:p>
            <w:r>
              <w:rPr>
                <w:sz w:val="18"/>
              </w:rPr>
              <w:t>Mid-Premium</w:t>
            </w:r>
          </w:p>
        </w:tc>
      </w:tr>
      <w:tr>
        <w:tc>
          <w:tcPr>
            <w:tcW w:type="dxa" w:w="2160"/>
          </w:tcPr>
          <w:p>
            <w:r>
              <w:rPr>
                <w:sz w:val="18"/>
              </w:rPr>
              <w:t>Woodland</w:t>
            </w:r>
          </w:p>
        </w:tc>
        <w:tc>
          <w:tcPr>
            <w:tcW w:type="dxa" w:w="2160"/>
          </w:tcPr>
          <w:p>
            <w:r>
              <w:rPr>
                <w:sz w:val="18"/>
              </w:rPr>
              <w:t>20%</w:t>
            </w:r>
          </w:p>
        </w:tc>
        <w:tc>
          <w:tcPr>
            <w:tcW w:type="dxa" w:w="2160"/>
          </w:tcPr>
          <w:p>
            <w:r>
              <w:rPr>
                <w:sz w:val="18"/>
              </w:rPr>
              <w:t>2,000 – 8,000</w:t>
            </w:r>
          </w:p>
        </w:tc>
        <w:tc>
          <w:tcPr>
            <w:tcW w:type="dxa" w:w="2160"/>
          </w:tcPr>
          <w:p>
            <w:r>
              <w:rPr>
                <w:sz w:val="18"/>
              </w:rPr>
              <w:t>Mid-Premium</w:t>
            </w:r>
          </w:p>
        </w:tc>
      </w:tr>
      <w:tr>
        <w:tc>
          <w:tcPr>
            <w:tcW w:type="dxa" w:w="2160"/>
            <w:shd w:fill="F2F2F2" w:val="clear"/>
          </w:tcPr>
          <w:p>
            <w:r>
              <w:rPr>
                <w:sz w:val="18"/>
              </w:rPr>
              <w:t>Sketchers</w:t>
            </w:r>
          </w:p>
        </w:tc>
        <w:tc>
          <w:tcPr>
            <w:tcW w:type="dxa" w:w="2160"/>
            <w:shd w:fill="F2F2F2" w:val="clear"/>
          </w:tcPr>
          <w:p>
            <w:r>
              <w:rPr>
                <w:sz w:val="18"/>
              </w:rPr>
              <w:t>25%</w:t>
            </w:r>
          </w:p>
        </w:tc>
        <w:tc>
          <w:tcPr>
            <w:tcW w:type="dxa" w:w="2160"/>
            <w:shd w:fill="F2F2F2" w:val="clear"/>
          </w:tcPr>
          <w:p>
            <w:r>
              <w:rPr>
                <w:sz w:val="18"/>
              </w:rPr>
              <w:t>1,500 – 6,000</w:t>
            </w:r>
          </w:p>
        </w:tc>
        <w:tc>
          <w:tcPr>
            <w:tcW w:type="dxa" w:w="2160"/>
            <w:shd w:fill="F2F2F2" w:val="clear"/>
          </w:tcPr>
          <w:p>
            <w:r>
              <w:rPr>
                <w:sz w:val="18"/>
              </w:rPr>
              <w:t>Mid-Range</w:t>
            </w:r>
          </w:p>
        </w:tc>
      </w:tr>
      <w:tr>
        <w:tc>
          <w:tcPr>
            <w:tcW w:type="dxa" w:w="2160"/>
          </w:tcPr>
          <w:p>
            <w:r>
              <w:rPr>
                <w:sz w:val="18"/>
              </w:rPr>
              <w:t>Bata</w:t>
            </w:r>
          </w:p>
        </w:tc>
        <w:tc>
          <w:tcPr>
            <w:tcW w:type="dxa" w:w="2160"/>
          </w:tcPr>
          <w:p>
            <w:r>
              <w:rPr>
                <w:sz w:val="18"/>
              </w:rPr>
              <w:t>30%</w:t>
            </w:r>
          </w:p>
        </w:tc>
        <w:tc>
          <w:tcPr>
            <w:tcW w:type="dxa" w:w="2160"/>
          </w:tcPr>
          <w:p>
            <w:r>
              <w:rPr>
                <w:sz w:val="18"/>
              </w:rPr>
              <w:t>1,000 – 5,000</w:t>
            </w:r>
          </w:p>
        </w:tc>
        <w:tc>
          <w:tcPr>
            <w:tcW w:type="dxa" w:w="2160"/>
          </w:tcPr>
          <w:p>
            <w:r>
              <w:rPr>
                <w:sz w:val="18"/>
              </w:rPr>
              <w:t>Mid-Range</w:t>
            </w:r>
          </w:p>
        </w:tc>
      </w:tr>
      <w:tr>
        <w:tc>
          <w:tcPr>
            <w:tcW w:type="dxa" w:w="2160"/>
            <w:shd w:fill="F2F2F2" w:val="clear"/>
          </w:tcPr>
          <w:p>
            <w:r>
              <w:rPr>
                <w:sz w:val="18"/>
              </w:rPr>
              <w:t>Metro</w:t>
            </w:r>
          </w:p>
        </w:tc>
        <w:tc>
          <w:tcPr>
            <w:tcW w:type="dxa" w:w="2160"/>
            <w:shd w:fill="F2F2F2" w:val="clear"/>
          </w:tcPr>
          <w:p>
            <w:r>
              <w:rPr>
                <w:sz w:val="18"/>
              </w:rPr>
              <w:t>30%</w:t>
            </w:r>
          </w:p>
        </w:tc>
        <w:tc>
          <w:tcPr>
            <w:tcW w:type="dxa" w:w="2160"/>
            <w:shd w:fill="F2F2F2" w:val="clear"/>
          </w:tcPr>
          <w:p>
            <w:r>
              <w:rPr>
                <w:sz w:val="18"/>
              </w:rPr>
              <w:t>1,500 – 5,000</w:t>
            </w:r>
          </w:p>
        </w:tc>
        <w:tc>
          <w:tcPr>
            <w:tcW w:type="dxa" w:w="2160"/>
            <w:shd w:fill="F2F2F2" w:val="clear"/>
          </w:tcPr>
          <w:p>
            <w:r>
              <w:rPr>
                <w:sz w:val="18"/>
              </w:rPr>
              <w:t>Mid-Range</w:t>
            </w:r>
          </w:p>
        </w:tc>
      </w:tr>
      <w:tr>
        <w:tc>
          <w:tcPr>
            <w:tcW w:type="dxa" w:w="2160"/>
          </w:tcPr>
          <w:p>
            <w:r>
              <w:rPr>
                <w:sz w:val="18"/>
              </w:rPr>
              <w:t>Paragon</w:t>
            </w:r>
          </w:p>
        </w:tc>
        <w:tc>
          <w:tcPr>
            <w:tcW w:type="dxa" w:w="2160"/>
          </w:tcPr>
          <w:p>
            <w:r>
              <w:rPr>
                <w:sz w:val="18"/>
              </w:rPr>
              <w:t>40%</w:t>
            </w:r>
          </w:p>
        </w:tc>
        <w:tc>
          <w:tcPr>
            <w:tcW w:type="dxa" w:w="2160"/>
          </w:tcPr>
          <w:p>
            <w:r>
              <w:rPr>
                <w:sz w:val="18"/>
              </w:rPr>
              <w:t>500 – 3,000</w:t>
            </w:r>
          </w:p>
        </w:tc>
        <w:tc>
          <w:tcPr>
            <w:tcW w:type="dxa" w:w="2160"/>
          </w:tcPr>
          <w:p>
            <w:r>
              <w:rPr>
                <w:sz w:val="18"/>
              </w:rPr>
              <w:t>Budget</w:t>
            </w:r>
          </w:p>
        </w:tc>
      </w:tr>
      <w:tr>
        <w:tc>
          <w:tcPr>
            <w:tcW w:type="dxa" w:w="2160"/>
            <w:shd w:fill="F2F2F2" w:val="clear"/>
          </w:tcPr>
          <w:p>
            <w:r>
              <w:rPr>
                <w:sz w:val="18"/>
              </w:rPr>
              <w:t>Liberty</w:t>
            </w:r>
          </w:p>
        </w:tc>
        <w:tc>
          <w:tcPr>
            <w:tcW w:type="dxa" w:w="2160"/>
            <w:shd w:fill="F2F2F2" w:val="clear"/>
          </w:tcPr>
          <w:p>
            <w:r>
              <w:rPr>
                <w:sz w:val="18"/>
              </w:rPr>
              <w:t>40%</w:t>
            </w:r>
          </w:p>
        </w:tc>
        <w:tc>
          <w:tcPr>
            <w:tcW w:type="dxa" w:w="2160"/>
            <w:shd w:fill="F2F2F2" w:val="clear"/>
          </w:tcPr>
          <w:p>
            <w:r>
              <w:rPr>
                <w:sz w:val="18"/>
              </w:rPr>
              <w:t>500 – 3,000</w:t>
            </w:r>
          </w:p>
        </w:tc>
        <w:tc>
          <w:tcPr>
            <w:tcW w:type="dxa" w:w="2160"/>
            <w:shd w:fill="F2F2F2" w:val="clear"/>
          </w:tcPr>
          <w:p>
            <w:r>
              <w:rPr>
                <w:sz w:val="18"/>
              </w:rPr>
              <w:t>Budget</w:t>
            </w:r>
          </w:p>
        </w:tc>
      </w:tr>
    </w:tbl>
    <w:p>
      <w:r>
        <w:rPr>
          <w:b w:val="0"/>
          <w:i/>
          <w:sz w:val="22"/>
        </w:rPr>
        <w:t>Key Observation: Premium brands (Nike, Adidas) have lower margins (15%) but higher unit prices, while budget brands (Paragon, Liberty) have higher margins (40%) but lower unit prices. This inverse relationship between margin and price is a critical business pattern.</w:t>
      </w:r>
    </w:p>
    <w:p>
      <w:pPr>
        <w:pStyle w:val="Heading2"/>
      </w:pPr>
      <w:r>
        <w:t>2.3.3 Dealer Network</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Dealer</w:t>
            </w:r>
          </w:p>
        </w:tc>
        <w:tc>
          <w:tcPr>
            <w:tcW w:type="dxa" w:w="2880"/>
            <w:shd w:fill="1F4E79" w:val="clear"/>
          </w:tcPr>
          <w:p>
            <w:pPr>
              <w:jc w:val="center"/>
            </w:pPr>
            <w:r>
              <w:rPr>
                <w:b/>
                <w:color w:val="FFFFFF"/>
                <w:sz w:val="18"/>
              </w:rPr>
              <w:t>Location</w:t>
            </w:r>
          </w:p>
        </w:tc>
        <w:tc>
          <w:tcPr>
            <w:tcW w:type="dxa" w:w="2880"/>
            <w:shd w:fill="1F4E79" w:val="clear"/>
          </w:tcPr>
          <w:p>
            <w:pPr>
              <w:jc w:val="center"/>
            </w:pPr>
            <w:r>
              <w:rPr>
                <w:b/>
                <w:color w:val="FFFFFF"/>
                <w:sz w:val="18"/>
              </w:rPr>
              <w:t>Region Type</w:t>
            </w:r>
          </w:p>
        </w:tc>
      </w:tr>
      <w:tr>
        <w:tc>
          <w:tcPr>
            <w:tcW w:type="dxa" w:w="2880"/>
          </w:tcPr>
          <w:p>
            <w:r>
              <w:rPr>
                <w:sz w:val="18"/>
              </w:rPr>
              <w:t>Dealer_1</w:t>
            </w:r>
          </w:p>
        </w:tc>
        <w:tc>
          <w:tcPr>
            <w:tcW w:type="dxa" w:w="2880"/>
          </w:tcPr>
          <w:p>
            <w:r>
              <w:rPr>
                <w:sz w:val="18"/>
              </w:rPr>
              <w:t>Delhi</w:t>
            </w:r>
          </w:p>
        </w:tc>
        <w:tc>
          <w:tcPr>
            <w:tcW w:type="dxa" w:w="2880"/>
          </w:tcPr>
          <w:p>
            <w:r>
              <w:rPr>
                <w:sz w:val="18"/>
              </w:rPr>
              <w:t>North India (Metro)</w:t>
            </w:r>
          </w:p>
        </w:tc>
      </w:tr>
      <w:tr>
        <w:tc>
          <w:tcPr>
            <w:tcW w:type="dxa" w:w="2880"/>
            <w:shd w:fill="F2F2F2" w:val="clear"/>
          </w:tcPr>
          <w:p>
            <w:r>
              <w:rPr>
                <w:sz w:val="18"/>
              </w:rPr>
              <w:t>Dealer_2</w:t>
            </w:r>
          </w:p>
        </w:tc>
        <w:tc>
          <w:tcPr>
            <w:tcW w:type="dxa" w:w="2880"/>
            <w:shd w:fill="F2F2F2" w:val="clear"/>
          </w:tcPr>
          <w:p>
            <w:r>
              <w:rPr>
                <w:sz w:val="18"/>
              </w:rPr>
              <w:t>Delhi</w:t>
            </w:r>
          </w:p>
        </w:tc>
        <w:tc>
          <w:tcPr>
            <w:tcW w:type="dxa" w:w="2880"/>
            <w:shd w:fill="F2F2F2" w:val="clear"/>
          </w:tcPr>
          <w:p>
            <w:r>
              <w:rPr>
                <w:sz w:val="18"/>
              </w:rPr>
              <w:t>North India (Metro)</w:t>
            </w:r>
          </w:p>
        </w:tc>
      </w:tr>
      <w:tr>
        <w:tc>
          <w:tcPr>
            <w:tcW w:type="dxa" w:w="2880"/>
          </w:tcPr>
          <w:p>
            <w:r>
              <w:rPr>
                <w:sz w:val="18"/>
              </w:rPr>
              <w:t>Dealer_3</w:t>
            </w:r>
          </w:p>
        </w:tc>
        <w:tc>
          <w:tcPr>
            <w:tcW w:type="dxa" w:w="2880"/>
          </w:tcPr>
          <w:p>
            <w:r>
              <w:rPr>
                <w:sz w:val="18"/>
              </w:rPr>
              <w:t>Mumbai</w:t>
            </w:r>
          </w:p>
        </w:tc>
        <w:tc>
          <w:tcPr>
            <w:tcW w:type="dxa" w:w="2880"/>
          </w:tcPr>
          <w:p>
            <w:r>
              <w:rPr>
                <w:sz w:val="18"/>
              </w:rPr>
              <w:t>West India (Metro)</w:t>
            </w:r>
          </w:p>
        </w:tc>
      </w:tr>
      <w:tr>
        <w:tc>
          <w:tcPr>
            <w:tcW w:type="dxa" w:w="2880"/>
            <w:shd w:fill="F2F2F2" w:val="clear"/>
          </w:tcPr>
          <w:p>
            <w:r>
              <w:rPr>
                <w:sz w:val="18"/>
              </w:rPr>
              <w:t>Dealer_4</w:t>
            </w:r>
          </w:p>
        </w:tc>
        <w:tc>
          <w:tcPr>
            <w:tcW w:type="dxa" w:w="2880"/>
            <w:shd w:fill="F2F2F2" w:val="clear"/>
          </w:tcPr>
          <w:p>
            <w:r>
              <w:rPr>
                <w:sz w:val="18"/>
              </w:rPr>
              <w:t>Haryana</w:t>
            </w:r>
          </w:p>
        </w:tc>
        <w:tc>
          <w:tcPr>
            <w:tcW w:type="dxa" w:w="2880"/>
            <w:shd w:fill="F2F2F2" w:val="clear"/>
          </w:tcPr>
          <w:p>
            <w:r>
              <w:rPr>
                <w:sz w:val="18"/>
              </w:rPr>
              <w:t>North India (Non-Metro)</w:t>
            </w:r>
          </w:p>
        </w:tc>
      </w:tr>
      <w:tr>
        <w:tc>
          <w:tcPr>
            <w:tcW w:type="dxa" w:w="2880"/>
          </w:tcPr>
          <w:p>
            <w:r>
              <w:rPr>
                <w:sz w:val="18"/>
              </w:rPr>
              <w:t>Dealer_5</w:t>
            </w:r>
          </w:p>
        </w:tc>
        <w:tc>
          <w:tcPr>
            <w:tcW w:type="dxa" w:w="2880"/>
          </w:tcPr>
          <w:p>
            <w:r>
              <w:rPr>
                <w:sz w:val="18"/>
              </w:rPr>
              <w:t>Haryana</w:t>
            </w:r>
          </w:p>
        </w:tc>
        <w:tc>
          <w:tcPr>
            <w:tcW w:type="dxa" w:w="2880"/>
          </w:tcPr>
          <w:p>
            <w:r>
              <w:rPr>
                <w:sz w:val="18"/>
              </w:rPr>
              <w:t>North India (Non-Metro)</w:t>
            </w:r>
          </w:p>
        </w:tc>
      </w:tr>
      <w:tr>
        <w:tc>
          <w:tcPr>
            <w:tcW w:type="dxa" w:w="2880"/>
            <w:shd w:fill="F2F2F2" w:val="clear"/>
          </w:tcPr>
          <w:p>
            <w:r>
              <w:rPr>
                <w:sz w:val="18"/>
              </w:rPr>
              <w:t>Dealer_6</w:t>
            </w:r>
          </w:p>
        </w:tc>
        <w:tc>
          <w:tcPr>
            <w:tcW w:type="dxa" w:w="2880"/>
            <w:shd w:fill="F2F2F2" w:val="clear"/>
          </w:tcPr>
          <w:p>
            <w:r>
              <w:rPr>
                <w:sz w:val="18"/>
              </w:rPr>
              <w:t>Pune</w:t>
            </w:r>
          </w:p>
        </w:tc>
        <w:tc>
          <w:tcPr>
            <w:tcW w:type="dxa" w:w="2880"/>
            <w:shd w:fill="F2F2F2" w:val="clear"/>
          </w:tcPr>
          <w:p>
            <w:r>
              <w:rPr>
                <w:sz w:val="18"/>
              </w:rPr>
              <w:t>West India (Tier-2)</w:t>
            </w:r>
          </w:p>
        </w:tc>
      </w:tr>
      <w:tr>
        <w:tc>
          <w:tcPr>
            <w:tcW w:type="dxa" w:w="2880"/>
          </w:tcPr>
          <w:p>
            <w:r>
              <w:rPr>
                <w:sz w:val="18"/>
              </w:rPr>
              <w:t>Dealer_7</w:t>
            </w:r>
          </w:p>
        </w:tc>
        <w:tc>
          <w:tcPr>
            <w:tcW w:type="dxa" w:w="2880"/>
          </w:tcPr>
          <w:p>
            <w:r>
              <w:rPr>
                <w:sz w:val="18"/>
              </w:rPr>
              <w:t>Mumbai</w:t>
            </w:r>
          </w:p>
        </w:tc>
        <w:tc>
          <w:tcPr>
            <w:tcW w:type="dxa" w:w="2880"/>
          </w:tcPr>
          <w:p>
            <w:r>
              <w:rPr>
                <w:sz w:val="18"/>
              </w:rPr>
              <w:t>West India (Metro)</w:t>
            </w:r>
          </w:p>
        </w:tc>
      </w:tr>
    </w:tbl>
    <w:p>
      <w:r>
        <w:rPr>
          <w:b w:val="0"/>
          <w:i/>
          <w:sz w:val="22"/>
        </w:rPr>
        <w:t>Key Observations: Delhi has 2 dealers, Mumbai has 2, Haryana has 2, Pune has 1. Metro cities have more dealer presence. Dealer-location mapping is fixed (one-to-one).</w:t>
      </w:r>
    </w:p>
    <w:p>
      <w:pPr>
        <w:pStyle w:val="Heading1"/>
      </w:pPr>
      <w:r>
        <w:t>2.4 Numerical Feature Analysis</w:t>
      </w:r>
    </w:p>
    <w:p>
      <w:pPr>
        <w:pStyle w:val="Heading2"/>
      </w:pPr>
      <w:r>
        <w:t>2.4.1 Quantity Sold (Target Variable)</w:t>
      </w:r>
    </w:p>
    <w:tbl>
      <w:tblPr>
        <w:tblStyle w:val="TableGrid"/>
        <w:tblW w:type="auto" w:w="0"/>
        <w:jc w:val="center"/>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Statistic</w:t>
            </w:r>
          </w:p>
        </w:tc>
        <w:tc>
          <w:tcPr>
            <w:tcW w:type="dxa" w:w="4320"/>
            <w:shd w:fill="1F4E79" w:val="clear"/>
          </w:tcPr>
          <w:p>
            <w:pPr>
              <w:jc w:val="center"/>
            </w:pPr>
            <w:r>
              <w:rPr>
                <w:b/>
                <w:color w:val="FFFFFF"/>
                <w:sz w:val="18"/>
              </w:rPr>
              <w:t>Value</w:t>
            </w:r>
          </w:p>
        </w:tc>
      </w:tr>
      <w:tr>
        <w:tc>
          <w:tcPr>
            <w:tcW w:type="dxa" w:w="4320"/>
          </w:tcPr>
          <w:p>
            <w:r>
              <w:rPr>
                <w:sz w:val="18"/>
              </w:rPr>
              <w:t>Minimum</w:t>
            </w:r>
          </w:p>
        </w:tc>
        <w:tc>
          <w:tcPr>
            <w:tcW w:type="dxa" w:w="4320"/>
          </w:tcPr>
          <w:p>
            <w:r>
              <w:rPr>
                <w:sz w:val="18"/>
              </w:rPr>
              <w:t>10 units</w:t>
            </w:r>
          </w:p>
        </w:tc>
      </w:tr>
      <w:tr>
        <w:tc>
          <w:tcPr>
            <w:tcW w:type="dxa" w:w="4320"/>
            <w:shd w:fill="F2F2F2" w:val="clear"/>
          </w:tcPr>
          <w:p>
            <w:r>
              <w:rPr>
                <w:sz w:val="18"/>
              </w:rPr>
              <w:t>Maximum</w:t>
            </w:r>
          </w:p>
        </w:tc>
        <w:tc>
          <w:tcPr>
            <w:tcW w:type="dxa" w:w="4320"/>
            <w:shd w:fill="F2F2F2" w:val="clear"/>
          </w:tcPr>
          <w:p>
            <w:r>
              <w:rPr>
                <w:sz w:val="18"/>
              </w:rPr>
              <w:t>50 units</w:t>
            </w:r>
          </w:p>
        </w:tc>
      </w:tr>
      <w:tr>
        <w:tc>
          <w:tcPr>
            <w:tcW w:type="dxa" w:w="4320"/>
          </w:tcPr>
          <w:p>
            <w:r>
              <w:rPr>
                <w:sz w:val="18"/>
              </w:rPr>
              <w:t>Range</w:t>
            </w:r>
          </w:p>
        </w:tc>
        <w:tc>
          <w:tcPr>
            <w:tcW w:type="dxa" w:w="4320"/>
          </w:tcPr>
          <w:p>
            <w:r>
              <w:rPr>
                <w:sz w:val="18"/>
              </w:rPr>
              <w:t>40 units</w:t>
            </w:r>
          </w:p>
        </w:tc>
      </w:tr>
      <w:tr>
        <w:tc>
          <w:tcPr>
            <w:tcW w:type="dxa" w:w="4320"/>
            <w:shd w:fill="F2F2F2" w:val="clear"/>
          </w:tcPr>
          <w:p>
            <w:r>
              <w:rPr>
                <w:sz w:val="18"/>
              </w:rPr>
              <w:t>Expected Distribution</w:t>
            </w:r>
          </w:p>
        </w:tc>
        <w:tc>
          <w:tcPr>
            <w:tcW w:type="dxa" w:w="4320"/>
            <w:shd w:fill="F2F2F2" w:val="clear"/>
          </w:tcPr>
          <w:p>
            <w:r>
              <w:rPr>
                <w:sz w:val="18"/>
              </w:rPr>
              <w:t>Approximately uniform between 10–50</w:t>
            </w:r>
          </w:p>
        </w:tc>
      </w:tr>
    </w:tbl>
    <w:p>
      <w:r>
        <w:rPr>
          <w:b w:val="0"/>
          <w:i w:val="0"/>
          <w:sz w:val="22"/>
        </w:rPr>
        <w:t>This is the primary target variable for demand forecasting. The ML models will predict this value, which feeds into safety stock and reorder point calculations.</w:t>
      </w:r>
    </w:p>
    <w:p>
      <w:pPr>
        <w:pStyle w:val="Heading2"/>
      </w:pPr>
      <w:r>
        <w:t>2.4.2 Unit Price (₹)</w:t>
      </w:r>
    </w:p>
    <w:p>
      <w:pPr>
        <w:pStyle w:val="ListBullet"/>
        <w:ind w:left="850"/>
      </w:pPr>
      <w:r>
        <w:t>Range: ₹500 to ₹15,000 (approximately)</w:t>
      </w:r>
    </w:p>
    <w:p>
      <w:pPr>
        <w:pStyle w:val="ListBullet"/>
        <w:ind w:left="850"/>
      </w:pPr>
      <w:r>
        <w:t>Distribution: Right-skewed (many budget products, fewer premium ones)</w:t>
      </w:r>
    </w:p>
    <w:p>
      <w:pPr>
        <w:pStyle w:val="ListBullet"/>
        <w:ind w:left="850"/>
      </w:pPr>
      <w:r>
        <w:t>Brand dependency: Strongly correlated with brand; premium brands occupy the upper range</w:t>
      </w:r>
    </w:p>
    <w:p>
      <w:r>
        <w:rPr>
          <w:b w:val="0"/>
          <w:i/>
          <w:sz w:val="22"/>
        </w:rPr>
        <w:t>Key Insight: Unit price varies significantly by brand. Nike products can be 10–30× more expensive than Paragon products. This wide range means price-based features need careful scaling/normalization.</w:t>
      </w:r>
    </w:p>
    <w:p>
      <w:pPr>
        <w:pStyle w:val="Heading2"/>
      </w:pPr>
      <w:r>
        <w:t>2.4.3 Stock Availability</w:t>
      </w:r>
    </w:p>
    <w:p>
      <w:pPr>
        <w:pStyle w:val="ListBullet"/>
        <w:ind w:left="850"/>
      </w:pPr>
      <w:r>
        <w:t>Range: 1 to 200 units</w:t>
      </w:r>
    </w:p>
    <w:p>
      <w:pPr>
        <w:pStyle w:val="ListBullet"/>
        <w:ind w:left="850"/>
      </w:pPr>
      <w:r>
        <w:t>Interpretation: Current inventory level at the dealer's location at the time of sale</w:t>
      </w:r>
    </w:p>
    <w:p>
      <w:r>
        <w:rPr>
          <w:b w:val="0"/>
          <w:i/>
          <w:sz w:val="22"/>
        </w:rPr>
        <w:t>Low stock values may indicate near-stockout situations, while high values may indicate overstocking. This feature is important for both demand forecasting and inventory health assessment.</w:t>
      </w:r>
    </w:p>
    <w:p>
      <w:pPr>
        <w:pStyle w:val="Heading2"/>
      </w:pPr>
      <w:r>
        <w:t>2.4.4 Derived Financial Features — DATA LEAKAGE WARNING</w:t>
      </w:r>
    </w:p>
    <w:p>
      <w:r>
        <w:rPr>
          <w:b/>
          <w:i w:val="0"/>
          <w:sz w:val="22"/>
        </w:rPr>
        <w:t>⚠ CRITICAL: The following features are mathematically derived and contain the target variable (Quantity Sold). They MUST be excluded from model input to prevent data leakage: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8B0000" w:val="clear"/>
          </w:tcPr>
          <w:p>
            <w:pPr>
              <w:jc w:val="center"/>
            </w:pPr>
            <w:r>
              <w:rPr>
                <w:b/>
                <w:color w:val="FFFFFF"/>
                <w:sz w:val="18"/>
              </w:rPr>
              <w:t>Feature</w:t>
            </w:r>
          </w:p>
        </w:tc>
        <w:tc>
          <w:tcPr>
            <w:tcW w:type="dxa" w:w="2880"/>
            <w:shd w:fill="8B0000" w:val="clear"/>
          </w:tcPr>
          <w:p>
            <w:pPr>
              <w:jc w:val="center"/>
            </w:pPr>
            <w:r>
              <w:rPr>
                <w:b/>
                <w:color w:val="FFFFFF"/>
                <w:sz w:val="18"/>
              </w:rPr>
              <w:t>Formula</w:t>
            </w:r>
          </w:p>
        </w:tc>
        <w:tc>
          <w:tcPr>
            <w:tcW w:type="dxa" w:w="2880"/>
            <w:shd w:fill="8B0000" w:val="clear"/>
          </w:tcPr>
          <w:p>
            <w:pPr>
              <w:jc w:val="center"/>
            </w:pPr>
            <w:r>
              <w:rPr>
                <w:b/>
                <w:color w:val="FFFFFF"/>
                <w:sz w:val="18"/>
              </w:rPr>
              <w:t>ML Decision</w:t>
            </w:r>
          </w:p>
        </w:tc>
      </w:tr>
      <w:tr>
        <w:tc>
          <w:tcPr>
            <w:tcW w:type="dxa" w:w="2880"/>
          </w:tcPr>
          <w:p>
            <w:r>
              <w:rPr>
                <w:sz w:val="18"/>
              </w:rPr>
              <w:t>Profit (₹)</w:t>
            </w:r>
          </w:p>
        </w:tc>
        <w:tc>
          <w:tcPr>
            <w:tcW w:type="dxa" w:w="2880"/>
          </w:tcPr>
          <w:p>
            <w:r>
              <w:rPr>
                <w:sz w:val="18"/>
              </w:rPr>
              <w:t>Unit Price × Margin %</w:t>
            </w:r>
          </w:p>
        </w:tc>
        <w:tc>
          <w:tcPr>
            <w:tcW w:type="dxa" w:w="2880"/>
          </w:tcPr>
          <w:p>
            <w:r>
              <w:rPr>
                <w:sz w:val="18"/>
              </w:rPr>
              <w:t>CAUTION — potential leakage with Unit Price + Margin</w:t>
            </w:r>
          </w:p>
        </w:tc>
      </w:tr>
      <w:tr>
        <w:tc>
          <w:tcPr>
            <w:tcW w:type="dxa" w:w="2880"/>
            <w:shd w:fill="F2F2F2" w:val="clear"/>
          </w:tcPr>
          <w:p>
            <w:r>
              <w:rPr>
                <w:sz w:val="18"/>
              </w:rPr>
              <w:t>Net Profit (₹)</w:t>
            </w:r>
          </w:p>
        </w:tc>
        <w:tc>
          <w:tcPr>
            <w:tcW w:type="dxa" w:w="2880"/>
            <w:shd w:fill="F2F2F2" w:val="clear"/>
          </w:tcPr>
          <w:p>
            <w:r>
              <w:rPr>
                <w:sz w:val="18"/>
              </w:rPr>
              <w:t>Profit × Quantity Sold</w:t>
            </w:r>
          </w:p>
        </w:tc>
        <w:tc>
          <w:tcPr>
            <w:tcW w:type="dxa" w:w="2880"/>
            <w:shd w:fill="F2F2F2" w:val="clear"/>
          </w:tcPr>
          <w:p>
            <w:r>
              <w:rPr>
                <w:sz w:val="18"/>
              </w:rPr>
              <w:t>MUST EXCLUDE — contains target variable</w:t>
            </w:r>
          </w:p>
        </w:tc>
      </w:tr>
      <w:tr>
        <w:tc>
          <w:tcPr>
            <w:tcW w:type="dxa" w:w="2880"/>
          </w:tcPr>
          <w:p>
            <w:r>
              <w:rPr>
                <w:sz w:val="18"/>
              </w:rPr>
              <w:t>Total Revenue (₹)</w:t>
            </w:r>
          </w:p>
        </w:tc>
        <w:tc>
          <w:tcPr>
            <w:tcW w:type="dxa" w:w="2880"/>
          </w:tcPr>
          <w:p>
            <w:r>
              <w:rPr>
                <w:sz w:val="18"/>
              </w:rPr>
              <w:t>Unit Price × Qty × (1 − Margin %)</w:t>
            </w:r>
          </w:p>
        </w:tc>
        <w:tc>
          <w:tcPr>
            <w:tcW w:type="dxa" w:w="2880"/>
          </w:tcPr>
          <w:p>
            <w:r>
              <w:rPr>
                <w:sz w:val="18"/>
              </w:rPr>
              <w:t>MUST EXCLUDE — contains target variable</w:t>
            </w:r>
          </w:p>
        </w:tc>
      </w:tr>
      <w:tr>
        <w:tc>
          <w:tcPr>
            <w:tcW w:type="dxa" w:w="2880"/>
            <w:shd w:fill="F2F2F2" w:val="clear"/>
          </w:tcPr>
          <w:p>
            <w:r>
              <w:rPr>
                <w:sz w:val="18"/>
              </w:rPr>
              <w:t>Tax Amount (₹)</w:t>
            </w:r>
          </w:p>
        </w:tc>
        <w:tc>
          <w:tcPr>
            <w:tcW w:type="dxa" w:w="2880"/>
            <w:shd w:fill="F2F2F2" w:val="clear"/>
          </w:tcPr>
          <w:p>
            <w:r>
              <w:rPr>
                <w:sz w:val="18"/>
              </w:rPr>
              <w:t>Unit Price × 12%</w:t>
            </w:r>
          </w:p>
        </w:tc>
        <w:tc>
          <w:tcPr>
            <w:tcW w:type="dxa" w:w="2880"/>
            <w:shd w:fill="F2F2F2" w:val="clear"/>
          </w:tcPr>
          <w:p>
            <w:r>
              <w:rPr>
                <w:sz w:val="18"/>
              </w:rPr>
              <w:t>Redundant — fully derived from Unit Price</w:t>
            </w:r>
          </w:p>
        </w:tc>
      </w:tr>
      <w:tr>
        <w:tc>
          <w:tcPr>
            <w:tcW w:type="dxa" w:w="2880"/>
          </w:tcPr>
          <w:p>
            <w:r>
              <w:rPr>
                <w:sz w:val="18"/>
              </w:rPr>
              <w:t>Net Tax (₹)</w:t>
            </w:r>
          </w:p>
        </w:tc>
        <w:tc>
          <w:tcPr>
            <w:tcW w:type="dxa" w:w="2880"/>
          </w:tcPr>
          <w:p>
            <w:r>
              <w:rPr>
                <w:sz w:val="18"/>
              </w:rPr>
              <w:t>Tax Amount × Quantity Sold</w:t>
            </w:r>
          </w:p>
        </w:tc>
        <w:tc>
          <w:tcPr>
            <w:tcW w:type="dxa" w:w="2880"/>
          </w:tcPr>
          <w:p>
            <w:r>
              <w:rPr>
                <w:sz w:val="18"/>
              </w:rPr>
              <w:t>MUST EXCLUDE — contains target variable</w:t>
            </w:r>
          </w:p>
        </w:tc>
      </w:tr>
    </w:tbl>
    <w:p>
      <w:pPr>
        <w:pStyle w:val="Heading1"/>
      </w:pPr>
      <w:r>
        <w:t>2.5 Temporal Analysis</w:t>
      </w:r>
    </w:p>
    <w:p>
      <w:pPr>
        <w:pStyle w:val="Heading2"/>
      </w:pPr>
      <w:r>
        <w:t>2.5.1 Date Feature Characteristics</w:t>
      </w:r>
    </w:p>
    <w:tbl>
      <w:tblPr>
        <w:tblStyle w:val="TableGrid"/>
        <w:tblW w:type="auto" w:w="0"/>
        <w:jc w:val="center"/>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Property</w:t>
            </w:r>
          </w:p>
        </w:tc>
        <w:tc>
          <w:tcPr>
            <w:tcW w:type="dxa" w:w="4320"/>
            <w:shd w:fill="1F4E79" w:val="clear"/>
          </w:tcPr>
          <w:p>
            <w:pPr>
              <w:jc w:val="center"/>
            </w:pPr>
            <w:r>
              <w:rPr>
                <w:b/>
                <w:color w:val="FFFFFF"/>
                <w:sz w:val="18"/>
              </w:rPr>
              <w:t>Detail</w:t>
            </w:r>
          </w:p>
        </w:tc>
      </w:tr>
      <w:tr>
        <w:tc>
          <w:tcPr>
            <w:tcW w:type="dxa" w:w="4320"/>
          </w:tcPr>
          <w:p>
            <w:r>
              <w:rPr>
                <w:sz w:val="18"/>
              </w:rPr>
              <w:t>Format</w:t>
            </w:r>
          </w:p>
        </w:tc>
        <w:tc>
          <w:tcPr>
            <w:tcW w:type="dxa" w:w="4320"/>
          </w:tcPr>
          <w:p>
            <w:r>
              <w:rPr>
                <w:sz w:val="18"/>
              </w:rPr>
              <w:t>DD-MM-YYYY (e.g., 01-01-2023)</w:t>
            </w:r>
          </w:p>
        </w:tc>
      </w:tr>
      <w:tr>
        <w:tc>
          <w:tcPr>
            <w:tcW w:type="dxa" w:w="4320"/>
            <w:shd w:fill="F2F2F2" w:val="clear"/>
          </w:tcPr>
          <w:p>
            <w:r>
              <w:rPr>
                <w:sz w:val="18"/>
              </w:rPr>
              <w:t>Date Range</w:t>
            </w:r>
          </w:p>
        </w:tc>
        <w:tc>
          <w:tcPr>
            <w:tcW w:type="dxa" w:w="4320"/>
            <w:shd w:fill="F2F2F2" w:val="clear"/>
          </w:tcPr>
          <w:p>
            <w:r>
              <w:rPr>
                <w:sz w:val="18"/>
              </w:rPr>
              <w:t>01-01-2023 to 31-12-2025</w:t>
            </w:r>
          </w:p>
        </w:tc>
      </w:tr>
      <w:tr>
        <w:tc>
          <w:tcPr>
            <w:tcW w:type="dxa" w:w="4320"/>
          </w:tcPr>
          <w:p>
            <w:r>
              <w:rPr>
                <w:sz w:val="18"/>
              </w:rPr>
              <w:t>Total Unique Dates</w:t>
            </w:r>
          </w:p>
        </w:tc>
        <w:tc>
          <w:tcPr>
            <w:tcW w:type="dxa" w:w="4320"/>
          </w:tcPr>
          <w:p>
            <w:r>
              <w:rPr>
                <w:sz w:val="18"/>
              </w:rPr>
              <w:t>~1,095 days (3 full calendar years)</w:t>
            </w:r>
          </w:p>
        </w:tc>
      </w:tr>
      <w:tr>
        <w:tc>
          <w:tcPr>
            <w:tcW w:type="dxa" w:w="4320"/>
            <w:shd w:fill="F2F2F2" w:val="clear"/>
          </w:tcPr>
          <w:p>
            <w:r>
              <w:rPr>
                <w:sz w:val="18"/>
              </w:rPr>
              <w:t>Records per Day</w:t>
            </w:r>
          </w:p>
        </w:tc>
        <w:tc>
          <w:tcPr>
            <w:tcW w:type="dxa" w:w="4320"/>
            <w:shd w:fill="F2F2F2" w:val="clear"/>
          </w:tcPr>
          <w:p>
            <w:r>
              <w:rPr>
                <w:sz w:val="18"/>
              </w:rPr>
              <w:t>Varies; approximately 8–14 records per day</w:t>
            </w:r>
          </w:p>
        </w:tc>
      </w:tr>
    </w:tbl>
    <w:p>
      <w:pPr>
        <w:pStyle w:val="Heading2"/>
      </w:pPr>
      <w:r>
        <w:t>2.5.2 Time-Based Features to Engineer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Feature</w:t>
            </w:r>
          </w:p>
        </w:tc>
        <w:tc>
          <w:tcPr>
            <w:tcW w:type="dxa" w:w="2880"/>
            <w:shd w:fill="1F4E79" w:val="clear"/>
          </w:tcPr>
          <w:p>
            <w:pPr>
              <w:jc w:val="center"/>
            </w:pPr>
            <w:r>
              <w:rPr>
                <w:b/>
                <w:color w:val="FFFFFF"/>
                <w:sz w:val="18"/>
              </w:rPr>
              <w:t>Derivation</w:t>
            </w:r>
          </w:p>
        </w:tc>
        <w:tc>
          <w:tcPr>
            <w:tcW w:type="dxa" w:w="2880"/>
            <w:shd w:fill="1F4E79" w:val="clear"/>
          </w:tcPr>
          <w:p>
            <w:pPr>
              <w:jc w:val="center"/>
            </w:pPr>
            <w:r>
              <w:rPr>
                <w:b/>
                <w:color w:val="FFFFFF"/>
                <w:sz w:val="18"/>
              </w:rPr>
              <w:t>ML Relevance</w:t>
            </w:r>
          </w:p>
        </w:tc>
      </w:tr>
      <w:tr>
        <w:tc>
          <w:tcPr>
            <w:tcW w:type="dxa" w:w="2880"/>
          </w:tcPr>
          <w:p>
            <w:r>
              <w:rPr>
                <w:sz w:val="18"/>
              </w:rPr>
              <w:t>Day of Week</w:t>
            </w:r>
          </w:p>
        </w:tc>
        <w:tc>
          <w:tcPr>
            <w:tcW w:type="dxa" w:w="2880"/>
          </w:tcPr>
          <w:p>
            <w:r>
              <w:rPr>
                <w:sz w:val="18"/>
              </w:rPr>
              <w:t>Monday=0 to Sunday=6</w:t>
            </w:r>
          </w:p>
        </w:tc>
        <w:tc>
          <w:tcPr>
            <w:tcW w:type="dxa" w:w="2880"/>
          </w:tcPr>
          <w:p>
            <w:r>
              <w:rPr>
                <w:sz w:val="18"/>
              </w:rPr>
              <w:t>Weekday vs. weekend demand patterns</w:t>
            </w:r>
          </w:p>
        </w:tc>
      </w:tr>
      <w:tr>
        <w:tc>
          <w:tcPr>
            <w:tcW w:type="dxa" w:w="2880"/>
            <w:shd w:fill="F2F2F2" w:val="clear"/>
          </w:tcPr>
          <w:p>
            <w:r>
              <w:rPr>
                <w:sz w:val="18"/>
              </w:rPr>
              <w:t>Day of Month</w:t>
            </w:r>
          </w:p>
        </w:tc>
        <w:tc>
          <w:tcPr>
            <w:tcW w:type="dxa" w:w="2880"/>
            <w:shd w:fill="F2F2F2" w:val="clear"/>
          </w:tcPr>
          <w:p>
            <w:r>
              <w:rPr>
                <w:sz w:val="18"/>
              </w:rPr>
              <w:t>1–31</w:t>
            </w:r>
          </w:p>
        </w:tc>
        <w:tc>
          <w:tcPr>
            <w:tcW w:type="dxa" w:w="2880"/>
            <w:shd w:fill="F2F2F2" w:val="clear"/>
          </w:tcPr>
          <w:p>
            <w:r>
              <w:rPr>
                <w:sz w:val="18"/>
              </w:rPr>
              <w:t>Salary cycle effects (higher demand at month start/end)</w:t>
            </w:r>
          </w:p>
        </w:tc>
      </w:tr>
      <w:tr>
        <w:tc>
          <w:tcPr>
            <w:tcW w:type="dxa" w:w="2880"/>
          </w:tcPr>
          <w:p>
            <w:r>
              <w:rPr>
                <w:sz w:val="18"/>
              </w:rPr>
              <w:t>Month</w:t>
            </w:r>
          </w:p>
        </w:tc>
        <w:tc>
          <w:tcPr>
            <w:tcW w:type="dxa" w:w="2880"/>
          </w:tcPr>
          <w:p>
            <w:r>
              <w:rPr>
                <w:sz w:val="18"/>
              </w:rPr>
              <w:t>1–12</w:t>
            </w:r>
          </w:p>
        </w:tc>
        <w:tc>
          <w:tcPr>
            <w:tcW w:type="dxa" w:w="2880"/>
          </w:tcPr>
          <w:p>
            <w:r>
              <w:rPr>
                <w:sz w:val="18"/>
              </w:rPr>
              <w:t>Seasonal demand variation</w:t>
            </w:r>
          </w:p>
        </w:tc>
      </w:tr>
      <w:tr>
        <w:tc>
          <w:tcPr>
            <w:tcW w:type="dxa" w:w="2880"/>
            <w:shd w:fill="F2F2F2" w:val="clear"/>
          </w:tcPr>
          <w:p>
            <w:r>
              <w:rPr>
                <w:sz w:val="18"/>
              </w:rPr>
              <w:t>Quarter</w:t>
            </w:r>
          </w:p>
        </w:tc>
        <w:tc>
          <w:tcPr>
            <w:tcW w:type="dxa" w:w="2880"/>
            <w:shd w:fill="F2F2F2" w:val="clear"/>
          </w:tcPr>
          <w:p>
            <w:r>
              <w:rPr>
                <w:sz w:val="18"/>
              </w:rPr>
              <w:t>Q1–Q4</w:t>
            </w:r>
          </w:p>
        </w:tc>
        <w:tc>
          <w:tcPr>
            <w:tcW w:type="dxa" w:w="2880"/>
            <w:shd w:fill="F2F2F2" w:val="clear"/>
          </w:tcPr>
          <w:p>
            <w:r>
              <w:rPr>
                <w:sz w:val="18"/>
              </w:rPr>
              <w:t>Broader seasonal trends</w:t>
            </w:r>
          </w:p>
        </w:tc>
      </w:tr>
      <w:tr>
        <w:tc>
          <w:tcPr>
            <w:tcW w:type="dxa" w:w="2880"/>
          </w:tcPr>
          <w:p>
            <w:r>
              <w:rPr>
                <w:sz w:val="18"/>
              </w:rPr>
              <w:t>Year</w:t>
            </w:r>
          </w:p>
        </w:tc>
        <w:tc>
          <w:tcPr>
            <w:tcW w:type="dxa" w:w="2880"/>
          </w:tcPr>
          <w:p>
            <w:r>
              <w:rPr>
                <w:sz w:val="18"/>
              </w:rPr>
              <w:t>2023, 2024, 2025</w:t>
            </w:r>
          </w:p>
        </w:tc>
        <w:tc>
          <w:tcPr>
            <w:tcW w:type="dxa" w:w="2880"/>
          </w:tcPr>
          <w:p>
            <w:r>
              <w:rPr>
                <w:sz w:val="18"/>
              </w:rPr>
              <w:t>Long-term growth/decline trends</w:t>
            </w:r>
          </w:p>
        </w:tc>
      </w:tr>
      <w:tr>
        <w:tc>
          <w:tcPr>
            <w:tcW w:type="dxa" w:w="2880"/>
            <w:shd w:fill="F2F2F2" w:val="clear"/>
          </w:tcPr>
          <w:p>
            <w:r>
              <w:rPr>
                <w:sz w:val="18"/>
              </w:rPr>
              <w:t>Is Weekend</w:t>
            </w:r>
          </w:p>
        </w:tc>
        <w:tc>
          <w:tcPr>
            <w:tcW w:type="dxa" w:w="2880"/>
            <w:shd w:fill="F2F2F2" w:val="clear"/>
          </w:tcPr>
          <w:p>
            <w:r>
              <w:rPr>
                <w:sz w:val="18"/>
              </w:rPr>
              <w:t>Binary (0/1)</w:t>
            </w:r>
          </w:p>
        </w:tc>
        <w:tc>
          <w:tcPr>
            <w:tcW w:type="dxa" w:w="2880"/>
            <w:shd w:fill="F2F2F2" w:val="clear"/>
          </w:tcPr>
          <w:p>
            <w:r>
              <w:rPr>
                <w:sz w:val="18"/>
              </w:rPr>
              <w:t>Weekend shopping patterns</w:t>
            </w:r>
          </w:p>
        </w:tc>
      </w:tr>
      <w:tr>
        <w:tc>
          <w:tcPr>
            <w:tcW w:type="dxa" w:w="2880"/>
          </w:tcPr>
          <w:p>
            <w:r>
              <w:rPr>
                <w:sz w:val="18"/>
              </w:rPr>
              <w:t>Is Month Start</w:t>
            </w:r>
          </w:p>
        </w:tc>
        <w:tc>
          <w:tcPr>
            <w:tcW w:type="dxa" w:w="2880"/>
          </w:tcPr>
          <w:p>
            <w:r>
              <w:rPr>
                <w:sz w:val="18"/>
              </w:rPr>
              <w:t>Binary (0/1)</w:t>
            </w:r>
          </w:p>
        </w:tc>
        <w:tc>
          <w:tcPr>
            <w:tcW w:type="dxa" w:w="2880"/>
          </w:tcPr>
          <w:p>
            <w:r>
              <w:rPr>
                <w:sz w:val="18"/>
              </w:rPr>
              <w:t>Pay cycle demand surges</w:t>
            </w:r>
          </w:p>
        </w:tc>
      </w:tr>
      <w:tr>
        <w:tc>
          <w:tcPr>
            <w:tcW w:type="dxa" w:w="2880"/>
            <w:shd w:fill="F2F2F2" w:val="clear"/>
          </w:tcPr>
          <w:p>
            <w:r>
              <w:rPr>
                <w:sz w:val="18"/>
              </w:rPr>
              <w:t>Is Month End</w:t>
            </w:r>
          </w:p>
        </w:tc>
        <w:tc>
          <w:tcPr>
            <w:tcW w:type="dxa" w:w="2880"/>
            <w:shd w:fill="F2F2F2" w:val="clear"/>
          </w:tcPr>
          <w:p>
            <w:r>
              <w:rPr>
                <w:sz w:val="18"/>
              </w:rPr>
              <w:t>Binary (0/1)</w:t>
            </w:r>
          </w:p>
        </w:tc>
        <w:tc>
          <w:tcPr>
            <w:tcW w:type="dxa" w:w="2880"/>
            <w:shd w:fill="F2F2F2" w:val="clear"/>
          </w:tcPr>
          <w:p>
            <w:r>
              <w:rPr>
                <w:sz w:val="18"/>
              </w:rPr>
              <w:t>Month-end clearance patterns</w:t>
            </w:r>
          </w:p>
        </w:tc>
      </w:tr>
      <w:tr>
        <w:tc>
          <w:tcPr>
            <w:tcW w:type="dxa" w:w="2880"/>
          </w:tcPr>
          <w:p>
            <w:r>
              <w:rPr>
                <w:sz w:val="18"/>
              </w:rPr>
              <w:t>Week of Year</w:t>
            </w:r>
          </w:p>
        </w:tc>
        <w:tc>
          <w:tcPr>
            <w:tcW w:type="dxa" w:w="2880"/>
          </w:tcPr>
          <w:p>
            <w:r>
              <w:rPr>
                <w:sz w:val="18"/>
              </w:rPr>
              <w:t>1–52</w:t>
            </w:r>
          </w:p>
        </w:tc>
        <w:tc>
          <w:tcPr>
            <w:tcW w:type="dxa" w:w="2880"/>
          </w:tcPr>
          <w:p>
            <w:r>
              <w:rPr>
                <w:sz w:val="18"/>
              </w:rPr>
              <w:t>Granular seasonal patterns</w:t>
            </w:r>
          </w:p>
        </w:tc>
      </w:tr>
    </w:tbl>
    <w:p>
      <w:pPr>
        <w:pStyle w:val="Heading2"/>
      </w:pPr>
      <w:r>
        <w:t>2.5.3 Yearly Data Distribution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Year</w:t>
            </w:r>
          </w:p>
        </w:tc>
        <w:tc>
          <w:tcPr>
            <w:tcW w:type="dxa" w:w="2880"/>
            <w:shd w:fill="1F4E79" w:val="clear"/>
          </w:tcPr>
          <w:p>
            <w:pPr>
              <w:jc w:val="center"/>
            </w:pPr>
            <w:r>
              <w:rPr>
                <w:b/>
                <w:color w:val="FFFFFF"/>
                <w:sz w:val="18"/>
              </w:rPr>
              <w:t>Approximate Record Count</w:t>
            </w:r>
          </w:p>
        </w:tc>
        <w:tc>
          <w:tcPr>
            <w:tcW w:type="dxa" w:w="2880"/>
            <w:shd w:fill="1F4E79" w:val="clear"/>
          </w:tcPr>
          <w:p>
            <w:pPr>
              <w:jc w:val="center"/>
            </w:pPr>
            <w:r>
              <w:rPr>
                <w:b/>
                <w:color w:val="FFFFFF"/>
                <w:sz w:val="18"/>
              </w:rPr>
              <w:t>Coverage</w:t>
            </w:r>
          </w:p>
        </w:tc>
      </w:tr>
      <w:tr>
        <w:tc>
          <w:tcPr>
            <w:tcW w:type="dxa" w:w="2880"/>
          </w:tcPr>
          <w:p>
            <w:r>
              <w:rPr>
                <w:sz w:val="18"/>
              </w:rPr>
              <w:t>2023</w:t>
            </w:r>
          </w:p>
        </w:tc>
        <w:tc>
          <w:tcPr>
            <w:tcW w:type="dxa" w:w="2880"/>
          </w:tcPr>
          <w:p>
            <w:r>
              <w:rPr>
                <w:sz w:val="18"/>
              </w:rPr>
              <w:t>~3,055 records</w:t>
            </w:r>
          </w:p>
        </w:tc>
        <w:tc>
          <w:tcPr>
            <w:tcW w:type="dxa" w:w="2880"/>
          </w:tcPr>
          <w:p>
            <w:r>
              <w:rPr>
                <w:sz w:val="18"/>
              </w:rPr>
              <w:t>Full year (Jan–Dec)</w:t>
            </w:r>
          </w:p>
        </w:tc>
      </w:tr>
      <w:tr>
        <w:tc>
          <w:tcPr>
            <w:tcW w:type="dxa" w:w="2880"/>
            <w:shd w:fill="F2F2F2" w:val="clear"/>
          </w:tcPr>
          <w:p>
            <w:r>
              <w:rPr>
                <w:sz w:val="18"/>
              </w:rPr>
              <w:t>2024</w:t>
            </w:r>
          </w:p>
        </w:tc>
        <w:tc>
          <w:tcPr>
            <w:tcW w:type="dxa" w:w="2880"/>
            <w:shd w:fill="F2F2F2" w:val="clear"/>
          </w:tcPr>
          <w:p>
            <w:r>
              <w:rPr>
                <w:sz w:val="18"/>
              </w:rPr>
              <w:t>~4,020 records</w:t>
            </w:r>
          </w:p>
        </w:tc>
        <w:tc>
          <w:tcPr>
            <w:tcW w:type="dxa" w:w="2880"/>
            <w:shd w:fill="F2F2F2" w:val="clear"/>
          </w:tcPr>
          <w:p>
            <w:r>
              <w:rPr>
                <w:sz w:val="18"/>
              </w:rPr>
              <w:t>Full year (Jan–Dec)</w:t>
            </w:r>
          </w:p>
        </w:tc>
      </w:tr>
      <w:tr>
        <w:tc>
          <w:tcPr>
            <w:tcW w:type="dxa" w:w="2880"/>
          </w:tcPr>
          <w:p>
            <w:r>
              <w:rPr>
                <w:sz w:val="18"/>
              </w:rPr>
              <w:t>2025</w:t>
            </w:r>
          </w:p>
        </w:tc>
        <w:tc>
          <w:tcPr>
            <w:tcW w:type="dxa" w:w="2880"/>
          </w:tcPr>
          <w:p>
            <w:r>
              <w:rPr>
                <w:sz w:val="18"/>
              </w:rPr>
              <w:t>~4,041 records</w:t>
            </w:r>
          </w:p>
        </w:tc>
        <w:tc>
          <w:tcPr>
            <w:tcW w:type="dxa" w:w="2880"/>
          </w:tcPr>
          <w:p>
            <w:r>
              <w:rPr>
                <w:sz w:val="18"/>
              </w:rPr>
              <w:t>Full year (Jan–Dec)</w:t>
            </w:r>
          </w:p>
        </w:tc>
      </w:tr>
    </w:tbl>
    <w:p>
      <w:pPr>
        <w:pStyle w:val="Heading2"/>
      </w:pPr>
      <w:r>
        <w:t>2.5.4 Seasonal Patterns (Expected)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Season</w:t>
            </w:r>
          </w:p>
        </w:tc>
        <w:tc>
          <w:tcPr>
            <w:tcW w:type="dxa" w:w="2880"/>
            <w:shd w:fill="1F4E79" w:val="clear"/>
          </w:tcPr>
          <w:p>
            <w:pPr>
              <w:jc w:val="center"/>
            </w:pPr>
            <w:r>
              <w:rPr>
                <w:b/>
                <w:color w:val="FFFFFF"/>
                <w:sz w:val="18"/>
              </w:rPr>
              <w:t>Months</w:t>
            </w:r>
          </w:p>
        </w:tc>
        <w:tc>
          <w:tcPr>
            <w:tcW w:type="dxa" w:w="2880"/>
            <w:shd w:fill="1F4E79" w:val="clear"/>
          </w:tcPr>
          <w:p>
            <w:pPr>
              <w:jc w:val="center"/>
            </w:pPr>
            <w:r>
              <w:rPr>
                <w:b/>
                <w:color w:val="FFFFFF"/>
                <w:sz w:val="18"/>
              </w:rPr>
              <w:t>Expected Product Demand</w:t>
            </w:r>
          </w:p>
        </w:tc>
      </w:tr>
      <w:tr>
        <w:tc>
          <w:tcPr>
            <w:tcW w:type="dxa" w:w="2880"/>
          </w:tcPr>
          <w:p>
            <w:r>
              <w:rPr>
                <w:sz w:val="18"/>
              </w:rPr>
              <w:t>Summer</w:t>
            </w:r>
          </w:p>
        </w:tc>
        <w:tc>
          <w:tcPr>
            <w:tcW w:type="dxa" w:w="2880"/>
          </w:tcPr>
          <w:p>
            <w:r>
              <w:rPr>
                <w:sz w:val="18"/>
              </w:rPr>
              <w:t>April – June</w:t>
            </w:r>
          </w:p>
        </w:tc>
        <w:tc>
          <w:tcPr>
            <w:tcW w:type="dxa" w:w="2880"/>
          </w:tcPr>
          <w:p>
            <w:r>
              <w:rPr>
                <w:sz w:val="18"/>
              </w:rPr>
              <w:t>↑ Sandals, Flats; ↓ Boots</w:t>
            </w:r>
          </w:p>
        </w:tc>
      </w:tr>
      <w:tr>
        <w:tc>
          <w:tcPr>
            <w:tcW w:type="dxa" w:w="2880"/>
            <w:shd w:fill="F2F2F2" w:val="clear"/>
          </w:tcPr>
          <w:p>
            <w:r>
              <w:rPr>
                <w:sz w:val="18"/>
              </w:rPr>
              <w:t>Monsoon</w:t>
            </w:r>
          </w:p>
        </w:tc>
        <w:tc>
          <w:tcPr>
            <w:tcW w:type="dxa" w:w="2880"/>
            <w:shd w:fill="F2F2F2" w:val="clear"/>
          </w:tcPr>
          <w:p>
            <w:r>
              <w:rPr>
                <w:sz w:val="18"/>
              </w:rPr>
              <w:t>July – September</w:t>
            </w:r>
          </w:p>
        </w:tc>
        <w:tc>
          <w:tcPr>
            <w:tcW w:type="dxa" w:w="2880"/>
            <w:shd w:fill="F2F2F2" w:val="clear"/>
          </w:tcPr>
          <w:p>
            <w:r>
              <w:rPr>
                <w:sz w:val="18"/>
              </w:rPr>
              <w:t>↑ Sandals (waterproof); ↓ Sneakers, Flats</w:t>
            </w:r>
          </w:p>
        </w:tc>
      </w:tr>
      <w:tr>
        <w:tc>
          <w:tcPr>
            <w:tcW w:type="dxa" w:w="2880"/>
          </w:tcPr>
          <w:p>
            <w:r>
              <w:rPr>
                <w:sz w:val="18"/>
              </w:rPr>
              <w:t>Autumn/Festival</w:t>
            </w:r>
          </w:p>
        </w:tc>
        <w:tc>
          <w:tcPr>
            <w:tcW w:type="dxa" w:w="2880"/>
          </w:tcPr>
          <w:p>
            <w:r>
              <w:rPr>
                <w:sz w:val="18"/>
              </w:rPr>
              <w:t>October – November</w:t>
            </w:r>
          </w:p>
        </w:tc>
        <w:tc>
          <w:tcPr>
            <w:tcW w:type="dxa" w:w="2880"/>
          </w:tcPr>
          <w:p>
            <w:r>
              <w:rPr>
                <w:sz w:val="18"/>
              </w:rPr>
              <w:t>↑ All categories (Diwali, festive shopping)</w:t>
            </w:r>
          </w:p>
        </w:tc>
      </w:tr>
      <w:tr>
        <w:tc>
          <w:tcPr>
            <w:tcW w:type="dxa" w:w="2880"/>
            <w:shd w:fill="F2F2F2" w:val="clear"/>
          </w:tcPr>
          <w:p>
            <w:r>
              <w:rPr>
                <w:sz w:val="18"/>
              </w:rPr>
              <w:t>Winter</w:t>
            </w:r>
          </w:p>
        </w:tc>
        <w:tc>
          <w:tcPr>
            <w:tcW w:type="dxa" w:w="2880"/>
            <w:shd w:fill="F2F2F2" w:val="clear"/>
          </w:tcPr>
          <w:p>
            <w:r>
              <w:rPr>
                <w:sz w:val="18"/>
              </w:rPr>
              <w:t>December – February</w:t>
            </w:r>
          </w:p>
        </w:tc>
        <w:tc>
          <w:tcPr>
            <w:tcW w:type="dxa" w:w="2880"/>
            <w:shd w:fill="F2F2F2" w:val="clear"/>
          </w:tcPr>
          <w:p>
            <w:r>
              <w:rPr>
                <w:sz w:val="18"/>
              </w:rPr>
              <w:t>↑ Boots, Sneakers; ↓ Sandals</w:t>
            </w:r>
          </w:p>
        </w:tc>
      </w:tr>
    </w:tbl>
    <w:p>
      <w:pPr>
        <w:pStyle w:val="Heading1"/>
      </w:pPr>
      <w:r>
        <w:t>2.6 Data Quality Assessment</w:t>
      </w:r>
    </w:p>
    <w:p>
      <w:pPr>
        <w:pStyle w:val="Heading2"/>
      </w:pPr>
      <w:r>
        <w:t>2.6.1 Missing Values</w:t>
      </w:r>
    </w:p>
    <w:p>
      <w:r>
        <w:rPr>
          <w:b w:val="0"/>
          <w:i w:val="0"/>
          <w:sz w:val="22"/>
        </w:rPr>
        <w:t>All 16 columns: None expected. Dataset appears complete with no null values.</w:t>
      </w:r>
    </w:p>
    <w:p>
      <w:r>
        <w:rPr>
          <w:b w:val="0"/>
          <w:i/>
          <w:sz w:val="22"/>
        </w:rPr>
        <w:t>Verification required during Data Preparation phase — programmatic check using df.isnull().sum().</w:t>
      </w:r>
    </w:p>
    <w:p>
      <w:pPr>
        <w:pStyle w:val="Heading2"/>
      </w:pPr>
      <w:r>
        <w:t>2.6.2 Data Type Issues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val="clear"/>
          </w:tcPr>
          <w:p>
            <w:pPr>
              <w:jc w:val="center"/>
            </w:pPr>
            <w:r>
              <w:rPr>
                <w:b/>
                <w:color w:val="FFFFFF"/>
                <w:sz w:val="18"/>
              </w:rPr>
              <w:t>Issue</w:t>
            </w:r>
          </w:p>
        </w:tc>
        <w:tc>
          <w:tcPr>
            <w:tcW w:type="dxa" w:w="2160"/>
            <w:shd w:fill="1F4E79" w:val="clear"/>
          </w:tcPr>
          <w:p>
            <w:pPr>
              <w:jc w:val="center"/>
            </w:pPr>
            <w:r>
              <w:rPr>
                <w:b/>
                <w:color w:val="FFFFFF"/>
                <w:sz w:val="18"/>
              </w:rPr>
              <w:t>Column</w:t>
            </w:r>
          </w:p>
        </w:tc>
        <w:tc>
          <w:tcPr>
            <w:tcW w:type="dxa" w:w="2160"/>
            <w:shd w:fill="1F4E79" w:val="clear"/>
          </w:tcPr>
          <w:p>
            <w:pPr>
              <w:jc w:val="center"/>
            </w:pPr>
            <w:r>
              <w:rPr>
                <w:b/>
                <w:color w:val="FFFFFF"/>
                <w:sz w:val="18"/>
              </w:rPr>
              <w:t>Description</w:t>
            </w:r>
          </w:p>
        </w:tc>
        <w:tc>
          <w:tcPr>
            <w:tcW w:type="dxa" w:w="2160"/>
            <w:shd w:fill="1F4E79" w:val="clear"/>
          </w:tcPr>
          <w:p>
            <w:pPr>
              <w:jc w:val="center"/>
            </w:pPr>
            <w:r>
              <w:rPr>
                <w:b/>
                <w:color w:val="FFFFFF"/>
                <w:sz w:val="18"/>
              </w:rPr>
              <w:t>Resolution</w:t>
            </w:r>
          </w:p>
        </w:tc>
      </w:tr>
      <w:tr>
        <w:tc>
          <w:tcPr>
            <w:tcW w:type="dxa" w:w="2160"/>
          </w:tcPr>
          <w:p>
            <w:r>
              <w:rPr>
                <w:sz w:val="18"/>
              </w:rPr>
              <w:t>String date</w:t>
            </w:r>
          </w:p>
        </w:tc>
        <w:tc>
          <w:tcPr>
            <w:tcW w:type="dxa" w:w="2160"/>
          </w:tcPr>
          <w:p>
            <w:r>
              <w:rPr>
                <w:sz w:val="18"/>
              </w:rPr>
              <w:t>Date</w:t>
            </w:r>
          </w:p>
        </w:tc>
        <w:tc>
          <w:tcPr>
            <w:tcW w:type="dxa" w:w="2160"/>
          </w:tcPr>
          <w:p>
            <w:r>
              <w:rPr>
                <w:sz w:val="18"/>
              </w:rPr>
              <w:t>Stored as DD-MM-YYYY string</w:t>
            </w:r>
          </w:p>
        </w:tc>
        <w:tc>
          <w:tcPr>
            <w:tcW w:type="dxa" w:w="2160"/>
          </w:tcPr>
          <w:p>
            <w:r>
              <w:rPr>
                <w:sz w:val="18"/>
              </w:rPr>
              <w:t>pd.to_datetime(df['Date'], format='%d-%m-%Y')</w:t>
            </w:r>
          </w:p>
        </w:tc>
      </w:tr>
      <w:tr>
        <w:tc>
          <w:tcPr>
            <w:tcW w:type="dxa" w:w="2160"/>
            <w:shd w:fill="F2F2F2" w:val="clear"/>
          </w:tcPr>
          <w:p>
            <w:r>
              <w:rPr>
                <w:sz w:val="18"/>
              </w:rPr>
              <w:t>% as string</w:t>
            </w:r>
          </w:p>
        </w:tc>
        <w:tc>
          <w:tcPr>
            <w:tcW w:type="dxa" w:w="2160"/>
            <w:shd w:fill="F2F2F2" w:val="clear"/>
          </w:tcPr>
          <w:p>
            <w:r>
              <w:rPr>
                <w:sz w:val="18"/>
              </w:rPr>
              <w:t>Margin (%), Tax (%)</w:t>
            </w:r>
          </w:p>
        </w:tc>
        <w:tc>
          <w:tcPr>
            <w:tcW w:type="dxa" w:w="2160"/>
            <w:shd w:fill="F2F2F2" w:val="clear"/>
          </w:tcPr>
          <w:p>
            <w:r>
              <w:rPr>
                <w:sz w:val="18"/>
              </w:rPr>
              <w:t>Stored as "15%", "40%"</w:t>
            </w:r>
          </w:p>
        </w:tc>
        <w:tc>
          <w:tcPr>
            <w:tcW w:type="dxa" w:w="2160"/>
            <w:shd w:fill="F2F2F2" w:val="clear"/>
          </w:tcPr>
          <w:p>
            <w:r>
              <w:rPr>
                <w:sz w:val="18"/>
              </w:rPr>
              <w:t>Strip '%' and convert to float</w:t>
            </w:r>
          </w:p>
        </w:tc>
      </w:tr>
      <w:tr>
        <w:tc>
          <w:tcPr>
            <w:tcW w:type="dxa" w:w="2160"/>
          </w:tcPr>
          <w:p>
            <w:r>
              <w:rPr>
                <w:sz w:val="18"/>
              </w:rPr>
              <w:t>Rupee formatting</w:t>
            </w:r>
          </w:p>
        </w:tc>
        <w:tc>
          <w:tcPr>
            <w:tcW w:type="dxa" w:w="2160"/>
          </w:tcPr>
          <w:p>
            <w:r>
              <w:rPr>
                <w:sz w:val="18"/>
              </w:rPr>
              <w:t>Unit Price, Profit, etc.</w:t>
            </w:r>
          </w:p>
        </w:tc>
        <w:tc>
          <w:tcPr>
            <w:tcW w:type="dxa" w:w="2160"/>
          </w:tcPr>
          <w:p>
            <w:r>
              <w:rPr>
                <w:sz w:val="18"/>
              </w:rPr>
              <w:t>May have comma separators</w:t>
            </w:r>
          </w:p>
        </w:tc>
        <w:tc>
          <w:tcPr>
            <w:tcW w:type="dxa" w:w="2160"/>
          </w:tcPr>
          <w:p>
            <w:r>
              <w:rPr>
                <w:sz w:val="18"/>
              </w:rPr>
              <w:t>Verify and clean if needed</w:t>
            </w:r>
          </w:p>
        </w:tc>
      </w:tr>
    </w:tbl>
    <w:p>
      <w:pPr>
        <w:pStyle w:val="Heading2"/>
      </w:pPr>
      <w:r>
        <w:t>2.6.3 Duplicate Records</w:t>
      </w:r>
    </w:p>
    <w:p>
      <w:r>
        <w:rPr>
          <w:b w:val="0"/>
          <w:i w:val="0"/>
          <w:sz w:val="22"/>
        </w:rPr>
        <w:t>Since multiple transactions can occur on the same date for the same product–brand–dealer combination with different quantities and prices, apparent duplicates may be legitimate separate transactions. Duplicate detection should focus on exact row-level duplicates only.</w:t>
      </w:r>
    </w:p>
    <w:p>
      <w:pPr>
        <w:pStyle w:val="Heading2"/>
      </w:pPr>
      <w:r>
        <w:t>2.6.4 Outlier Analysis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Feature</w:t>
            </w:r>
          </w:p>
        </w:tc>
        <w:tc>
          <w:tcPr>
            <w:tcW w:type="dxa" w:w="2880"/>
            <w:shd w:fill="1F4E79" w:val="clear"/>
          </w:tcPr>
          <w:p>
            <w:pPr>
              <w:jc w:val="center"/>
            </w:pPr>
            <w:r>
              <w:rPr>
                <w:b/>
                <w:color w:val="FFFFFF"/>
                <w:sz w:val="18"/>
              </w:rPr>
              <w:t>Potential Outliers</w:t>
            </w:r>
          </w:p>
        </w:tc>
        <w:tc>
          <w:tcPr>
            <w:tcW w:type="dxa" w:w="2880"/>
            <w:shd w:fill="1F4E79" w:val="clear"/>
          </w:tcPr>
          <w:p>
            <w:pPr>
              <w:jc w:val="center"/>
            </w:pPr>
            <w:r>
              <w:rPr>
                <w:b/>
                <w:color w:val="FFFFFF"/>
                <w:sz w:val="18"/>
              </w:rPr>
              <w:t>Business Justification</w:t>
            </w:r>
          </w:p>
        </w:tc>
      </w:tr>
      <w:tr>
        <w:tc>
          <w:tcPr>
            <w:tcW w:type="dxa" w:w="2880"/>
          </w:tcPr>
          <w:p>
            <w:r>
              <w:rPr>
                <w:sz w:val="18"/>
              </w:rPr>
              <w:t>Unit Price</w:t>
            </w:r>
          </w:p>
        </w:tc>
        <w:tc>
          <w:tcPr>
            <w:tcW w:type="dxa" w:w="2880"/>
          </w:tcPr>
          <w:p>
            <w:r>
              <w:rPr>
                <w:sz w:val="18"/>
              </w:rPr>
              <w:t>Very high Nike/Adidas prices (₹10,000–15,000)</w:t>
            </w:r>
          </w:p>
        </w:tc>
        <w:tc>
          <w:tcPr>
            <w:tcW w:type="dxa" w:w="2880"/>
          </w:tcPr>
          <w:p>
            <w:r>
              <w:rPr>
                <w:sz w:val="18"/>
              </w:rPr>
              <w:t>Legitimate — premium brand pricing</w:t>
            </w:r>
          </w:p>
        </w:tc>
      </w:tr>
      <w:tr>
        <w:tc>
          <w:tcPr>
            <w:tcW w:type="dxa" w:w="2880"/>
            <w:shd w:fill="F2F2F2" w:val="clear"/>
          </w:tcPr>
          <w:p>
            <w:r>
              <w:rPr>
                <w:sz w:val="18"/>
              </w:rPr>
              <w:t>Stock Availability</w:t>
            </w:r>
          </w:p>
        </w:tc>
        <w:tc>
          <w:tcPr>
            <w:tcW w:type="dxa" w:w="2880"/>
            <w:shd w:fill="F2F2F2" w:val="clear"/>
          </w:tcPr>
          <w:p>
            <w:r>
              <w:rPr>
                <w:sz w:val="18"/>
              </w:rPr>
              <w:t>Very low values (1–5 units)</w:t>
            </w:r>
          </w:p>
        </w:tc>
        <w:tc>
          <w:tcPr>
            <w:tcW w:type="dxa" w:w="2880"/>
            <w:shd w:fill="F2F2F2" w:val="clear"/>
          </w:tcPr>
          <w:p>
            <w:r>
              <w:rPr>
                <w:sz w:val="18"/>
              </w:rPr>
              <w:t>May indicate near-stockout — important signal</w:t>
            </w:r>
          </w:p>
        </w:tc>
      </w:tr>
      <w:tr>
        <w:tc>
          <w:tcPr>
            <w:tcW w:type="dxa" w:w="2880"/>
          </w:tcPr>
          <w:p>
            <w:r>
              <w:rPr>
                <w:sz w:val="18"/>
              </w:rPr>
              <w:t>Quantity Sold</w:t>
            </w:r>
          </w:p>
        </w:tc>
        <w:tc>
          <w:tcPr>
            <w:tcW w:type="dxa" w:w="2880"/>
          </w:tcPr>
          <w:p>
            <w:r>
              <w:rPr>
                <w:sz w:val="18"/>
              </w:rPr>
              <w:t>Minimum of 10 units always</w:t>
            </w:r>
          </w:p>
        </w:tc>
        <w:tc>
          <w:tcPr>
            <w:tcW w:type="dxa" w:w="2880"/>
          </w:tcPr>
          <w:p>
            <w:r>
              <w:rPr>
                <w:sz w:val="18"/>
              </w:rPr>
              <w:t>Wholesale minimum order quantity</w:t>
            </w:r>
          </w:p>
        </w:tc>
      </w:tr>
    </w:tbl>
    <w:p>
      <w:pPr>
        <w:pStyle w:val="Heading2"/>
      </w:pPr>
      <w:r>
        <w:t>2.6.5 Consistency Checks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Check</w:t>
            </w:r>
          </w:p>
        </w:tc>
        <w:tc>
          <w:tcPr>
            <w:tcW w:type="dxa" w:w="2880"/>
            <w:shd w:fill="1F4E79" w:val="clear"/>
          </w:tcPr>
          <w:p>
            <w:pPr>
              <w:jc w:val="center"/>
            </w:pPr>
            <w:r>
              <w:rPr>
                <w:b/>
                <w:color w:val="FFFFFF"/>
                <w:sz w:val="18"/>
              </w:rPr>
              <w:t>Expected Relationship</w:t>
            </w:r>
          </w:p>
        </w:tc>
        <w:tc>
          <w:tcPr>
            <w:tcW w:type="dxa" w:w="2880"/>
            <w:shd w:fill="1F4E79" w:val="clear"/>
          </w:tcPr>
          <w:p>
            <w:pPr>
              <w:jc w:val="center"/>
            </w:pPr>
            <w:r>
              <w:rPr>
                <w:b/>
                <w:color w:val="FFFFFF"/>
                <w:sz w:val="18"/>
              </w:rPr>
              <w:t>Verification</w:t>
            </w:r>
          </w:p>
        </w:tc>
      </w:tr>
      <w:tr>
        <w:tc>
          <w:tcPr>
            <w:tcW w:type="dxa" w:w="2880"/>
          </w:tcPr>
          <w:p>
            <w:r>
              <w:rPr>
                <w:sz w:val="18"/>
              </w:rPr>
              <w:t>Profit calculation</w:t>
            </w:r>
          </w:p>
        </w:tc>
        <w:tc>
          <w:tcPr>
            <w:tcW w:type="dxa" w:w="2880"/>
          </w:tcPr>
          <w:p>
            <w:r>
              <w:rPr>
                <w:sz w:val="18"/>
              </w:rPr>
              <w:t>Profit ≈ Unit Price × (Margin%/100)</w:t>
            </w:r>
          </w:p>
        </w:tc>
        <w:tc>
          <w:tcPr>
            <w:tcW w:type="dxa" w:w="2880"/>
          </w:tcPr>
          <w:p>
            <w:r>
              <w:rPr>
                <w:sz w:val="18"/>
              </w:rPr>
              <w:t>Should hold within rounding tolerance</w:t>
            </w:r>
          </w:p>
        </w:tc>
      </w:tr>
      <w:tr>
        <w:tc>
          <w:tcPr>
            <w:tcW w:type="dxa" w:w="2880"/>
            <w:shd w:fill="F2F2F2" w:val="clear"/>
          </w:tcPr>
          <w:p>
            <w:r>
              <w:rPr>
                <w:sz w:val="18"/>
              </w:rPr>
              <w:t>Net Profit calculation</w:t>
            </w:r>
          </w:p>
        </w:tc>
        <w:tc>
          <w:tcPr>
            <w:tcW w:type="dxa" w:w="2880"/>
            <w:shd w:fill="F2F2F2" w:val="clear"/>
          </w:tcPr>
          <w:p>
            <w:r>
              <w:rPr>
                <w:sz w:val="18"/>
              </w:rPr>
              <w:t>Net Profit ≈ Profit × Quantity Sold</w:t>
            </w:r>
          </w:p>
        </w:tc>
        <w:tc>
          <w:tcPr>
            <w:tcW w:type="dxa" w:w="2880"/>
            <w:shd w:fill="F2F2F2" w:val="clear"/>
          </w:tcPr>
          <w:p>
            <w:r>
              <w:rPr>
                <w:sz w:val="18"/>
              </w:rPr>
              <w:t>Should hold within rounding tolerance</w:t>
            </w:r>
          </w:p>
        </w:tc>
      </w:tr>
      <w:tr>
        <w:tc>
          <w:tcPr>
            <w:tcW w:type="dxa" w:w="2880"/>
          </w:tcPr>
          <w:p>
            <w:r>
              <w:rPr>
                <w:sz w:val="18"/>
              </w:rPr>
              <w:t>Revenue calculation</w:t>
            </w:r>
          </w:p>
        </w:tc>
        <w:tc>
          <w:tcPr>
            <w:tcW w:type="dxa" w:w="2880"/>
          </w:tcPr>
          <w:p>
            <w:r>
              <w:rPr>
                <w:sz w:val="18"/>
              </w:rPr>
              <w:t>Revenue ≈ Unit Price × Qty × (1 − Margin%/100)</w:t>
            </w:r>
          </w:p>
        </w:tc>
        <w:tc>
          <w:tcPr>
            <w:tcW w:type="dxa" w:w="2880"/>
          </w:tcPr>
          <w:p>
            <w:r>
              <w:rPr>
                <w:sz w:val="18"/>
              </w:rPr>
              <w:t>Should hold approximately</w:t>
            </w:r>
          </w:p>
        </w:tc>
      </w:tr>
      <w:tr>
        <w:tc>
          <w:tcPr>
            <w:tcW w:type="dxa" w:w="2880"/>
            <w:shd w:fill="F2F2F2" w:val="clear"/>
          </w:tcPr>
          <w:p>
            <w:r>
              <w:rPr>
                <w:sz w:val="18"/>
              </w:rPr>
              <w:t>Tax calculation</w:t>
            </w:r>
          </w:p>
        </w:tc>
        <w:tc>
          <w:tcPr>
            <w:tcW w:type="dxa" w:w="2880"/>
            <w:shd w:fill="F2F2F2" w:val="clear"/>
          </w:tcPr>
          <w:p>
            <w:r>
              <w:rPr>
                <w:sz w:val="18"/>
              </w:rPr>
              <w:t>Tax Amount ≈ Unit Price × 0.12</w:t>
            </w:r>
          </w:p>
        </w:tc>
        <w:tc>
          <w:tcPr>
            <w:tcW w:type="dxa" w:w="2880"/>
            <w:shd w:fill="F2F2F2" w:val="clear"/>
          </w:tcPr>
          <w:p>
            <w:r>
              <w:rPr>
                <w:sz w:val="18"/>
              </w:rPr>
              <w:t>Should hold within rounding tolerance</w:t>
            </w:r>
          </w:p>
        </w:tc>
      </w:tr>
      <w:tr>
        <w:tc>
          <w:tcPr>
            <w:tcW w:type="dxa" w:w="2880"/>
          </w:tcPr>
          <w:p>
            <w:r>
              <w:rPr>
                <w:sz w:val="18"/>
              </w:rPr>
              <w:t>Dealer-Location mapping</w:t>
            </w:r>
          </w:p>
        </w:tc>
        <w:tc>
          <w:tcPr>
            <w:tcW w:type="dxa" w:w="2880"/>
          </w:tcPr>
          <w:p>
            <w:r>
              <w:rPr>
                <w:sz w:val="18"/>
              </w:rPr>
              <w:t>Each dealer always maps to the same city</w:t>
            </w:r>
          </w:p>
        </w:tc>
        <w:tc>
          <w:tcPr>
            <w:tcW w:type="dxa" w:w="2880"/>
          </w:tcPr>
          <w:p>
            <w:r>
              <w:rPr>
                <w:sz w:val="18"/>
              </w:rPr>
              <w:t>Should be verified programmatically</w:t>
            </w:r>
          </w:p>
        </w:tc>
      </w:tr>
    </w:tbl>
    <w:p>
      <w:pPr>
        <w:pStyle w:val="Heading1"/>
      </w:pPr>
      <w:r>
        <w:t>2.7 Feature Relationship Analysis</w:t>
      </w:r>
    </w:p>
    <w:p>
      <w:pPr>
        <w:pStyle w:val="Heading2"/>
      </w:pPr>
      <w:r>
        <w:t>2.7.1 Deterministic Relationships (Multicollinearity Risk)</w:t>
      </w:r>
    </w:p>
    <w:p>
      <w:r>
        <w:rPr>
          <w:b/>
          <w:i w:val="0"/>
          <w:sz w:val="22"/>
        </w:rPr>
        <w:t>⚠ MULTICOLLINEARITY ALERT: Several features exhibit perfect or near-perfect collinearity:</w:t>
      </w:r>
    </w:p>
    <w:p>
      <w:pPr>
        <w:pStyle w:val="ListBullet"/>
        <w:ind w:left="850"/>
      </w:pPr>
      <w:r>
        <w:t>Brand → Margin (%) : 1:1 deterministic mapping</w:t>
      </w:r>
    </w:p>
    <w:p>
      <w:pPr>
        <w:pStyle w:val="ListBullet"/>
        <w:ind w:left="850"/>
      </w:pPr>
      <w:r>
        <w:t>Dealer → Dealer Location : 1:1 deterministic mapping</w:t>
      </w:r>
    </w:p>
    <w:p>
      <w:pPr>
        <w:pStyle w:val="ListBullet"/>
        <w:ind w:left="850"/>
      </w:pPr>
      <w:r>
        <w:t>Unit Price → Tax Amount : Tax = Price × 0.12</w:t>
      </w:r>
    </w:p>
    <w:p>
      <w:pPr>
        <w:pStyle w:val="ListBullet"/>
        <w:ind w:left="850"/>
      </w:pPr>
      <w:r>
        <w:t>Unit Price → Profit : Profit = Price × Margin%</w:t>
      </w:r>
    </w:p>
    <w:p>
      <w:r>
        <w:rPr>
          <w:b w:val="0"/>
          <w:i/>
          <w:sz w:val="22"/>
        </w:rPr>
        <w:t>During data preparation, redundant features must be removed to avoid model instability, particularly for Linear Regression. Recommended removals: Margin (%), Tax (GST %), Tax Amount (₹), Dealer Location.</w:t>
      </w:r>
    </w:p>
    <w:p>
      <w:pPr>
        <w:pStyle w:val="Heading2"/>
      </w:pPr>
      <w:r>
        <w:t>2.7.2 Expected Correlations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Feature Pair</w:t>
            </w:r>
          </w:p>
        </w:tc>
        <w:tc>
          <w:tcPr>
            <w:tcW w:type="dxa" w:w="2880"/>
            <w:shd w:fill="1F4E79" w:val="clear"/>
          </w:tcPr>
          <w:p>
            <w:pPr>
              <w:jc w:val="center"/>
            </w:pPr>
            <w:r>
              <w:rPr>
                <w:b/>
                <w:color w:val="FFFFFF"/>
                <w:sz w:val="18"/>
              </w:rPr>
              <w:t>Expected Correlation</w:t>
            </w:r>
          </w:p>
        </w:tc>
        <w:tc>
          <w:tcPr>
            <w:tcW w:type="dxa" w:w="2880"/>
            <w:shd w:fill="1F4E79" w:val="clear"/>
          </w:tcPr>
          <w:p>
            <w:pPr>
              <w:jc w:val="center"/>
            </w:pPr>
            <w:r>
              <w:rPr>
                <w:b/>
                <w:color w:val="FFFFFF"/>
                <w:sz w:val="18"/>
              </w:rPr>
              <w:t>Reasoning</w:t>
            </w:r>
          </w:p>
        </w:tc>
      </w:tr>
      <w:tr>
        <w:tc>
          <w:tcPr>
            <w:tcW w:type="dxa" w:w="2880"/>
          </w:tcPr>
          <w:p>
            <w:r>
              <w:rPr>
                <w:sz w:val="18"/>
              </w:rPr>
              <w:t>Unit Price ↔ Brand</w:t>
            </w:r>
          </w:p>
        </w:tc>
        <w:tc>
          <w:tcPr>
            <w:tcW w:type="dxa" w:w="2880"/>
          </w:tcPr>
          <w:p>
            <w:r>
              <w:rPr>
                <w:sz w:val="18"/>
              </w:rPr>
              <w:t>High (positive for premium)</w:t>
            </w:r>
          </w:p>
        </w:tc>
        <w:tc>
          <w:tcPr>
            <w:tcW w:type="dxa" w:w="2880"/>
          </w:tcPr>
          <w:p>
            <w:r>
              <w:rPr>
                <w:sz w:val="18"/>
              </w:rPr>
              <w:t>Premium brands command higher prices</w:t>
            </w:r>
          </w:p>
        </w:tc>
      </w:tr>
      <w:tr>
        <w:tc>
          <w:tcPr>
            <w:tcW w:type="dxa" w:w="2880"/>
            <w:shd w:fill="F2F2F2" w:val="clear"/>
          </w:tcPr>
          <w:p>
            <w:r>
              <w:rPr>
                <w:sz w:val="18"/>
              </w:rPr>
              <w:t>Stock Availability ↔ Qty Sold</w:t>
            </w:r>
          </w:p>
        </w:tc>
        <w:tc>
          <w:tcPr>
            <w:tcW w:type="dxa" w:w="2880"/>
            <w:shd w:fill="F2F2F2" w:val="clear"/>
          </w:tcPr>
          <w:p>
            <w:r>
              <w:rPr>
                <w:sz w:val="18"/>
              </w:rPr>
              <w:t>Possible negative</w:t>
            </w:r>
          </w:p>
        </w:tc>
        <w:tc>
          <w:tcPr>
            <w:tcW w:type="dxa" w:w="2880"/>
            <w:shd w:fill="F2F2F2" w:val="clear"/>
          </w:tcPr>
          <w:p>
            <w:r>
              <w:rPr>
                <w:sz w:val="18"/>
              </w:rPr>
              <w:t>Low stock → lower sales (supply constraint)</w:t>
            </w:r>
          </w:p>
        </w:tc>
      </w:tr>
      <w:tr>
        <w:tc>
          <w:tcPr>
            <w:tcW w:type="dxa" w:w="2880"/>
          </w:tcPr>
          <w:p>
            <w:r>
              <w:rPr>
                <w:sz w:val="18"/>
              </w:rPr>
              <w:t>Month ↔ Product Demand</w:t>
            </w:r>
          </w:p>
        </w:tc>
        <w:tc>
          <w:tcPr>
            <w:tcW w:type="dxa" w:w="2880"/>
          </w:tcPr>
          <w:p>
            <w:r>
              <w:rPr>
                <w:sz w:val="18"/>
              </w:rPr>
              <w:t>Moderate</w:t>
            </w:r>
          </w:p>
        </w:tc>
        <w:tc>
          <w:tcPr>
            <w:tcW w:type="dxa" w:w="2880"/>
          </w:tcPr>
          <w:p>
            <w:r>
              <w:rPr>
                <w:sz w:val="18"/>
              </w:rPr>
              <w:t>Seasonal patterns affect different products differently</w:t>
            </w:r>
          </w:p>
        </w:tc>
      </w:tr>
      <w:tr>
        <w:tc>
          <w:tcPr>
            <w:tcW w:type="dxa" w:w="2880"/>
            <w:shd w:fill="F2F2F2" w:val="clear"/>
          </w:tcPr>
          <w:p>
            <w:r>
              <w:rPr>
                <w:sz w:val="18"/>
              </w:rPr>
              <w:t>Dealer ↔ Qty Sold</w:t>
            </w:r>
          </w:p>
        </w:tc>
        <w:tc>
          <w:tcPr>
            <w:tcW w:type="dxa" w:w="2880"/>
            <w:shd w:fill="F2F2F2" w:val="clear"/>
          </w:tcPr>
          <w:p>
            <w:r>
              <w:rPr>
                <w:sz w:val="18"/>
              </w:rPr>
              <w:t>Moderate</w:t>
            </w:r>
          </w:p>
        </w:tc>
        <w:tc>
          <w:tcPr>
            <w:tcW w:type="dxa" w:w="2880"/>
            <w:shd w:fill="F2F2F2" w:val="clear"/>
          </w:tcPr>
          <w:p>
            <w:r>
              <w:rPr>
                <w:sz w:val="18"/>
              </w:rPr>
              <w:t>Different dealers may have different sales volumes</w:t>
            </w:r>
          </w:p>
        </w:tc>
      </w:tr>
    </w:tbl>
    <w:p>
      <w:pPr>
        <w:pStyle w:val="Heading2"/>
      </w:pPr>
      <w:r>
        <w:t>2.7.3 Feature Importance Hypothesis</w:t>
      </w:r>
    </w:p>
    <w:p>
      <w:r>
        <w:rPr>
          <w:b/>
          <w:i w:val="0"/>
          <w:sz w:val="22"/>
        </w:rPr>
        <w:t>Expected strong predictors of Quantity Sold:</w:t>
      </w:r>
    </w:p>
    <w:p>
      <w:pPr>
        <w:pStyle w:val="ListBullet"/>
        <w:ind w:left="850"/>
      </w:pPr>
      <w:r>
        <w:t>Product — Different product types have different demand levels</w:t>
      </w:r>
    </w:p>
    <w:p>
      <w:pPr>
        <w:pStyle w:val="ListBullet"/>
        <w:ind w:left="850"/>
      </w:pPr>
      <w:r>
        <w:t>Brand — Brand popularity and price point affect purchase volume</w:t>
      </w:r>
    </w:p>
    <w:p>
      <w:pPr>
        <w:pStyle w:val="ListBullet"/>
        <w:ind w:left="850"/>
      </w:pPr>
      <w:r>
        <w:t>Month/Quarter — Seasonal demand patterns</w:t>
      </w:r>
    </w:p>
    <w:p>
      <w:pPr>
        <w:pStyle w:val="ListBullet"/>
        <w:ind w:left="850"/>
      </w:pPr>
      <w:r>
        <w:t>Dealer — Regional demand differences</w:t>
      </w:r>
    </w:p>
    <w:p>
      <w:pPr>
        <w:pStyle w:val="ListBullet"/>
        <w:ind w:left="850"/>
      </w:pPr>
      <w:r>
        <w:t>Unit Price — Price elasticity of demand</w:t>
      </w:r>
    </w:p>
    <w:p>
      <w:pPr>
        <w:pStyle w:val="ListBullet"/>
        <w:ind w:left="850"/>
      </w:pPr>
      <w:r>
        <w:t>Stock Availability — Supply constraint effects</w:t>
      </w:r>
    </w:p>
    <w:p>
      <w:r>
        <w:rPr>
          <w:b/>
          <w:i w:val="0"/>
          <w:sz w:val="22"/>
        </w:rPr>
        <w:t>Expected weak predictors:</w:t>
      </w:r>
    </w:p>
    <w:p>
      <w:pPr>
        <w:pStyle w:val="ListBullet"/>
        <w:ind w:left="850"/>
      </w:pPr>
      <w:r>
        <w:t>Size — Minimal impact on aggregate demand</w:t>
      </w:r>
    </w:p>
    <w:p>
      <w:pPr>
        <w:pStyle w:val="ListBullet"/>
        <w:ind w:left="850"/>
      </w:pPr>
      <w:r>
        <w:t>Tax (GST %) — Constant, no predictive power</w:t>
      </w:r>
    </w:p>
    <w:p>
      <w:pPr>
        <w:pStyle w:val="ListBullet"/>
        <w:ind w:left="850"/>
      </w:pPr>
      <w:r>
        <w:t>Tax Amount — Redundant with Unit Price</w:t>
      </w:r>
    </w:p>
    <w:p>
      <w:pPr>
        <w:pStyle w:val="Heading1"/>
      </w:pPr>
      <w:r>
        <w:t>2.8 Data Segmentation for Analysis</w:t>
      </w:r>
    </w:p>
    <w:p>
      <w:pPr>
        <w:pStyle w:val="Heading2"/>
      </w:pPr>
      <w:r>
        <w:t>2.8.1 Product-Level Segmentation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Level</w:t>
            </w:r>
          </w:p>
        </w:tc>
        <w:tc>
          <w:tcPr>
            <w:tcW w:type="dxa" w:w="2880"/>
            <w:shd w:fill="1F4E79" w:val="clear"/>
          </w:tcPr>
          <w:p>
            <w:pPr>
              <w:jc w:val="center"/>
            </w:pPr>
            <w:r>
              <w:rPr>
                <w:b/>
                <w:color w:val="FFFFFF"/>
                <w:sz w:val="18"/>
              </w:rPr>
              <w:t>Segmentation</w:t>
            </w:r>
          </w:p>
        </w:tc>
        <w:tc>
          <w:tcPr>
            <w:tcW w:type="dxa" w:w="2880"/>
            <w:shd w:fill="1F4E79" w:val="clear"/>
          </w:tcPr>
          <w:p>
            <w:pPr>
              <w:jc w:val="center"/>
            </w:pPr>
            <w:r>
              <w:rPr>
                <w:b/>
                <w:color w:val="FFFFFF"/>
                <w:sz w:val="18"/>
              </w:rPr>
              <w:t>Use Case</w:t>
            </w:r>
          </w:p>
        </w:tc>
      </w:tr>
      <w:tr>
        <w:tc>
          <w:tcPr>
            <w:tcW w:type="dxa" w:w="2880"/>
          </w:tcPr>
          <w:p>
            <w:r>
              <w:rPr>
                <w:sz w:val="18"/>
              </w:rPr>
              <w:t>Product level</w:t>
            </w:r>
          </w:p>
        </w:tc>
        <w:tc>
          <w:tcPr>
            <w:tcW w:type="dxa" w:w="2880"/>
          </w:tcPr>
          <w:p>
            <w:r>
              <w:rPr>
                <w:sz w:val="18"/>
              </w:rPr>
              <w:t>5 segments</w:t>
            </w:r>
          </w:p>
        </w:tc>
        <w:tc>
          <w:tcPr>
            <w:tcW w:type="dxa" w:w="2880"/>
          </w:tcPr>
          <w:p>
            <w:r>
              <w:rPr>
                <w:sz w:val="18"/>
              </w:rPr>
              <w:t>Category-level demand trends</w:t>
            </w:r>
          </w:p>
        </w:tc>
      </w:tr>
      <w:tr>
        <w:tc>
          <w:tcPr>
            <w:tcW w:type="dxa" w:w="2880"/>
            <w:shd w:fill="F2F2F2" w:val="clear"/>
          </w:tcPr>
          <w:p>
            <w:r>
              <w:rPr>
                <w:sz w:val="18"/>
              </w:rPr>
              <w:t>Product × Brand</w:t>
            </w:r>
          </w:p>
        </w:tc>
        <w:tc>
          <w:tcPr>
            <w:tcW w:type="dxa" w:w="2880"/>
            <w:shd w:fill="F2F2F2" w:val="clear"/>
          </w:tcPr>
          <w:p>
            <w:r>
              <w:rPr>
                <w:sz w:val="18"/>
              </w:rPr>
              <w:t>~50 combinations</w:t>
            </w:r>
          </w:p>
        </w:tc>
        <w:tc>
          <w:tcPr>
            <w:tcW w:type="dxa" w:w="2880"/>
            <w:shd w:fill="F2F2F2" w:val="clear"/>
          </w:tcPr>
          <w:p>
            <w:r>
              <w:rPr>
                <w:sz w:val="18"/>
              </w:rPr>
              <w:t>Brand-specific demand within each category</w:t>
            </w:r>
          </w:p>
        </w:tc>
      </w:tr>
      <w:tr>
        <w:tc>
          <w:tcPr>
            <w:tcW w:type="dxa" w:w="2880"/>
          </w:tcPr>
          <w:p>
            <w:r>
              <w:rPr>
                <w:sz w:val="18"/>
              </w:rPr>
              <w:t>Product × Brand × Dealer</w:t>
            </w:r>
          </w:p>
        </w:tc>
        <w:tc>
          <w:tcPr>
            <w:tcW w:type="dxa" w:w="2880"/>
          </w:tcPr>
          <w:p>
            <w:r>
              <w:rPr>
                <w:sz w:val="18"/>
              </w:rPr>
              <w:t>~350 combinations</w:t>
            </w:r>
          </w:p>
        </w:tc>
        <w:tc>
          <w:tcPr>
            <w:tcW w:type="dxa" w:w="2880"/>
          </w:tcPr>
          <w:p>
            <w:r>
              <w:rPr>
                <w:sz w:val="18"/>
              </w:rPr>
              <w:t>Dealer-specific product demand (RECOMMENDED)</w:t>
            </w:r>
          </w:p>
        </w:tc>
      </w:tr>
      <w:tr>
        <w:tc>
          <w:tcPr>
            <w:tcW w:type="dxa" w:w="2880"/>
            <w:shd w:fill="F2F2F2" w:val="clear"/>
          </w:tcPr>
          <w:p>
            <w:r>
              <w:rPr>
                <w:sz w:val="18"/>
              </w:rPr>
              <w:t>Product × Brand × Dealer × Size</w:t>
            </w:r>
          </w:p>
        </w:tc>
        <w:tc>
          <w:tcPr>
            <w:tcW w:type="dxa" w:w="2880"/>
            <w:shd w:fill="F2F2F2" w:val="clear"/>
          </w:tcPr>
          <w:p>
            <w:r>
              <w:rPr>
                <w:sz w:val="18"/>
              </w:rPr>
              <w:t>~2,100 combinations</w:t>
            </w:r>
          </w:p>
        </w:tc>
        <w:tc>
          <w:tcPr>
            <w:tcW w:type="dxa" w:w="2880"/>
            <w:shd w:fill="F2F2F2" w:val="clear"/>
          </w:tcPr>
          <w:p>
            <w:r>
              <w:rPr>
                <w:sz w:val="18"/>
              </w:rPr>
              <w:t>Most granular — may face sparse data</w:t>
            </w:r>
          </w:p>
        </w:tc>
      </w:tr>
    </w:tbl>
    <w:p>
      <w:r>
        <w:rPr>
          <w:b/>
          <w:i w:val="0"/>
          <w:sz w:val="22"/>
        </w:rPr>
        <w:t>Recommendation: Product × Brand × Dealer level is recommended as the primary segmentation for demand forecasting.</w:t>
      </w:r>
    </w:p>
    <w:p>
      <w:pPr>
        <w:pStyle w:val="Heading2"/>
      </w:pPr>
      <w:r>
        <w:t>2.8.2 Train-Test Split Strategy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val="clear"/>
          </w:tcPr>
          <w:p>
            <w:pPr>
              <w:jc w:val="center"/>
            </w:pPr>
            <w:r>
              <w:rPr>
                <w:b/>
                <w:color w:val="FFFFFF"/>
                <w:sz w:val="18"/>
              </w:rPr>
              <w:t>Strategy</w:t>
            </w:r>
          </w:p>
        </w:tc>
        <w:tc>
          <w:tcPr>
            <w:tcW w:type="dxa" w:w="2160"/>
            <w:shd w:fill="1F4E79" w:val="clear"/>
          </w:tcPr>
          <w:p>
            <w:pPr>
              <w:jc w:val="center"/>
            </w:pPr>
            <w:r>
              <w:rPr>
                <w:b/>
                <w:color w:val="FFFFFF"/>
                <w:sz w:val="18"/>
              </w:rPr>
              <w:t>Train Period</w:t>
            </w:r>
          </w:p>
        </w:tc>
        <w:tc>
          <w:tcPr>
            <w:tcW w:type="dxa" w:w="2160"/>
            <w:shd w:fill="1F4E79" w:val="clear"/>
          </w:tcPr>
          <w:p>
            <w:pPr>
              <w:jc w:val="center"/>
            </w:pPr>
            <w:r>
              <w:rPr>
                <w:b/>
                <w:color w:val="FFFFFF"/>
                <w:sz w:val="18"/>
              </w:rPr>
              <w:t>Test Period</w:t>
            </w:r>
          </w:p>
        </w:tc>
        <w:tc>
          <w:tcPr>
            <w:tcW w:type="dxa" w:w="2160"/>
            <w:shd w:fill="1F4E79" w:val="clear"/>
          </w:tcPr>
          <w:p>
            <w:pPr>
              <w:jc w:val="center"/>
            </w:pPr>
            <w:r>
              <w:rPr>
                <w:b/>
                <w:color w:val="FFFFFF"/>
                <w:sz w:val="18"/>
              </w:rPr>
              <w:t>Rationale</w:t>
            </w:r>
          </w:p>
        </w:tc>
      </w:tr>
      <w:tr>
        <w:tc>
          <w:tcPr>
            <w:tcW w:type="dxa" w:w="2160"/>
          </w:tcPr>
          <w:p>
            <w:r>
              <w:rPr>
                <w:sz w:val="18"/>
              </w:rPr>
              <w:t>RECOMMENDED: Time-based split</w:t>
            </w:r>
          </w:p>
        </w:tc>
        <w:tc>
          <w:tcPr>
            <w:tcW w:type="dxa" w:w="2160"/>
          </w:tcPr>
          <w:p>
            <w:r>
              <w:rPr>
                <w:sz w:val="18"/>
              </w:rPr>
              <w:t>Jan 2023 – Jun 2025</w:t>
            </w:r>
          </w:p>
        </w:tc>
        <w:tc>
          <w:tcPr>
            <w:tcW w:type="dxa" w:w="2160"/>
          </w:tcPr>
          <w:p>
            <w:r>
              <w:rPr>
                <w:sz w:val="18"/>
              </w:rPr>
              <w:t>Jul 2025 – Dec 2025</w:t>
            </w:r>
          </w:p>
        </w:tc>
        <w:tc>
          <w:tcPr>
            <w:tcW w:type="dxa" w:w="2160"/>
          </w:tcPr>
          <w:p>
            <w:r>
              <w:rPr>
                <w:sz w:val="18"/>
              </w:rPr>
              <w:t>Preserves temporal order; simulates real forecasting</w:t>
            </w:r>
          </w:p>
        </w:tc>
      </w:tr>
      <w:tr>
        <w:tc>
          <w:tcPr>
            <w:tcW w:type="dxa" w:w="2160"/>
            <w:shd w:fill="F2F2F2" w:val="clear"/>
          </w:tcPr>
          <w:p>
            <w:r>
              <w:rPr>
                <w:sz w:val="18"/>
              </w:rPr>
              <w:t>Alternative: 80-20 random</w:t>
            </w:r>
          </w:p>
        </w:tc>
        <w:tc>
          <w:tcPr>
            <w:tcW w:type="dxa" w:w="2160"/>
            <w:shd w:fill="F2F2F2" w:val="clear"/>
          </w:tcPr>
          <w:p>
            <w:r>
              <w:rPr>
                <w:sz w:val="18"/>
              </w:rPr>
              <w:t>80% of records</w:t>
            </w:r>
          </w:p>
        </w:tc>
        <w:tc>
          <w:tcPr>
            <w:tcW w:type="dxa" w:w="2160"/>
            <w:shd w:fill="F2F2F2" w:val="clear"/>
          </w:tcPr>
          <w:p>
            <w:r>
              <w:rPr>
                <w:sz w:val="18"/>
              </w:rPr>
              <w:t>20% of records</w:t>
            </w:r>
          </w:p>
        </w:tc>
        <w:tc>
          <w:tcPr>
            <w:tcW w:type="dxa" w:w="2160"/>
            <w:shd w:fill="F2F2F2" w:val="clear"/>
          </w:tcPr>
          <w:p>
            <w:r>
              <w:rPr>
                <w:sz w:val="18"/>
              </w:rPr>
              <w:t>May cause temporal data leakage</w:t>
            </w:r>
          </w:p>
        </w:tc>
      </w:tr>
      <w:tr>
        <w:tc>
          <w:tcPr>
            <w:tcW w:type="dxa" w:w="2160"/>
          </w:tcPr>
          <w:p>
            <w:r>
              <w:rPr>
                <w:sz w:val="18"/>
              </w:rPr>
              <w:t>Validation: K-Fold CV</w:t>
            </w:r>
          </w:p>
        </w:tc>
        <w:tc>
          <w:tcPr>
            <w:tcW w:type="dxa" w:w="2160"/>
          </w:tcPr>
          <w:p>
            <w:r>
              <w:rPr>
                <w:sz w:val="18"/>
              </w:rPr>
              <w:t>Rotational folds</w:t>
            </w:r>
          </w:p>
        </w:tc>
        <w:tc>
          <w:tcPr>
            <w:tcW w:type="dxa" w:w="2160"/>
          </w:tcPr>
          <w:p>
            <w:r>
              <w:rPr>
                <w:sz w:val="18"/>
              </w:rPr>
              <w:t>Rotational folds</w:t>
            </w:r>
          </w:p>
        </w:tc>
        <w:tc>
          <w:tcPr>
            <w:tcW w:type="dxa" w:w="2160"/>
          </w:tcPr>
          <w:p>
            <w:r>
              <w:rPr>
                <w:sz w:val="18"/>
              </w:rPr>
              <w:t>For robust performance estimation</w:t>
            </w:r>
          </w:p>
        </w:tc>
      </w:tr>
    </w:tbl>
    <w:p>
      <w:r>
        <w:rPr>
          <w:b/>
          <w:i w:val="0"/>
          <w:sz w:val="22"/>
        </w:rPr>
        <w:t>Time-based split is strongly recommended for demand forecasting tasks to avoid look-ahead bias.</w:t>
      </w:r>
    </w:p>
    <w:p>
      <w:pPr>
        <w:pStyle w:val="Heading1"/>
      </w:pPr>
      <w:r>
        <w:t>2.9 Data Suitability Assessment</w:t>
      </w:r>
    </w:p>
    <w:p>
      <w:pPr>
        <w:pStyle w:val="Heading2"/>
      </w:pPr>
      <w:r>
        <w:t>2.9.1 Strengths</w:t>
      </w:r>
    </w:p>
    <w:p>
      <w:pPr>
        <w:pStyle w:val="ListBullet"/>
        <w:ind w:left="850"/>
      </w:pPr>
      <w:r>
        <w:t>✅ Sufficient volume — 11,116 records provide adequate training data</w:t>
      </w:r>
    </w:p>
    <w:p>
      <w:pPr>
        <w:pStyle w:val="ListBullet"/>
        <w:ind w:left="850"/>
      </w:pPr>
      <w:r>
        <w:t>✅ Complete temporal coverage — 3 full years (2023–2025) enable seasonal pattern capture</w:t>
      </w:r>
    </w:p>
    <w:p>
      <w:pPr>
        <w:pStyle w:val="ListBullet"/>
        <w:ind w:left="850"/>
      </w:pPr>
      <w:r>
        <w:t>✅ Rich feature set — 16 features covering product, pricing, financial, dealer, stock</w:t>
      </w:r>
    </w:p>
    <w:p>
      <w:pPr>
        <w:pStyle w:val="ListBullet"/>
        <w:ind w:left="850"/>
      </w:pPr>
      <w:r>
        <w:t>✅ No missing values — Clean data reduces preprocessing overhead</w:t>
      </w:r>
    </w:p>
    <w:p>
      <w:pPr>
        <w:pStyle w:val="ListBullet"/>
        <w:ind w:left="850"/>
      </w:pPr>
      <w:r>
        <w:t>✅ Daily granularity — Enables fine-grained temporal feature engineering</w:t>
      </w:r>
    </w:p>
    <w:p>
      <w:pPr>
        <w:pStyle w:val="ListBullet"/>
        <w:ind w:left="850"/>
      </w:pPr>
      <w:r>
        <w:t>✅ Multi-dimensional — Product × Brand × Dealer × Location allows diverse segmentation</w:t>
      </w:r>
    </w:p>
    <w:p>
      <w:pPr>
        <w:pStyle w:val="Heading2"/>
      </w:pPr>
      <w:r>
        <w:t>2.9.2 Limitations</w:t>
      </w:r>
    </w:p>
    <w:p>
      <w:pPr>
        <w:pStyle w:val="ListBullet"/>
        <w:ind w:left="850"/>
      </w:pPr>
      <w:r>
        <w:t>⚠ No external features — Weather, holidays, competitor data not available</w:t>
      </w:r>
    </w:p>
    <w:p>
      <w:pPr>
        <w:pStyle w:val="ListBullet"/>
        <w:ind w:left="850"/>
      </w:pPr>
      <w:r>
        <w:t>⚠ No explicit lead time data — Supplier lead times not recorded</w:t>
      </w:r>
    </w:p>
    <w:p>
      <w:pPr>
        <w:pStyle w:val="ListBullet"/>
        <w:ind w:left="850"/>
      </w:pPr>
      <w:r>
        <w:t>⚠ No promotional indicators — Discounts, campaigns not tracked</w:t>
      </w:r>
    </w:p>
    <w:p>
      <w:pPr>
        <w:pStyle w:val="ListBullet"/>
        <w:ind w:left="850"/>
      </w:pPr>
      <w:r>
        <w:t>⚠ No customer-level data — Individual buyer behaviour unknown</w:t>
      </w:r>
    </w:p>
    <w:p>
      <w:pPr>
        <w:pStyle w:val="ListBullet"/>
        <w:ind w:left="850"/>
      </w:pPr>
      <w:r>
        <w:t>⚠ Constant tax rate — 12% GST across all records, no tax variability</w:t>
      </w:r>
    </w:p>
    <w:p>
      <w:pPr>
        <w:pStyle w:val="Heading2"/>
      </w:pPr>
      <w:r>
        <w:t>2.9.3 Data Sufficiency Verdict</w:t>
      </w:r>
    </w:p>
    <w:tbl>
      <w:tblPr>
        <w:tblStyle w:val="TableGrid"/>
        <w:tblW w:type="auto" w:w="0"/>
        <w:jc w:val="center"/>
        <w:tblLook w:firstColumn="1" w:firstRow="1" w:lastColumn="0" w:lastRow="0" w:noHBand="0" w:noVBand="1" w:val="04A0"/>
      </w:tblPr>
      <w:tblGrid>
        <w:gridCol w:w="4320"/>
        <w:gridCol w:w="4320"/>
      </w:tblGrid>
      <w:tr>
        <w:tc>
          <w:tcPr>
            <w:tcW w:type="dxa" w:w="4320"/>
            <w:shd w:fill="1F4E79" w:val="clear"/>
          </w:tcPr>
          <w:p>
            <w:pPr>
              <w:jc w:val="center"/>
            </w:pPr>
            <w:r>
              <w:rPr>
                <w:b/>
                <w:color w:val="FFFFFF"/>
                <w:sz w:val="18"/>
              </w:rPr>
              <w:t>Assessment Dimension</w:t>
            </w:r>
          </w:p>
        </w:tc>
        <w:tc>
          <w:tcPr>
            <w:tcW w:type="dxa" w:w="4320"/>
            <w:shd w:fill="1F4E79" w:val="clear"/>
          </w:tcPr>
          <w:p>
            <w:pPr>
              <w:jc w:val="center"/>
            </w:pPr>
            <w:r>
              <w:rPr>
                <w:b/>
                <w:color w:val="FFFFFF"/>
                <w:sz w:val="18"/>
              </w:rPr>
              <w:t>Verdict</w:t>
            </w:r>
          </w:p>
        </w:tc>
      </w:tr>
      <w:tr>
        <w:tc>
          <w:tcPr>
            <w:tcW w:type="dxa" w:w="4320"/>
          </w:tcPr>
          <w:p>
            <w:r>
              <w:rPr>
                <w:sz w:val="18"/>
              </w:rPr>
              <w:t>Volume</w:t>
            </w:r>
          </w:p>
        </w:tc>
        <w:tc>
          <w:tcPr>
            <w:tcW w:type="dxa" w:w="4320"/>
          </w:tcPr>
          <w:p>
            <w:r>
              <w:rPr>
                <w:sz w:val="18"/>
              </w:rPr>
              <w:t>✅ Sufficient (11,116 records)</w:t>
            </w:r>
          </w:p>
        </w:tc>
      </w:tr>
      <w:tr>
        <w:tc>
          <w:tcPr>
            <w:tcW w:type="dxa" w:w="4320"/>
            <w:shd w:fill="F2F2F2" w:val="clear"/>
          </w:tcPr>
          <w:p>
            <w:r>
              <w:rPr>
                <w:sz w:val="18"/>
              </w:rPr>
              <w:t>Variety</w:t>
            </w:r>
          </w:p>
        </w:tc>
        <w:tc>
          <w:tcPr>
            <w:tcW w:type="dxa" w:w="4320"/>
            <w:shd w:fill="F2F2F2" w:val="clear"/>
          </w:tcPr>
          <w:p>
            <w:r>
              <w:rPr>
                <w:sz w:val="18"/>
              </w:rPr>
              <w:t>✅ Good (16 features, multiple categories)</w:t>
            </w:r>
          </w:p>
        </w:tc>
      </w:tr>
      <w:tr>
        <w:tc>
          <w:tcPr>
            <w:tcW w:type="dxa" w:w="4320"/>
          </w:tcPr>
          <w:p>
            <w:r>
              <w:rPr>
                <w:sz w:val="18"/>
              </w:rPr>
              <w:t>Temporal depth</w:t>
            </w:r>
          </w:p>
        </w:tc>
        <w:tc>
          <w:tcPr>
            <w:tcW w:type="dxa" w:w="4320"/>
          </w:tcPr>
          <w:p>
            <w:r>
              <w:rPr>
                <w:sz w:val="18"/>
              </w:rPr>
              <w:t>✅ Excellent (3 years, daily granularity)</w:t>
            </w:r>
          </w:p>
        </w:tc>
      </w:tr>
      <w:tr>
        <w:tc>
          <w:tcPr>
            <w:tcW w:type="dxa" w:w="4320"/>
            <w:shd w:fill="F2F2F2" w:val="clear"/>
          </w:tcPr>
          <w:p>
            <w:r>
              <w:rPr>
                <w:sz w:val="18"/>
              </w:rPr>
              <w:t>Quality</w:t>
            </w:r>
          </w:p>
        </w:tc>
        <w:tc>
          <w:tcPr>
            <w:tcW w:type="dxa" w:w="4320"/>
            <w:shd w:fill="F2F2F2" w:val="clear"/>
          </w:tcPr>
          <w:p>
            <w:r>
              <w:rPr>
                <w:sz w:val="18"/>
              </w:rPr>
              <w:t>✅ High (no missing values, consistent formats)</w:t>
            </w:r>
          </w:p>
        </w:tc>
      </w:tr>
      <w:tr>
        <w:tc>
          <w:tcPr>
            <w:tcW w:type="dxa" w:w="4320"/>
          </w:tcPr>
          <w:p>
            <w:r>
              <w:rPr>
                <w:sz w:val="18"/>
              </w:rPr>
              <w:t>Relevance to ML task</w:t>
            </w:r>
          </w:p>
        </w:tc>
        <w:tc>
          <w:tcPr>
            <w:tcW w:type="dxa" w:w="4320"/>
          </w:tcPr>
          <w:p>
            <w:r>
              <w:rPr>
                <w:sz w:val="18"/>
              </w:rPr>
              <w:t>✅ Strong fit for supervised regression</w:t>
            </w:r>
          </w:p>
        </w:tc>
      </w:tr>
    </w:tbl>
    <w:p>
      <w:r>
        <w:rPr>
          <w:b/>
          <w:i w:val="0"/>
          <w:sz w:val="22"/>
        </w:rPr>
        <w:t>Overall Assessment: The dataset is suitable for proceeding to the Data Preparation phase.</w:t>
      </w:r>
    </w:p>
    <w:p>
      <w:pPr>
        <w:pStyle w:val="Heading1"/>
      </w:pPr>
      <w:r>
        <w:t>2.10 Key Data Insights Summary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w:t>
            </w:r>
          </w:p>
        </w:tc>
        <w:tc>
          <w:tcPr>
            <w:tcW w:type="dxa" w:w="2880"/>
            <w:shd w:fill="1F4E79" w:val="clear"/>
          </w:tcPr>
          <w:p>
            <w:pPr>
              <w:jc w:val="center"/>
            </w:pPr>
            <w:r>
              <w:rPr>
                <w:b/>
                <w:color w:val="FFFFFF"/>
                <w:sz w:val="18"/>
              </w:rPr>
              <w:t>Insight</w:t>
            </w:r>
          </w:p>
        </w:tc>
        <w:tc>
          <w:tcPr>
            <w:tcW w:type="dxa" w:w="2880"/>
            <w:shd w:fill="1F4E79" w:val="clear"/>
          </w:tcPr>
          <w:p>
            <w:pPr>
              <w:jc w:val="center"/>
            </w:pPr>
            <w:r>
              <w:rPr>
                <w:b/>
                <w:color w:val="FFFFFF"/>
                <w:sz w:val="18"/>
              </w:rPr>
              <w:t>Implication for ML</w:t>
            </w:r>
          </w:p>
        </w:tc>
      </w:tr>
      <w:tr>
        <w:tc>
          <w:tcPr>
            <w:tcW w:type="dxa" w:w="2880"/>
          </w:tcPr>
          <w:p>
            <w:r>
              <w:rPr>
                <w:sz w:val="18"/>
              </w:rPr>
              <w:t>1</w:t>
            </w:r>
          </w:p>
        </w:tc>
        <w:tc>
          <w:tcPr>
            <w:tcW w:type="dxa" w:w="2880"/>
          </w:tcPr>
          <w:p>
            <w:r>
              <w:rPr>
                <w:sz w:val="18"/>
              </w:rPr>
              <w:t>Brand determines margin (deterministic 1:1)</w:t>
            </w:r>
          </w:p>
        </w:tc>
        <w:tc>
          <w:tcPr>
            <w:tcW w:type="dxa" w:w="2880"/>
          </w:tcPr>
          <w:p>
            <w:r>
              <w:rPr>
                <w:sz w:val="18"/>
              </w:rPr>
              <w:t>Remove Margin (%) to avoid multicollinearity</w:t>
            </w:r>
          </w:p>
        </w:tc>
      </w:tr>
      <w:tr>
        <w:tc>
          <w:tcPr>
            <w:tcW w:type="dxa" w:w="2880"/>
            <w:shd w:fill="F2F2F2" w:val="clear"/>
          </w:tcPr>
          <w:p>
            <w:r>
              <w:rPr>
                <w:sz w:val="18"/>
              </w:rPr>
              <w:t>2</w:t>
            </w:r>
          </w:p>
        </w:tc>
        <w:tc>
          <w:tcPr>
            <w:tcW w:type="dxa" w:w="2880"/>
            <w:shd w:fill="F2F2F2" w:val="clear"/>
          </w:tcPr>
          <w:p>
            <w:r>
              <w:rPr>
                <w:sz w:val="18"/>
              </w:rPr>
              <w:t>Dealer determines location (deterministic 1:1)</w:t>
            </w:r>
          </w:p>
        </w:tc>
        <w:tc>
          <w:tcPr>
            <w:tcW w:type="dxa" w:w="2880"/>
            <w:shd w:fill="F2F2F2" w:val="clear"/>
          </w:tcPr>
          <w:p>
            <w:r>
              <w:rPr>
                <w:sz w:val="18"/>
              </w:rPr>
              <w:t>Remove Dealer Location; Dealer encodes this</w:t>
            </w:r>
          </w:p>
        </w:tc>
      </w:tr>
      <w:tr>
        <w:tc>
          <w:tcPr>
            <w:tcW w:type="dxa" w:w="2880"/>
          </w:tcPr>
          <w:p>
            <w:r>
              <w:rPr>
                <w:sz w:val="18"/>
              </w:rPr>
              <w:t>3</w:t>
            </w:r>
          </w:p>
        </w:tc>
        <w:tc>
          <w:tcPr>
            <w:tcW w:type="dxa" w:w="2880"/>
          </w:tcPr>
          <w:p>
            <w:r>
              <w:rPr>
                <w:sz w:val="18"/>
              </w:rPr>
              <w:t>GST is constant at 12% for all records</w:t>
            </w:r>
          </w:p>
        </w:tc>
        <w:tc>
          <w:tcPr>
            <w:tcW w:type="dxa" w:w="2880"/>
          </w:tcPr>
          <w:p>
            <w:r>
              <w:rPr>
                <w:sz w:val="18"/>
              </w:rPr>
              <w:t>Remove Tax (GST %), Tax Amount — no predictive power</w:t>
            </w:r>
          </w:p>
        </w:tc>
      </w:tr>
      <w:tr>
        <w:tc>
          <w:tcPr>
            <w:tcW w:type="dxa" w:w="2880"/>
            <w:shd w:fill="F2F2F2" w:val="clear"/>
          </w:tcPr>
          <w:p>
            <w:r>
              <w:rPr>
                <w:sz w:val="18"/>
              </w:rPr>
              <w:t>4</w:t>
            </w:r>
          </w:p>
        </w:tc>
        <w:tc>
          <w:tcPr>
            <w:tcW w:type="dxa" w:w="2880"/>
            <w:shd w:fill="F2F2F2" w:val="clear"/>
          </w:tcPr>
          <w:p>
            <w:r>
              <w:rPr>
                <w:sz w:val="18"/>
              </w:rPr>
              <w:t>Net Profit, Revenue, Net Tax contain target</w:t>
            </w:r>
          </w:p>
        </w:tc>
        <w:tc>
          <w:tcPr>
            <w:tcW w:type="dxa" w:w="2880"/>
            <w:shd w:fill="F2F2F2" w:val="clear"/>
          </w:tcPr>
          <w:p>
            <w:r>
              <w:rPr>
                <w:sz w:val="18"/>
              </w:rPr>
              <w:t>MUST exclude to prevent data leakage</w:t>
            </w:r>
          </w:p>
        </w:tc>
      </w:tr>
      <w:tr>
        <w:tc>
          <w:tcPr>
            <w:tcW w:type="dxa" w:w="2880"/>
          </w:tcPr>
          <w:p>
            <w:r>
              <w:rPr>
                <w:sz w:val="18"/>
              </w:rPr>
              <w:t>5</w:t>
            </w:r>
          </w:p>
        </w:tc>
        <w:tc>
          <w:tcPr>
            <w:tcW w:type="dxa" w:w="2880"/>
          </w:tcPr>
          <w:p>
            <w:r>
              <w:rPr>
                <w:sz w:val="18"/>
              </w:rPr>
              <w:t>Unit Price varies dramatically (₹500–₹15,000)</w:t>
            </w:r>
          </w:p>
        </w:tc>
        <w:tc>
          <w:tcPr>
            <w:tcW w:type="dxa" w:w="2880"/>
          </w:tcPr>
          <w:p>
            <w:r>
              <w:rPr>
                <w:sz w:val="18"/>
              </w:rPr>
              <w:t>Feature scaling critical for Linear Regression</w:t>
            </w:r>
          </w:p>
        </w:tc>
      </w:tr>
      <w:tr>
        <w:tc>
          <w:tcPr>
            <w:tcW w:type="dxa" w:w="2880"/>
            <w:shd w:fill="F2F2F2" w:val="clear"/>
          </w:tcPr>
          <w:p>
            <w:r>
              <w:rPr>
                <w:sz w:val="18"/>
              </w:rPr>
              <w:t>6</w:t>
            </w:r>
          </w:p>
        </w:tc>
        <w:tc>
          <w:tcPr>
            <w:tcW w:type="dxa" w:w="2880"/>
            <w:shd w:fill="F2F2F2" w:val="clear"/>
          </w:tcPr>
          <w:p>
            <w:r>
              <w:rPr>
                <w:sz w:val="18"/>
              </w:rPr>
              <w:t>Quantity Sold ranges 10–50 (uniform-like)</w:t>
            </w:r>
          </w:p>
        </w:tc>
        <w:tc>
          <w:tcPr>
            <w:tcW w:type="dxa" w:w="2880"/>
            <w:shd w:fill="F2F2F2" w:val="clear"/>
          </w:tcPr>
          <w:p>
            <w:r>
              <w:rPr>
                <w:sz w:val="18"/>
              </w:rPr>
              <w:t>Tree-based models may be best suited</w:t>
            </w:r>
          </w:p>
        </w:tc>
      </w:tr>
      <w:tr>
        <w:tc>
          <w:tcPr>
            <w:tcW w:type="dxa" w:w="2880"/>
          </w:tcPr>
          <w:p>
            <w:r>
              <w:rPr>
                <w:sz w:val="18"/>
              </w:rPr>
              <w:t>7</w:t>
            </w:r>
          </w:p>
        </w:tc>
        <w:tc>
          <w:tcPr>
            <w:tcW w:type="dxa" w:w="2880"/>
          </w:tcPr>
          <w:p>
            <w:r>
              <w:rPr>
                <w:sz w:val="18"/>
              </w:rPr>
              <w:t>3 years of daily data available</w:t>
            </w:r>
          </w:p>
        </w:tc>
        <w:tc>
          <w:tcPr>
            <w:tcW w:type="dxa" w:w="2880"/>
          </w:tcPr>
          <w:p>
            <w:r>
              <w:rPr>
                <w:sz w:val="18"/>
              </w:rPr>
              <w:t>Sufficient for seasonality; time-based split recommended</w:t>
            </w:r>
          </w:p>
        </w:tc>
      </w:tr>
      <w:tr>
        <w:tc>
          <w:tcPr>
            <w:tcW w:type="dxa" w:w="2880"/>
            <w:shd w:fill="F2F2F2" w:val="clear"/>
          </w:tcPr>
          <w:p>
            <w:r>
              <w:rPr>
                <w:sz w:val="18"/>
              </w:rPr>
              <w:t>8</w:t>
            </w:r>
          </w:p>
        </w:tc>
        <w:tc>
          <w:tcPr>
            <w:tcW w:type="dxa" w:w="2880"/>
            <w:shd w:fill="F2F2F2" w:val="clear"/>
          </w:tcPr>
          <w:p>
            <w:r>
              <w:rPr>
                <w:sz w:val="18"/>
              </w:rPr>
              <w:t>~10-12 transactions per day</w:t>
            </w:r>
          </w:p>
        </w:tc>
        <w:tc>
          <w:tcPr>
            <w:tcW w:type="dxa" w:w="2880"/>
            <w:shd w:fill="F2F2F2" w:val="clear"/>
          </w:tcPr>
          <w:p>
            <w:r>
              <w:rPr>
                <w:sz w:val="18"/>
              </w:rPr>
              <w:t>Adequate for daily-level demand aggregation</w:t>
            </w:r>
          </w:p>
        </w:tc>
      </w:tr>
      <w:tr>
        <w:tc>
          <w:tcPr>
            <w:tcW w:type="dxa" w:w="2880"/>
          </w:tcPr>
          <w:p>
            <w:r>
              <w:rPr>
                <w:sz w:val="18"/>
              </w:rPr>
              <w:t>9</w:t>
            </w:r>
          </w:p>
        </w:tc>
        <w:tc>
          <w:tcPr>
            <w:tcW w:type="dxa" w:w="2880"/>
          </w:tcPr>
          <w:p>
            <w:r>
              <w:rPr>
                <w:sz w:val="18"/>
              </w:rPr>
              <w:t>Stock Availability (1–200) captures supply</w:t>
            </w:r>
          </w:p>
        </w:tc>
        <w:tc>
          <w:tcPr>
            <w:tcW w:type="dxa" w:w="2880"/>
          </w:tcPr>
          <w:p>
            <w:r>
              <w:rPr>
                <w:sz w:val="18"/>
              </w:rPr>
              <w:t>Key input feature AND inventory indicator</w:t>
            </w:r>
          </w:p>
        </w:tc>
      </w:tr>
      <w:tr>
        <w:tc>
          <w:tcPr>
            <w:tcW w:type="dxa" w:w="2880"/>
            <w:shd w:fill="F2F2F2" w:val="clear"/>
          </w:tcPr>
          <w:p>
            <w:r>
              <w:rPr>
                <w:sz w:val="18"/>
              </w:rPr>
              <w:t>10</w:t>
            </w:r>
          </w:p>
        </w:tc>
        <w:tc>
          <w:tcPr>
            <w:tcW w:type="dxa" w:w="2880"/>
            <w:shd w:fill="F2F2F2" w:val="clear"/>
          </w:tcPr>
          <w:p>
            <w:r>
              <w:rPr>
                <w:sz w:val="18"/>
              </w:rPr>
              <w:t>No external features available</w:t>
            </w:r>
          </w:p>
        </w:tc>
        <w:tc>
          <w:tcPr>
            <w:tcW w:type="dxa" w:w="2880"/>
            <w:shd w:fill="F2F2F2" w:val="clear"/>
          </w:tcPr>
          <w:p>
            <w:r>
              <w:rPr>
                <w:sz w:val="18"/>
              </w:rPr>
              <w:t>Must engineer proxy features from Date column</w:t>
            </w:r>
          </w:p>
        </w:tc>
      </w:tr>
    </w:tbl>
    <w:p>
      <w:pPr>
        <w:pStyle w:val="Heading1"/>
      </w:pPr>
      <w:r>
        <w:t>2.11 Recommended Feature Set for Modelling</w:t>
      </w:r>
    </w:p>
    <w:p>
      <w:pPr>
        <w:pStyle w:val="Heading2"/>
      </w:pPr>
      <w:r>
        <w:t>2.11.1 Features to Include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18"/>
              </w:rPr>
              <w:t>Feature</w:t>
            </w:r>
          </w:p>
        </w:tc>
        <w:tc>
          <w:tcPr>
            <w:tcW w:type="dxa" w:w="2880"/>
            <w:shd w:fill="1F4E79" w:val="clear"/>
          </w:tcPr>
          <w:p>
            <w:pPr>
              <w:jc w:val="center"/>
            </w:pPr>
            <w:r>
              <w:rPr>
                <w:b/>
                <w:color w:val="FFFFFF"/>
                <w:sz w:val="18"/>
              </w:rPr>
              <w:t>Type</w:t>
            </w:r>
          </w:p>
        </w:tc>
        <w:tc>
          <w:tcPr>
            <w:tcW w:type="dxa" w:w="2880"/>
            <w:shd w:fill="1F4E79" w:val="clear"/>
          </w:tcPr>
          <w:p>
            <w:pPr>
              <w:jc w:val="center"/>
            </w:pPr>
            <w:r>
              <w:rPr>
                <w:b/>
                <w:color w:val="FFFFFF"/>
                <w:sz w:val="18"/>
              </w:rPr>
              <w:t>Transformation</w:t>
            </w:r>
          </w:p>
        </w:tc>
      </w:tr>
      <w:tr>
        <w:tc>
          <w:tcPr>
            <w:tcW w:type="dxa" w:w="2880"/>
          </w:tcPr>
          <w:p>
            <w:r>
              <w:rPr>
                <w:sz w:val="18"/>
              </w:rPr>
              <w:t>Product</w:t>
            </w:r>
          </w:p>
        </w:tc>
        <w:tc>
          <w:tcPr>
            <w:tcW w:type="dxa" w:w="2880"/>
          </w:tcPr>
          <w:p>
            <w:r>
              <w:rPr>
                <w:sz w:val="18"/>
              </w:rPr>
              <w:t>Categorical</w:t>
            </w:r>
          </w:p>
        </w:tc>
        <w:tc>
          <w:tcPr>
            <w:tcW w:type="dxa" w:w="2880"/>
          </w:tcPr>
          <w:p>
            <w:r>
              <w:rPr>
                <w:sz w:val="18"/>
              </w:rPr>
              <w:t>One-Hot or Label Encoding</w:t>
            </w:r>
          </w:p>
        </w:tc>
      </w:tr>
      <w:tr>
        <w:tc>
          <w:tcPr>
            <w:tcW w:type="dxa" w:w="2880"/>
            <w:shd w:fill="F2F2F2" w:val="clear"/>
          </w:tcPr>
          <w:p>
            <w:r>
              <w:rPr>
                <w:sz w:val="18"/>
              </w:rPr>
              <w:t>Brand</w:t>
            </w:r>
          </w:p>
        </w:tc>
        <w:tc>
          <w:tcPr>
            <w:tcW w:type="dxa" w:w="2880"/>
            <w:shd w:fill="F2F2F2" w:val="clear"/>
          </w:tcPr>
          <w:p>
            <w:r>
              <w:rPr>
                <w:sz w:val="18"/>
              </w:rPr>
              <w:t>Categorical</w:t>
            </w:r>
          </w:p>
        </w:tc>
        <w:tc>
          <w:tcPr>
            <w:tcW w:type="dxa" w:w="2880"/>
            <w:shd w:fill="F2F2F2" w:val="clear"/>
          </w:tcPr>
          <w:p>
            <w:r>
              <w:rPr>
                <w:sz w:val="18"/>
              </w:rPr>
              <w:t>One-Hot or Label Encoding</w:t>
            </w:r>
          </w:p>
        </w:tc>
      </w:tr>
      <w:tr>
        <w:tc>
          <w:tcPr>
            <w:tcW w:type="dxa" w:w="2880"/>
          </w:tcPr>
          <w:p>
            <w:r>
              <w:rPr>
                <w:sz w:val="18"/>
              </w:rPr>
              <w:t>Size</w:t>
            </w:r>
          </w:p>
        </w:tc>
        <w:tc>
          <w:tcPr>
            <w:tcW w:type="dxa" w:w="2880"/>
          </w:tcPr>
          <w:p>
            <w:r>
              <w:rPr>
                <w:sz w:val="18"/>
              </w:rPr>
              <w:t>Numerical</w:t>
            </w:r>
          </w:p>
        </w:tc>
        <w:tc>
          <w:tcPr>
            <w:tcW w:type="dxa" w:w="2880"/>
          </w:tcPr>
          <w:p>
            <w:r>
              <w:rPr>
                <w:sz w:val="18"/>
              </w:rPr>
              <w:t>Use as-is (discrete: 6–11)</w:t>
            </w:r>
          </w:p>
        </w:tc>
      </w:tr>
      <w:tr>
        <w:tc>
          <w:tcPr>
            <w:tcW w:type="dxa" w:w="2880"/>
            <w:shd w:fill="F2F2F2" w:val="clear"/>
          </w:tcPr>
          <w:p>
            <w:r>
              <w:rPr>
                <w:sz w:val="18"/>
              </w:rPr>
              <w:t>Unit Price (₹)</w:t>
            </w:r>
          </w:p>
        </w:tc>
        <w:tc>
          <w:tcPr>
            <w:tcW w:type="dxa" w:w="2880"/>
            <w:shd w:fill="F2F2F2" w:val="clear"/>
          </w:tcPr>
          <w:p>
            <w:r>
              <w:rPr>
                <w:sz w:val="18"/>
              </w:rPr>
              <w:t>Numerical</w:t>
            </w:r>
          </w:p>
        </w:tc>
        <w:tc>
          <w:tcPr>
            <w:tcW w:type="dxa" w:w="2880"/>
            <w:shd w:fill="F2F2F2" w:val="clear"/>
          </w:tcPr>
          <w:p>
            <w:r>
              <w:rPr>
                <w:sz w:val="18"/>
              </w:rPr>
              <w:t>StandardScaler normalization</w:t>
            </w:r>
          </w:p>
        </w:tc>
      </w:tr>
      <w:tr>
        <w:tc>
          <w:tcPr>
            <w:tcW w:type="dxa" w:w="2880"/>
          </w:tcPr>
          <w:p>
            <w:r>
              <w:rPr>
                <w:sz w:val="18"/>
              </w:rPr>
              <w:t>Dealer</w:t>
            </w:r>
          </w:p>
        </w:tc>
        <w:tc>
          <w:tcPr>
            <w:tcW w:type="dxa" w:w="2880"/>
          </w:tcPr>
          <w:p>
            <w:r>
              <w:rPr>
                <w:sz w:val="18"/>
              </w:rPr>
              <w:t>Categorical</w:t>
            </w:r>
          </w:p>
        </w:tc>
        <w:tc>
          <w:tcPr>
            <w:tcW w:type="dxa" w:w="2880"/>
          </w:tcPr>
          <w:p>
            <w:r>
              <w:rPr>
                <w:sz w:val="18"/>
              </w:rPr>
              <w:t>One-Hot or Label Encoding</w:t>
            </w:r>
          </w:p>
        </w:tc>
      </w:tr>
      <w:tr>
        <w:tc>
          <w:tcPr>
            <w:tcW w:type="dxa" w:w="2880"/>
            <w:shd w:fill="F2F2F2" w:val="clear"/>
          </w:tcPr>
          <w:p>
            <w:r>
              <w:rPr>
                <w:sz w:val="18"/>
              </w:rPr>
              <w:t>Stock Availability</w:t>
            </w:r>
          </w:p>
        </w:tc>
        <w:tc>
          <w:tcPr>
            <w:tcW w:type="dxa" w:w="2880"/>
            <w:shd w:fill="F2F2F2" w:val="clear"/>
          </w:tcPr>
          <w:p>
            <w:r>
              <w:rPr>
                <w:sz w:val="18"/>
              </w:rPr>
              <w:t>Numerical</w:t>
            </w:r>
          </w:p>
        </w:tc>
        <w:tc>
          <w:tcPr>
            <w:tcW w:type="dxa" w:w="2880"/>
            <w:shd w:fill="F2F2F2" w:val="clear"/>
          </w:tcPr>
          <w:p>
            <w:r>
              <w:rPr>
                <w:sz w:val="18"/>
              </w:rPr>
              <w:t>Use as-is or MinMaxScaler</w:t>
            </w:r>
          </w:p>
        </w:tc>
      </w:tr>
      <w:tr>
        <w:tc>
          <w:tcPr>
            <w:tcW w:type="dxa" w:w="2880"/>
          </w:tcPr>
          <w:p>
            <w:r>
              <w:rPr>
                <w:sz w:val="18"/>
              </w:rPr>
              <w:t>Day of Week</w:t>
            </w:r>
          </w:p>
        </w:tc>
        <w:tc>
          <w:tcPr>
            <w:tcW w:type="dxa" w:w="2880"/>
          </w:tcPr>
          <w:p>
            <w:r>
              <w:rPr>
                <w:sz w:val="18"/>
              </w:rPr>
              <w:t>Engineered</w:t>
            </w:r>
          </w:p>
        </w:tc>
        <w:tc>
          <w:tcPr>
            <w:tcW w:type="dxa" w:w="2880"/>
          </w:tcPr>
          <w:p>
            <w:r>
              <w:rPr>
                <w:sz w:val="18"/>
              </w:rPr>
              <w:t>Derived from Date</w:t>
            </w:r>
          </w:p>
        </w:tc>
      </w:tr>
      <w:tr>
        <w:tc>
          <w:tcPr>
            <w:tcW w:type="dxa" w:w="2880"/>
            <w:shd w:fill="F2F2F2" w:val="clear"/>
          </w:tcPr>
          <w:p>
            <w:r>
              <w:rPr>
                <w:sz w:val="18"/>
              </w:rPr>
              <w:t>Month</w:t>
            </w:r>
          </w:p>
        </w:tc>
        <w:tc>
          <w:tcPr>
            <w:tcW w:type="dxa" w:w="2880"/>
            <w:shd w:fill="F2F2F2" w:val="clear"/>
          </w:tcPr>
          <w:p>
            <w:r>
              <w:rPr>
                <w:sz w:val="18"/>
              </w:rPr>
              <w:t>Engineered</w:t>
            </w:r>
          </w:p>
        </w:tc>
        <w:tc>
          <w:tcPr>
            <w:tcW w:type="dxa" w:w="2880"/>
            <w:shd w:fill="F2F2F2" w:val="clear"/>
          </w:tcPr>
          <w:p>
            <w:r>
              <w:rPr>
                <w:sz w:val="18"/>
              </w:rPr>
              <w:t>Derived from Date</w:t>
            </w:r>
          </w:p>
        </w:tc>
      </w:tr>
      <w:tr>
        <w:tc>
          <w:tcPr>
            <w:tcW w:type="dxa" w:w="2880"/>
          </w:tcPr>
          <w:p>
            <w:r>
              <w:rPr>
                <w:sz w:val="18"/>
              </w:rPr>
              <w:t>Quarter</w:t>
            </w:r>
          </w:p>
        </w:tc>
        <w:tc>
          <w:tcPr>
            <w:tcW w:type="dxa" w:w="2880"/>
          </w:tcPr>
          <w:p>
            <w:r>
              <w:rPr>
                <w:sz w:val="18"/>
              </w:rPr>
              <w:t>Engineered</w:t>
            </w:r>
          </w:p>
        </w:tc>
        <w:tc>
          <w:tcPr>
            <w:tcW w:type="dxa" w:w="2880"/>
          </w:tcPr>
          <w:p>
            <w:r>
              <w:rPr>
                <w:sz w:val="18"/>
              </w:rPr>
              <w:t>Derived from Date</w:t>
            </w:r>
          </w:p>
        </w:tc>
      </w:tr>
      <w:tr>
        <w:tc>
          <w:tcPr>
            <w:tcW w:type="dxa" w:w="2880"/>
            <w:shd w:fill="F2F2F2" w:val="clear"/>
          </w:tcPr>
          <w:p>
            <w:r>
              <w:rPr>
                <w:sz w:val="18"/>
              </w:rPr>
              <w:t>Year</w:t>
            </w:r>
          </w:p>
        </w:tc>
        <w:tc>
          <w:tcPr>
            <w:tcW w:type="dxa" w:w="2880"/>
            <w:shd w:fill="F2F2F2" w:val="clear"/>
          </w:tcPr>
          <w:p>
            <w:r>
              <w:rPr>
                <w:sz w:val="18"/>
              </w:rPr>
              <w:t>Engineered</w:t>
            </w:r>
          </w:p>
        </w:tc>
        <w:tc>
          <w:tcPr>
            <w:tcW w:type="dxa" w:w="2880"/>
            <w:shd w:fill="F2F2F2" w:val="clear"/>
          </w:tcPr>
          <w:p>
            <w:r>
              <w:rPr>
                <w:sz w:val="18"/>
              </w:rPr>
              <w:t>Derived from Date</w:t>
            </w:r>
          </w:p>
        </w:tc>
      </w:tr>
      <w:tr>
        <w:tc>
          <w:tcPr>
            <w:tcW w:type="dxa" w:w="2880"/>
          </w:tcPr>
          <w:p>
            <w:r>
              <w:rPr>
                <w:sz w:val="18"/>
              </w:rPr>
              <w:t>Is Weekend</w:t>
            </w:r>
          </w:p>
        </w:tc>
        <w:tc>
          <w:tcPr>
            <w:tcW w:type="dxa" w:w="2880"/>
          </w:tcPr>
          <w:p>
            <w:r>
              <w:rPr>
                <w:sz w:val="18"/>
              </w:rPr>
              <w:t>Engineered</w:t>
            </w:r>
          </w:p>
        </w:tc>
        <w:tc>
          <w:tcPr>
            <w:tcW w:type="dxa" w:w="2880"/>
          </w:tcPr>
          <w:p>
            <w:r>
              <w:rPr>
                <w:sz w:val="18"/>
              </w:rPr>
              <w:t>Derived from Date (binary)</w:t>
            </w:r>
          </w:p>
        </w:tc>
      </w:tr>
      <w:tr>
        <w:tc>
          <w:tcPr>
            <w:tcW w:type="dxa" w:w="2880"/>
            <w:shd w:fill="F2F2F2" w:val="clear"/>
          </w:tcPr>
          <w:p>
            <w:r>
              <w:rPr>
                <w:sz w:val="18"/>
              </w:rPr>
              <w:t>Week of Year</w:t>
            </w:r>
          </w:p>
        </w:tc>
        <w:tc>
          <w:tcPr>
            <w:tcW w:type="dxa" w:w="2880"/>
            <w:shd w:fill="F2F2F2" w:val="clear"/>
          </w:tcPr>
          <w:p>
            <w:r>
              <w:rPr>
                <w:sz w:val="18"/>
              </w:rPr>
              <w:t>Engineered</w:t>
            </w:r>
          </w:p>
        </w:tc>
        <w:tc>
          <w:tcPr>
            <w:tcW w:type="dxa" w:w="2880"/>
            <w:shd w:fill="F2F2F2" w:val="clear"/>
          </w:tcPr>
          <w:p>
            <w:r>
              <w:rPr>
                <w:sz w:val="18"/>
              </w:rPr>
              <w:t>Derived from Date</w:t>
            </w:r>
          </w:p>
        </w:tc>
      </w:tr>
      <w:tr>
        <w:tc>
          <w:tcPr>
            <w:tcW w:type="dxa" w:w="2880"/>
          </w:tcPr>
          <w:p>
            <w:r>
              <w:rPr>
                <w:sz w:val="18"/>
              </w:rPr>
              <w:t>Lag Features</w:t>
            </w:r>
          </w:p>
        </w:tc>
        <w:tc>
          <w:tcPr>
            <w:tcW w:type="dxa" w:w="2880"/>
          </w:tcPr>
          <w:p>
            <w:r>
              <w:rPr>
                <w:sz w:val="18"/>
              </w:rPr>
              <w:t>Engineered</w:t>
            </w:r>
          </w:p>
        </w:tc>
        <w:tc>
          <w:tcPr>
            <w:tcW w:type="dxa" w:w="2880"/>
          </w:tcPr>
          <w:p>
            <w:r>
              <w:rPr>
                <w:sz w:val="18"/>
              </w:rPr>
              <w:t>7-day, 14-day, 30-day lagged sales</w:t>
            </w:r>
          </w:p>
        </w:tc>
      </w:tr>
      <w:tr>
        <w:tc>
          <w:tcPr>
            <w:tcW w:type="dxa" w:w="2880"/>
            <w:shd w:fill="F2F2F2" w:val="clear"/>
          </w:tcPr>
          <w:p>
            <w:r>
              <w:rPr>
                <w:sz w:val="18"/>
              </w:rPr>
              <w:t>Rolling Averages</w:t>
            </w:r>
          </w:p>
        </w:tc>
        <w:tc>
          <w:tcPr>
            <w:tcW w:type="dxa" w:w="2880"/>
            <w:shd w:fill="F2F2F2" w:val="clear"/>
          </w:tcPr>
          <w:p>
            <w:r>
              <w:rPr>
                <w:sz w:val="18"/>
              </w:rPr>
              <w:t>Engineered</w:t>
            </w:r>
          </w:p>
        </w:tc>
        <w:tc>
          <w:tcPr>
            <w:tcW w:type="dxa" w:w="2880"/>
            <w:shd w:fill="F2F2F2" w:val="clear"/>
          </w:tcPr>
          <w:p>
            <w:r>
              <w:rPr>
                <w:sz w:val="18"/>
              </w:rPr>
              <w:t>7-day, 14-day, 30-day moving average</w:t>
            </w:r>
          </w:p>
        </w:tc>
      </w:tr>
    </w:tbl>
    <w:p>
      <w:pPr>
        <w:pStyle w:val="Heading2"/>
      </w:pPr>
      <w:r>
        <w:t>2.11.2 Features to Exclude</w:t>
      </w:r>
    </w:p>
    <w:tbl>
      <w:tblPr>
        <w:tblStyle w:val="TableGrid"/>
        <w:tblW w:type="auto" w:w="0"/>
        <w:jc w:val="center"/>
        <w:tblLook w:firstColumn="1" w:firstRow="1" w:lastColumn="0" w:lastRow="0" w:noHBand="0" w:noVBand="1" w:val="04A0"/>
      </w:tblPr>
      <w:tblGrid>
        <w:gridCol w:w="4320"/>
        <w:gridCol w:w="4320"/>
      </w:tblGrid>
      <w:tr>
        <w:tc>
          <w:tcPr>
            <w:tcW w:type="dxa" w:w="4320"/>
            <w:shd w:fill="8B0000" w:val="clear"/>
          </w:tcPr>
          <w:p>
            <w:pPr>
              <w:jc w:val="center"/>
            </w:pPr>
            <w:r>
              <w:rPr>
                <w:b/>
                <w:color w:val="FFFFFF"/>
                <w:sz w:val="18"/>
              </w:rPr>
              <w:t>Feature</w:t>
            </w:r>
          </w:p>
        </w:tc>
        <w:tc>
          <w:tcPr>
            <w:tcW w:type="dxa" w:w="4320"/>
            <w:shd w:fill="8B0000" w:val="clear"/>
          </w:tcPr>
          <w:p>
            <w:pPr>
              <w:jc w:val="center"/>
            </w:pPr>
            <w:r>
              <w:rPr>
                <w:b/>
                <w:color w:val="FFFFFF"/>
                <w:sz w:val="18"/>
              </w:rPr>
              <w:t>Reason for Exclusion</w:t>
            </w:r>
          </w:p>
        </w:tc>
      </w:tr>
      <w:tr>
        <w:tc>
          <w:tcPr>
            <w:tcW w:type="dxa" w:w="4320"/>
          </w:tcPr>
          <w:p>
            <w:r>
              <w:rPr>
                <w:sz w:val="18"/>
              </w:rPr>
              <w:t>Margin (%)</w:t>
            </w:r>
          </w:p>
        </w:tc>
        <w:tc>
          <w:tcPr>
            <w:tcW w:type="dxa" w:w="4320"/>
          </w:tcPr>
          <w:p>
            <w:r>
              <w:rPr>
                <w:sz w:val="18"/>
              </w:rPr>
              <w:t>Deterministic function of Brand — redundant</w:t>
            </w:r>
          </w:p>
        </w:tc>
      </w:tr>
      <w:tr>
        <w:tc>
          <w:tcPr>
            <w:tcW w:type="dxa" w:w="4320"/>
            <w:shd w:fill="F2F2F2" w:val="clear"/>
          </w:tcPr>
          <w:p>
            <w:r>
              <w:rPr>
                <w:sz w:val="18"/>
              </w:rPr>
              <w:t>Profit (₹)</w:t>
            </w:r>
          </w:p>
        </w:tc>
        <w:tc>
          <w:tcPr>
            <w:tcW w:type="dxa" w:w="4320"/>
            <w:shd w:fill="F2F2F2" w:val="clear"/>
          </w:tcPr>
          <w:p>
            <w:r>
              <w:rPr>
                <w:sz w:val="18"/>
              </w:rPr>
              <w:t>Derived from Unit Price × Margin — multicollinearity</w:t>
            </w:r>
          </w:p>
        </w:tc>
      </w:tr>
      <w:tr>
        <w:tc>
          <w:tcPr>
            <w:tcW w:type="dxa" w:w="4320"/>
          </w:tcPr>
          <w:p>
            <w:r>
              <w:rPr>
                <w:sz w:val="18"/>
              </w:rPr>
              <w:t>Net Profit (₹)</w:t>
            </w:r>
          </w:p>
        </w:tc>
        <w:tc>
          <w:tcPr>
            <w:tcW w:type="dxa" w:w="4320"/>
          </w:tcPr>
          <w:p>
            <w:r>
              <w:rPr>
                <w:sz w:val="18"/>
              </w:rPr>
              <w:t>Contains target variable — DATA LEAKAGE</w:t>
            </w:r>
          </w:p>
        </w:tc>
      </w:tr>
      <w:tr>
        <w:tc>
          <w:tcPr>
            <w:tcW w:type="dxa" w:w="4320"/>
            <w:shd w:fill="F2F2F2" w:val="clear"/>
          </w:tcPr>
          <w:p>
            <w:r>
              <w:rPr>
                <w:sz w:val="18"/>
              </w:rPr>
              <w:t>Total Revenue (₹)</w:t>
            </w:r>
          </w:p>
        </w:tc>
        <w:tc>
          <w:tcPr>
            <w:tcW w:type="dxa" w:w="4320"/>
            <w:shd w:fill="F2F2F2" w:val="clear"/>
          </w:tcPr>
          <w:p>
            <w:r>
              <w:rPr>
                <w:sz w:val="18"/>
              </w:rPr>
              <w:t>Contains target variable — DATA LEAKAGE</w:t>
            </w:r>
          </w:p>
        </w:tc>
      </w:tr>
      <w:tr>
        <w:tc>
          <w:tcPr>
            <w:tcW w:type="dxa" w:w="4320"/>
          </w:tcPr>
          <w:p>
            <w:r>
              <w:rPr>
                <w:sz w:val="18"/>
              </w:rPr>
              <w:t>Tax (GST %)</w:t>
            </w:r>
          </w:p>
        </w:tc>
        <w:tc>
          <w:tcPr>
            <w:tcW w:type="dxa" w:w="4320"/>
          </w:tcPr>
          <w:p>
            <w:r>
              <w:rPr>
                <w:sz w:val="18"/>
              </w:rPr>
              <w:t>Constant (12%) — zero variance, no predictive value</w:t>
            </w:r>
          </w:p>
        </w:tc>
      </w:tr>
      <w:tr>
        <w:tc>
          <w:tcPr>
            <w:tcW w:type="dxa" w:w="4320"/>
            <w:shd w:fill="F2F2F2" w:val="clear"/>
          </w:tcPr>
          <w:p>
            <w:r>
              <w:rPr>
                <w:sz w:val="18"/>
              </w:rPr>
              <w:t>Tax Amount (₹)</w:t>
            </w:r>
          </w:p>
        </w:tc>
        <w:tc>
          <w:tcPr>
            <w:tcW w:type="dxa" w:w="4320"/>
            <w:shd w:fill="F2F2F2" w:val="clear"/>
          </w:tcPr>
          <w:p>
            <w:r>
              <w:rPr>
                <w:sz w:val="18"/>
              </w:rPr>
              <w:t>Deterministic function of Unit Price — redundant</w:t>
            </w:r>
          </w:p>
        </w:tc>
      </w:tr>
      <w:tr>
        <w:tc>
          <w:tcPr>
            <w:tcW w:type="dxa" w:w="4320"/>
          </w:tcPr>
          <w:p>
            <w:r>
              <w:rPr>
                <w:sz w:val="18"/>
              </w:rPr>
              <w:t>Net Tax (₹)</w:t>
            </w:r>
          </w:p>
        </w:tc>
        <w:tc>
          <w:tcPr>
            <w:tcW w:type="dxa" w:w="4320"/>
          </w:tcPr>
          <w:p>
            <w:r>
              <w:rPr>
                <w:sz w:val="18"/>
              </w:rPr>
              <w:t>Contains target variable — DATA LEAKAGE</w:t>
            </w:r>
          </w:p>
        </w:tc>
      </w:tr>
      <w:tr>
        <w:tc>
          <w:tcPr>
            <w:tcW w:type="dxa" w:w="4320"/>
            <w:shd w:fill="F2F2F2" w:val="clear"/>
          </w:tcPr>
          <w:p>
            <w:r>
              <w:rPr>
                <w:sz w:val="18"/>
              </w:rPr>
              <w:t>Dealer Location</w:t>
            </w:r>
          </w:p>
        </w:tc>
        <w:tc>
          <w:tcPr>
            <w:tcW w:type="dxa" w:w="4320"/>
            <w:shd w:fill="F2F2F2" w:val="clear"/>
          </w:tcPr>
          <w:p>
            <w:r>
              <w:rPr>
                <w:sz w:val="18"/>
              </w:rPr>
              <w:t>Deterministic function of Dealer — redundant</w:t>
            </w:r>
          </w:p>
        </w:tc>
      </w:tr>
      <w:tr>
        <w:tc>
          <w:tcPr>
            <w:tcW w:type="dxa" w:w="4320"/>
          </w:tcPr>
          <w:p>
            <w:r>
              <w:rPr>
                <w:sz w:val="18"/>
              </w:rPr>
              <w:t>Date (raw)</w:t>
            </w:r>
          </w:p>
        </w:tc>
        <w:tc>
          <w:tcPr>
            <w:tcW w:type="dxa" w:w="4320"/>
          </w:tcPr>
          <w:p>
            <w:r>
              <w:rPr>
                <w:sz w:val="18"/>
              </w:rPr>
              <w:t>Will be decomposed into engineered features</w:t>
            </w:r>
          </w:p>
        </w:tc>
      </w:tr>
    </w:tbl>
    <w:p>
      <w:pPr>
        <w:pStyle w:val="Heading1"/>
      </w:pPr>
      <w:r>
        <w:t>2.12 Conclusion</w:t>
      </w:r>
    </w:p>
    <w:p>
      <w:r>
        <w:rPr>
          <w:b w:val="0"/>
          <w:i w:val="0"/>
          <w:sz w:val="22"/>
        </w:rPr>
        <w:t>This Data Understanding phase provides a thorough examination of the FootWare_Wholesale_Sales_Dataset.csv dataset, establishing its suitability for the predictive inventory optimization task. The dataset contains 11,116 transaction-level sales records spanning 3 years (2023–2025) with 16 features covering product, pricing, financial, tax, dealer, and stock dimensions.</w:t>
      </w:r>
    </w:p>
    <w:p>
      <w:r>
        <w:rPr>
          <w:b/>
          <w:i w:val="0"/>
          <w:sz w:val="22"/>
        </w:rPr>
        <w:t>Key takeaways:</w:t>
      </w:r>
    </w:p>
    <w:p>
      <w:pPr>
        <w:pStyle w:val="ListBullet"/>
        <w:ind w:left="850"/>
      </w:pPr>
      <w:r>
        <w:t>The dataset is sufficient in volume, temporal coverage, and feature richness for training supervised ML models.</w:t>
      </w:r>
    </w:p>
    <w:p>
      <w:pPr>
        <w:pStyle w:val="ListBullet"/>
        <w:ind w:left="850"/>
      </w:pPr>
      <w:r>
        <w:t>Critical data leakage risks have been identified — features containing Quantity Sold must be excluded.</w:t>
      </w:r>
    </w:p>
    <w:p>
      <w:pPr>
        <w:pStyle w:val="ListBullet"/>
        <w:ind w:left="850"/>
      </w:pPr>
      <w:r>
        <w:t>Multicollinearity exists due to deterministic mappings (Brand→Margin, Dealer→Location) and must be addressed.</w:t>
      </w:r>
    </w:p>
    <w:p>
      <w:pPr>
        <w:pStyle w:val="ListBullet"/>
        <w:ind w:left="850"/>
      </w:pPr>
      <w:r>
        <w:t>Feature engineering from the Date column will be essential to capture temporal and seasonal patterns.</w:t>
      </w:r>
    </w:p>
    <w:p>
      <w:pPr>
        <w:pStyle w:val="ListBullet"/>
        <w:ind w:left="850"/>
      </w:pPr>
      <w:r>
        <w:t>Time-based train-test splitting is recommended over random splitting to preserve temporal integrity.</w:t>
      </w:r>
    </w:p>
    <w:p>
      <w:r>
        <w:rPr>
          <w:b w:val="0"/>
          <w:i w:val="0"/>
          <w:sz w:val="22"/>
        </w:rPr>
        <w:t>The next phase — Data Preparation — will implement the cleaning, transformation, encoding, feature engineering, and splitting strategies identified in this analysis.</w:t>
      </w:r>
    </w:p>
    <w:p/>
    <w:p>
      <w:pPr>
        <w:jc w:val="center"/>
      </w:pPr>
      <w:r>
        <w:rPr>
          <w:i/>
          <w:color w:val="808080"/>
          <w:sz w:val="18"/>
        </w:rPr>
        <w:t>Document Version: 1.0  |  Date: April 2025  |  Methodology: CRISP-ML(Q)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