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color w:val="1F3864"/>
          <w:sz w:val="40"/>
          <w:szCs w:val="40"/>
        </w:rPr>
        <w:t xml:space="preserve">BUSINESS REQUIREMENTS DOCUMENT</w:t>
      </w:r>
    </w:p>
    <w:p>
      <w:pPr>
        <w:spacing w:after="100"/>
        <w:jc w:val="center"/>
      </w:pPr>
      <w:r>
        <w:rPr>
          <w:b/>
          <w:bCs/>
          <w:color w:val="2E5395"/>
          <w:sz w:val="30"/>
          <w:szCs w:val="30"/>
        </w:rPr>
        <w:t xml:space="preserve">Generic Document Extractor + Chatbot</w:t>
      </w:r>
    </w:p>
    <w:p>
      <w:pPr>
        <w:spacing w:after="600"/>
        <w:jc w:val="center"/>
      </w:pPr>
      <w:r>
        <w:rPr>
          <w:i/>
          <w:iCs/>
          <w:color w:val="595959"/>
          <w:sz w:val="24"/>
          <w:szCs w:val="24"/>
        </w:rPr>
        <w:t xml:space="preserve">Accuracy-First Multi-Document AI Workspace — Proof of Concept (POC)</w:t>
      </w:r>
    </w:p>
    <w:p>
      <w:pPr>
        <w:spacing w:after="1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100"/>
              <w:left w:type="dxa" w:w="120"/>
              <w:bottom w:type="dxa" w:w="100"/>
              <w:right w:type="dxa" w:w="120"/>
            </w:tcMar>
            <w:vAlign w:val="center"/>
          </w:tcPr>
          <w:p>
            <w:r>
              <w:rPr>
                <w:b/>
                <w:bCs/>
                <w:color w:val="FFFFFF"/>
                <w:sz w:val="20"/>
                <w:szCs w:val="20"/>
              </w:rPr>
              <w:t xml:space="preserve">Field</w:t>
            </w:r>
          </w:p>
        </w:tc>
        <w:tc>
          <w:tcPr>
            <w:tcW w:type="dxa" w:w="6200"/>
            <w:shd w:fill="1F3864" w:val="clear"/>
            <w:tcMar>
              <w:top w:type="dxa" w:w="100"/>
              <w:left w:type="dxa" w:w="120"/>
              <w:bottom w:type="dxa" w:w="100"/>
              <w:right w:type="dxa" w:w="120"/>
            </w:tcMar>
            <w:vAlign w:val="center"/>
          </w:tcPr>
          <w:p>
            <w:r>
              <w:rPr>
                <w:b/>
                <w:bCs/>
                <w:color w:val="FFFFFF"/>
                <w:sz w:val="20"/>
                <w:szCs w:val="20"/>
              </w:rPr>
              <w:t xml:space="preserve">Details</w:t>
            </w:r>
          </w:p>
        </w:tc>
      </w:tr>
      <w:tr>
        <w:tc>
          <w:tcPr>
            <w:tcW w:type="dxa" w:w="3200"/>
            <w:tcMar>
              <w:top w:type="dxa" w:w="100"/>
              <w:left w:type="dxa" w:w="120"/>
              <w:bottom w:type="dxa" w:w="100"/>
              <w:right w:type="dxa" w:w="120"/>
            </w:tcMar>
            <w:vAlign w:val="center"/>
          </w:tcPr>
          <w:p>
            <w:r>
              <w:rPr>
                <w:sz w:val="20"/>
                <w:szCs w:val="20"/>
              </w:rPr>
              <w:t xml:space="preserve">Team / Pod</w:t>
            </w:r>
          </w:p>
        </w:tc>
        <w:tc>
          <w:tcPr>
            <w:tcW w:type="dxa" w:w="6200"/>
            <w:tcMar>
              <w:top w:type="dxa" w:w="100"/>
              <w:left w:type="dxa" w:w="120"/>
              <w:bottom w:type="dxa" w:w="100"/>
              <w:right w:type="dxa" w:w="120"/>
            </w:tcMar>
            <w:vAlign w:val="center"/>
          </w:tcPr>
          <w:p>
            <w:r>
              <w:rPr>
                <w:sz w:val="20"/>
                <w:szCs w:val="20"/>
              </w:rPr>
              <w:t xml:space="preserve">Pod 3</w:t>
            </w:r>
          </w:p>
        </w:tc>
      </w:tr>
      <w:tr>
        <w:tc>
          <w:tcPr>
            <w:tcW w:type="dxa" w:w="3200"/>
            <w:shd w:fill="EAF0F8" w:val="clear"/>
            <w:tcMar>
              <w:top w:type="dxa" w:w="100"/>
              <w:left w:type="dxa" w:w="120"/>
              <w:bottom w:type="dxa" w:w="100"/>
              <w:right w:type="dxa" w:w="120"/>
            </w:tcMar>
            <w:vAlign w:val="center"/>
          </w:tcPr>
          <w:p>
            <w:r>
              <w:rPr>
                <w:sz w:val="20"/>
                <w:szCs w:val="20"/>
              </w:rPr>
              <w:t xml:space="preserve">Document Type</w:t>
            </w:r>
          </w:p>
        </w:tc>
        <w:tc>
          <w:tcPr>
            <w:tcW w:type="dxa" w:w="6200"/>
            <w:shd w:fill="EAF0F8" w:val="clear"/>
            <w:tcMar>
              <w:top w:type="dxa" w:w="100"/>
              <w:left w:type="dxa" w:w="120"/>
              <w:bottom w:type="dxa" w:w="100"/>
              <w:right w:type="dxa" w:w="120"/>
            </w:tcMar>
            <w:vAlign w:val="center"/>
          </w:tcPr>
          <w:p>
            <w:r>
              <w:rPr>
                <w:sz w:val="20"/>
                <w:szCs w:val="20"/>
              </w:rPr>
              <w:t xml:space="preserve">Business Requirements Document (BRD)</w:t>
            </w:r>
          </w:p>
        </w:tc>
      </w:tr>
      <w:tr>
        <w:tc>
          <w:tcPr>
            <w:tcW w:type="dxa" w:w="3200"/>
            <w:tcMar>
              <w:top w:type="dxa" w:w="100"/>
              <w:left w:type="dxa" w:w="120"/>
              <w:bottom w:type="dxa" w:w="100"/>
              <w:right w:type="dxa" w:w="120"/>
            </w:tcMar>
            <w:vAlign w:val="center"/>
          </w:tcPr>
          <w:p>
            <w:r>
              <w:rPr>
                <w:sz w:val="20"/>
                <w:szCs w:val="20"/>
              </w:rPr>
              <w:t xml:space="preserve">Project Phase</w:t>
            </w:r>
          </w:p>
        </w:tc>
        <w:tc>
          <w:tcPr>
            <w:tcW w:type="dxa" w:w="6200"/>
            <w:tcMar>
              <w:top w:type="dxa" w:w="100"/>
              <w:left w:type="dxa" w:w="120"/>
              <w:bottom w:type="dxa" w:w="100"/>
              <w:right w:type="dxa" w:w="120"/>
            </w:tcMar>
            <w:vAlign w:val="center"/>
          </w:tcPr>
          <w:p>
            <w:r>
              <w:rPr>
                <w:sz w:val="20"/>
                <w:szCs w:val="20"/>
              </w:rPr>
              <w:t xml:space="preserve">Proof of Concept (POC) — 4 weeks</w:t>
            </w:r>
          </w:p>
        </w:tc>
      </w:tr>
      <w:tr>
        <w:tc>
          <w:tcPr>
            <w:tcW w:type="dxa" w:w="3200"/>
            <w:shd w:fill="EAF0F8" w:val="clear"/>
            <w:tcMar>
              <w:top w:type="dxa" w:w="100"/>
              <w:left w:type="dxa" w:w="120"/>
              <w:bottom w:type="dxa" w:w="100"/>
              <w:right w:type="dxa" w:w="120"/>
            </w:tcMar>
            <w:vAlign w:val="center"/>
          </w:tcPr>
          <w:p>
            <w:r>
              <w:rPr>
                <w:sz w:val="20"/>
                <w:szCs w:val="20"/>
              </w:rPr>
              <w:t xml:space="preserve">Team Size</w:t>
            </w:r>
          </w:p>
        </w:tc>
        <w:tc>
          <w:tcPr>
            <w:tcW w:type="dxa" w:w="6200"/>
            <w:shd w:fill="EAF0F8" w:val="clear"/>
            <w:tcMar>
              <w:top w:type="dxa" w:w="100"/>
              <w:left w:type="dxa" w:w="120"/>
              <w:bottom w:type="dxa" w:w="100"/>
              <w:right w:type="dxa" w:w="120"/>
            </w:tcMar>
            <w:vAlign w:val="center"/>
          </w:tcPr>
          <w:p>
            <w:r>
              <w:rPr>
                <w:sz w:val="20"/>
                <w:szCs w:val="20"/>
              </w:rPr>
              <w:t xml:space="preserve">5–6 people</w:t>
            </w:r>
          </w:p>
        </w:tc>
      </w:tr>
      <w:tr>
        <w:tc>
          <w:tcPr>
            <w:tcW w:type="dxa" w:w="3200"/>
            <w:tcMar>
              <w:top w:type="dxa" w:w="100"/>
              <w:left w:type="dxa" w:w="120"/>
              <w:bottom w:type="dxa" w:w="100"/>
              <w:right w:type="dxa" w:w="120"/>
            </w:tcMar>
            <w:vAlign w:val="center"/>
          </w:tcPr>
          <w:p>
            <w:r>
              <w:rPr>
                <w:sz w:val="20"/>
                <w:szCs w:val="20"/>
              </w:rPr>
              <w:t xml:space="preserve">Status</w:t>
            </w:r>
          </w:p>
        </w:tc>
        <w:tc>
          <w:tcPr>
            <w:tcW w:type="dxa" w:w="6200"/>
            <w:tcMar>
              <w:top w:type="dxa" w:w="100"/>
              <w:left w:type="dxa" w:w="120"/>
              <w:bottom w:type="dxa" w:w="100"/>
              <w:right w:type="dxa" w:w="120"/>
            </w:tcMar>
            <w:vAlign w:val="center"/>
          </w:tcPr>
          <w:p>
            <w:r>
              <w:rPr>
                <w:sz w:val="20"/>
                <w:szCs w:val="20"/>
              </w:rPr>
              <w:t xml:space="preserve">Draft v1.1 — for review (v1.1 adds module/folder scoping &amp; workspace isolation, §8.1/8.4/9)</w:t>
            </w:r>
          </w:p>
        </w:tc>
      </w:tr>
      <w:tr>
        <w:tc>
          <w:tcPr>
            <w:tcW w:type="dxa" w:w="3200"/>
            <w:shd w:fill="EAF0F8" w:val="clear"/>
            <w:tcMar>
              <w:top w:type="dxa" w:w="100"/>
              <w:left w:type="dxa" w:w="120"/>
              <w:bottom w:type="dxa" w:w="100"/>
              <w:right w:type="dxa" w:w="120"/>
            </w:tcMar>
            <w:vAlign w:val="center"/>
          </w:tcPr>
          <w:p>
            <w:r>
              <w:rPr>
                <w:sz w:val="20"/>
                <w:szCs w:val="20"/>
              </w:rPr>
              <w:t xml:space="preserve">Prepared Date</w:t>
            </w:r>
          </w:p>
        </w:tc>
        <w:tc>
          <w:tcPr>
            <w:tcW w:type="dxa" w:w="6200"/>
            <w:shd w:fill="EAF0F8" w:val="clear"/>
            <w:tcMar>
              <w:top w:type="dxa" w:w="100"/>
              <w:left w:type="dxa" w:w="120"/>
              <w:bottom w:type="dxa" w:w="100"/>
              <w:right w:type="dxa" w:w="120"/>
            </w:tcMar>
            <w:vAlign w:val="center"/>
          </w:tcPr>
          <w:p>
            <w:r>
              <w:rPr>
                <w:sz w:val="20"/>
                <w:szCs w:val="20"/>
              </w:rPr>
              <w:t xml:space="preserve">14 September 2026 (v1.1 revised 16 September 2026)</w:t>
            </w:r>
          </w:p>
        </w:tc>
      </w:tr>
      <w:tr>
        <w:tc>
          <w:tcPr>
            <w:tcW w:type="dxa" w:w="3200"/>
            <w:tcMar>
              <w:top w:type="dxa" w:w="100"/>
              <w:left w:type="dxa" w:w="120"/>
              <w:bottom w:type="dxa" w:w="100"/>
              <w:right w:type="dxa" w:w="120"/>
            </w:tcMar>
            <w:vAlign w:val="center"/>
          </w:tcPr>
          <w:p>
            <w:r>
              <w:rPr>
                <w:sz w:val="20"/>
                <w:szCs w:val="20"/>
              </w:rPr>
              <w:t xml:space="preserve">Classification</w:t>
            </w:r>
          </w:p>
        </w:tc>
        <w:tc>
          <w:tcPr>
            <w:tcW w:type="dxa" w:w="6200"/>
            <w:tcMar>
              <w:top w:type="dxa" w:w="100"/>
              <w:left w:type="dxa" w:w="120"/>
              <w:bottom w:type="dxa" w:w="100"/>
              <w:right w:type="dxa" w:w="120"/>
            </w:tcMar>
            <w:vAlign w:val="center"/>
          </w:tcPr>
          <w:p>
            <w:r>
              <w:rPr>
                <w:sz w:val="20"/>
                <w:szCs w:val="20"/>
              </w:rPr>
              <w:t xml:space="preserve">Internal — draft, pending confirmation of data sensitivity</w:t>
            </w:r>
          </w:p>
        </w:tc>
      </w:tr>
    </w:tbl>
    <w:p>
      <w:pPr>
        <w:spacing w:after="600"/>
      </w:pPr>
    </w:p>
    <w:p>
      <w:pPr>
        <w:jc w:val="center"/>
      </w:pPr>
      <w:r>
        <w:rPr>
          <w:i/>
          <w:iCs/>
          <w:color w:val="595959"/>
          <w:sz w:val="20"/>
          <w:szCs w:val="20"/>
        </w:rPr>
        <w:t xml:space="preserve">This document is the initial source of truth for project scope, requirements, and success criteria. Open items requiring a decision are flagged throughout in Section 15.</w:t>
      </w:r>
    </w:p>
    <w:p>
      <w:pPr>
        <w:sectPr>
          <w:pgSz w:w="12240" w:h="15840" w:orient="portrait"/>
          <w:pgMar w:top="1440" w:right="1440" w:bottom="1440" w:left="1440" w:header="708" w:footer="708" w:gutter="0"/>
          <w:pgNumType/>
          <w:docGrid w:linePitch="360"/>
        </w:sectPr>
      </w:pPr>
    </w:p>
    <w:p>
      <w:pPr>
        <w:pStyle w:val="Heading1"/>
        <w:pBdr>
          <w:bottom w:val="single" w:color="2E5395" w:sz="6" w:space="4"/>
        </w:pBdr>
        <w:spacing w:after="200" w:before="400"/>
      </w:pPr>
      <w:r>
        <w:rPr>
          <w:b/>
          <w:bCs/>
          <w:color w:val="1F3864"/>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395" w:sz="6" w:space="4"/>
        </w:pBdr>
        <w:spacing w:after="200" w:before="400"/>
      </w:pPr>
      <w:r>
        <w:rPr>
          <w:b/>
          <w:bCs/>
          <w:color w:val="1F3864"/>
          <w:sz w:val="28"/>
          <w:szCs w:val="28"/>
        </w:rPr>
        <w:t xml:space="preserve">1. Executive Summary</w:t>
      </w:r>
    </w:p>
    <w:p>
      <w:pPr>
        <w:spacing w:after="160" w:line="276"/>
      </w:pPr>
      <w:r>
        <w:rPr>
          <w:sz w:val="22"/>
          <w:szCs w:val="22"/>
        </w:rPr>
        <w:t xml:space="preserve">Pod 3 is building a proof-of-concept (POC) for a generic document intelligence tool. The tool will let a user upload any set of business documents (contracts, proposals, financial reports, policies, and similar), automatically understand and extract key information from them, and answer questions about them through a chatbot — with answers that are accurate and grounded in the actual documents, not guessed by the AI.</w:t>
      </w:r>
    </w:p>
    <w:p>
      <w:pPr>
        <w:spacing w:after="160" w:line="276"/>
      </w:pPr>
      <w:r>
        <w:rPr>
          <w:sz w:val="22"/>
          <w:szCs w:val="22"/>
        </w:rPr>
        <w:t xml:space="preserve">The single most important goal of this POC is accuracy: the system must minimise “hallucination” (the AI making up information that isn't in the source documents). To achieve this, the solution goes beyond a standard AI search-and-answer approach by also building a knowledge graph — a structured map of entities (people, companies, dates, amounts) and how they relate to each other across documents — to double-check and ground every answer.</w:t>
      </w:r>
    </w:p>
    <w:p>
      <w:pPr>
        <w:spacing w:after="160" w:line="276"/>
      </w:pPr>
      <w:r>
        <w:rPr>
          <w:sz w:val="22"/>
          <w:szCs w:val="22"/>
        </w:rPr>
        <w:t xml:space="preserve">This is a fixed-scope, fixed-timeline POC: 4 weeks, with a team of 5–6 people. Success is measured by two things: (1) proof that the accuracy approach measurably reduces incorrect or unsupported answers, and (2) a working demo that can be shown to leadership to secure approval and funding for a full build.</w:t>
      </w:r>
    </w:p>
    <w:p>
      <w:pPr>
        <w:pStyle w:val="Heading1"/>
        <w:pBdr>
          <w:bottom w:val="single" w:color="2E5395" w:sz="6" w:space="4"/>
        </w:pBdr>
        <w:spacing w:after="200" w:before="400"/>
      </w:pPr>
      <w:r>
        <w:rPr>
          <w:b/>
          <w:bCs/>
          <w:color w:val="1F3864"/>
          <w:sz w:val="28"/>
          <w:szCs w:val="28"/>
        </w:rPr>
        <w:t xml:space="preserve">2. Background and Business Problem</w:t>
      </w:r>
    </w:p>
    <w:p>
      <w:pPr>
        <w:spacing w:after="160" w:line="276"/>
      </w:pPr>
      <w:r>
        <w:rPr>
          <w:sz w:val="22"/>
          <w:szCs w:val="22"/>
        </w:rPr>
        <w:t xml:space="preserve">Business teams regularly work with large numbers of documents — contracts, proposals, reports, policies, and memos — and need to find specific facts, compare documents, or understand obligations buried inside them. Today this is manual: people read through documents individually, and there is no fast, reliable way to ask a question and get a trustworthy, sourced answer across many documents at once.</w:t>
      </w:r>
    </w:p>
    <w:p>
      <w:pPr>
        <w:spacing w:after="160" w:line="276"/>
      </w:pPr>
      <w:r>
        <w:rPr>
          <w:sz w:val="22"/>
          <w:szCs w:val="22"/>
        </w:rPr>
        <w:t xml:space="preserve">General-purpose AI chat tools can summarise or answer questions about a document, but they are prone to two failures that make them unsafe for business use:</w:t>
      </w:r>
    </w:p>
    <w:p>
      <w:pPr>
        <w:pStyle w:val="ListParagraph"/>
        <w:numPr>
          <w:ilvl w:val="0"/>
          <w:numId w:val="2"/>
        </w:numPr>
        <w:spacing w:after="80" w:line="270"/>
      </w:pPr>
      <w:r>
        <w:rPr>
          <w:sz w:val="22"/>
          <w:szCs w:val="22"/>
        </w:rPr>
        <w:t xml:space="preserve">Hallucination — the AI states something confidently that is not actually in the source document.</w:t>
      </w:r>
    </w:p>
    <w:p>
      <w:pPr>
        <w:pStyle w:val="ListParagraph"/>
        <w:numPr>
          <w:ilvl w:val="0"/>
          <w:numId w:val="2"/>
        </w:numPr>
        <w:spacing w:after="80" w:line="270"/>
      </w:pPr>
      <w:r>
        <w:rPr>
          <w:sz w:val="22"/>
          <w:szCs w:val="22"/>
        </w:rPr>
        <w:t xml:space="preserve">Lost context across documents — when multiple related documents exist (e.g. an original contract and an amendment), the AI may mix up facts or miss which version applies.</w:t>
      </w:r>
    </w:p>
    <w:p>
      <w:pPr>
        <w:spacing w:after="160" w:line="276"/>
      </w:pPr>
      <w:r>
        <w:rPr>
          <w:sz w:val="22"/>
          <w:szCs w:val="22"/>
        </w:rPr>
        <w:t xml:space="preserve">Pod 3 exists to solve this specific problem: build a tool that treats accuracy as the top priority, with speed and breadth of features as secondary goals for this phase.</w:t>
      </w:r>
    </w:p>
    <w:p>
      <w:pPr>
        <w:pStyle w:val="Heading1"/>
        <w:pBdr>
          <w:bottom w:val="single" w:color="2E5395" w:sz="6" w:space="4"/>
        </w:pBdr>
        <w:spacing w:after="200" w:before="400"/>
      </w:pPr>
      <w:r>
        <w:rPr>
          <w:b/>
          <w:bCs/>
          <w:color w:val="1F3864"/>
          <w:sz w:val="28"/>
          <w:szCs w:val="28"/>
        </w:rPr>
        <w:t xml:space="preserve">3. Project Objectives</w:t>
      </w:r>
    </w:p>
    <w:p>
      <w:pPr>
        <w:spacing w:after="160" w:line="276"/>
      </w:pPr>
      <w:r>
        <w:rPr>
          <w:sz w:val="22"/>
          <w:szCs w:val="22"/>
        </w:rPr>
        <w:t xml:space="preserve">The POC has one primary objective and several supporting objectives:</w:t>
      </w:r>
    </w:p>
    <w:p>
      <w:pPr>
        <w:spacing w:after="100" w:before="200"/>
      </w:pPr>
      <w:r>
        <w:rPr>
          <w:b/>
          <w:bCs/>
          <w:color w:val="595959"/>
          <w:sz w:val="22"/>
          <w:szCs w:val="22"/>
        </w:rPr>
        <w:t xml:space="preserve">Primary objective</w:t>
      </w:r>
    </w:p>
    <w:p>
      <w:pPr>
        <w:pStyle w:val="ListParagraph"/>
        <w:numPr>
          <w:ilvl w:val="0"/>
          <w:numId w:val="2"/>
        </w:numPr>
        <w:spacing w:after="80" w:line="270"/>
      </w:pPr>
      <w:r>
        <w:rPr>
          <w:sz w:val="22"/>
          <w:szCs w:val="22"/>
        </w:rPr>
        <w:t xml:space="preserve">Prove that combining structured knowledge extraction (a knowledge graph) with standard AI retrieval produces materially more accurate, better-grounded answers than a standard AI search-and-answer approach alone.</w:t>
      </w:r>
    </w:p>
    <w:p>
      <w:pPr>
        <w:spacing w:after="100" w:before="200"/>
      </w:pPr>
      <w:r>
        <w:rPr>
          <w:b/>
          <w:bCs/>
          <w:color w:val="595959"/>
          <w:sz w:val="22"/>
          <w:szCs w:val="22"/>
        </w:rPr>
        <w:t xml:space="preserve">Supporting objectives</w:t>
      </w:r>
    </w:p>
    <w:p>
      <w:pPr>
        <w:pStyle w:val="ListParagraph"/>
        <w:numPr>
          <w:ilvl w:val="0"/>
          <w:numId w:val="2"/>
        </w:numPr>
        <w:spacing w:after="80" w:line="270"/>
      </w:pPr>
      <w:r>
        <w:rPr>
          <w:sz w:val="22"/>
          <w:szCs w:val="22"/>
        </w:rPr>
        <w:t xml:space="preserve">Allow a user to upload a mixed set of documents (PDF/DOCX) without needing to say in advance what type of document it is.</w:t>
      </w:r>
    </w:p>
    <w:p>
      <w:pPr>
        <w:pStyle w:val="ListParagraph"/>
        <w:numPr>
          <w:ilvl w:val="0"/>
          <w:numId w:val="2"/>
        </w:numPr>
        <w:spacing w:after="80" w:line="270"/>
      </w:pPr>
      <w:r>
        <w:rPr>
          <w:sz w:val="22"/>
          <w:szCs w:val="22"/>
        </w:rPr>
        <w:t xml:space="preserve">Automatically identify the document type and extract key facts (dates, amounts, people, companies, obligations, etc.) without a person having to build a template first.</w:t>
      </w:r>
    </w:p>
    <w:p>
      <w:pPr>
        <w:pStyle w:val="ListParagraph"/>
        <w:numPr>
          <w:ilvl w:val="0"/>
          <w:numId w:val="2"/>
        </w:numPr>
        <w:spacing w:after="80" w:line="270"/>
      </w:pPr>
      <w:r>
        <w:rPr>
          <w:sz w:val="22"/>
          <w:szCs w:val="22"/>
        </w:rPr>
        <w:t xml:space="preserve">Let a user ask questions in plain language across one, several, or all uploaded documents and get an answer with a clear reference back to the exact document and location it came from.</w:t>
      </w:r>
    </w:p>
    <w:p>
      <w:pPr>
        <w:pStyle w:val="ListParagraph"/>
        <w:numPr>
          <w:ilvl w:val="0"/>
          <w:numId w:val="2"/>
        </w:numPr>
        <w:spacing w:after="80" w:line="270"/>
      </w:pPr>
      <w:r>
        <w:rPr>
          <w:sz w:val="22"/>
          <w:szCs w:val="22"/>
        </w:rPr>
        <w:t xml:space="preserve">Produce a working, demo-ready system and a clear, data-backed accuracy result within 4 weeks, to support a go/no-go funding decision for a full build.</w:t>
      </w:r>
    </w:p>
    <w:p>
      <w:pPr>
        <w:pStyle w:val="Heading1"/>
        <w:pBdr>
          <w:bottom w:val="single" w:color="2E5395" w:sz="6" w:space="4"/>
        </w:pBdr>
        <w:spacing w:after="200" w:before="400"/>
      </w:pPr>
      <w:r>
        <w:rPr>
          <w:b/>
          <w:bCs/>
          <w:color w:val="1F3864"/>
          <w:sz w:val="28"/>
          <w:szCs w:val="28"/>
        </w:rPr>
        <w:t xml:space="preserve">4. Success Criteria (POC Exit Criteria)</w:t>
      </w:r>
    </w:p>
    <w:p>
      <w:pPr>
        <w:spacing w:after="160" w:line="276"/>
      </w:pPr>
      <w:r>
        <w:rPr>
          <w:sz w:val="22"/>
          <w:szCs w:val="22"/>
        </w:rPr>
        <w:t xml:space="preserve">This POC is considered successful only if both of the following are true at the end of the 4 weeks: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500"/>
      </w:tblGrid>
      <w:tr>
        <w:trPr>
          <w:tblHeader/>
        </w:trPr>
        <w:tc>
          <w:tcPr>
            <w:tcW w:type="dxa" w:w="1700"/>
            <w:shd w:fill="1F3864" w:val="clear"/>
            <w:tcMar>
              <w:top w:type="dxa" w:w="100"/>
              <w:left w:type="dxa" w:w="120"/>
              <w:bottom w:type="dxa" w:w="100"/>
              <w:right w:type="dxa" w:w="120"/>
            </w:tcMar>
            <w:vAlign w:val="center"/>
          </w:tcPr>
          <w:p>
            <w:r>
              <w:rPr>
                <w:b/>
                <w:bCs/>
                <w:color w:val="FFFFFF"/>
                <w:sz w:val="20"/>
                <w:szCs w:val="20"/>
              </w:rPr>
              <w:t xml:space="preserve">#</w:t>
            </w:r>
          </w:p>
        </w:tc>
        <w:tc>
          <w:tcPr>
            <w:tcW w:type="dxa" w:w="4200"/>
            <w:shd w:fill="1F3864" w:val="clear"/>
            <w:tcMar>
              <w:top w:type="dxa" w:w="100"/>
              <w:left w:type="dxa" w:w="120"/>
              <w:bottom w:type="dxa" w:w="100"/>
              <w:right w:type="dxa" w:w="120"/>
            </w:tcMar>
            <w:vAlign w:val="center"/>
          </w:tcPr>
          <w:p>
            <w:r>
              <w:rPr>
                <w:b/>
                <w:bCs/>
                <w:color w:val="FFFFFF"/>
                <w:sz w:val="20"/>
                <w:szCs w:val="20"/>
              </w:rPr>
              <w:t xml:space="preserve">Criterion</w:t>
            </w:r>
          </w:p>
        </w:tc>
        <w:tc>
          <w:tcPr>
            <w:tcW w:type="dxa" w:w="3500"/>
            <w:shd w:fill="1F3864" w:val="clear"/>
            <w:tcMar>
              <w:top w:type="dxa" w:w="100"/>
              <w:left w:type="dxa" w:w="120"/>
              <w:bottom w:type="dxa" w:w="100"/>
              <w:right w:type="dxa" w:w="120"/>
            </w:tcMar>
            <w:vAlign w:val="center"/>
          </w:tcPr>
          <w:p>
            <w:r>
              <w:rPr>
                <w:b/>
                <w:bCs/>
                <w:color w:val="FFFFFF"/>
                <w:sz w:val="20"/>
                <w:szCs w:val="20"/>
              </w:rPr>
              <w:t xml:space="preserve">How it's measured</w:t>
            </w:r>
          </w:p>
        </w:tc>
      </w:tr>
      <w:tr>
        <w:tc>
          <w:tcPr>
            <w:tcW w:type="dxa" w:w="1700"/>
            <w:tcMar>
              <w:top w:type="dxa" w:w="100"/>
              <w:left w:type="dxa" w:w="120"/>
              <w:bottom w:type="dxa" w:w="100"/>
              <w:right w:type="dxa" w:w="120"/>
            </w:tcMar>
            <w:vAlign w:val="center"/>
          </w:tcPr>
          <w:p>
            <w:r>
              <w:rPr>
                <w:sz w:val="20"/>
                <w:szCs w:val="20"/>
              </w:rPr>
              <w:t xml:space="preserve">1</w:t>
            </w:r>
          </w:p>
        </w:tc>
        <w:tc>
          <w:tcPr>
            <w:tcW w:type="dxa" w:w="4200"/>
            <w:tcMar>
              <w:top w:type="dxa" w:w="100"/>
              <w:left w:type="dxa" w:w="120"/>
              <w:bottom w:type="dxa" w:w="100"/>
              <w:right w:type="dxa" w:w="120"/>
            </w:tcMar>
            <w:vAlign w:val="center"/>
          </w:tcPr>
          <w:p>
            <w:r>
              <w:rPr>
                <w:sz w:val="20"/>
                <w:szCs w:val="20"/>
              </w:rPr>
              <w:t xml:space="preserve">Accuracy proof: measured improvement in answer accuracy / reduction in unsupported (“hallucinated”) answers when using the knowledge-graph-assisted approach, versus a plain retrieval-only baseline, on a test set of representative documents and questions.</w:t>
            </w:r>
          </w:p>
        </w:tc>
        <w:tc>
          <w:tcPr>
            <w:tcW w:type="dxa" w:w="3500"/>
            <w:tcMar>
              <w:top w:type="dxa" w:w="100"/>
              <w:left w:type="dxa" w:w="120"/>
              <w:bottom w:type="dxa" w:w="100"/>
              <w:right w:type="dxa" w:w="120"/>
            </w:tcMar>
            <w:vAlign w:val="center"/>
          </w:tcPr>
          <w:p>
            <w:r>
              <w:rPr>
                <w:sz w:val="20"/>
                <w:szCs w:val="20"/>
              </w:rPr>
              <w:t xml:space="preserve">Quantitative — tested on an agreed evaluation set (see Section 11)</w:t>
            </w:r>
          </w:p>
        </w:tc>
      </w:tr>
      <w:tr>
        <w:tc>
          <w:tcPr>
            <w:tcW w:type="dxa" w:w="1700"/>
            <w:shd w:fill="EAF0F8" w:val="clear"/>
            <w:tcMar>
              <w:top w:type="dxa" w:w="100"/>
              <w:left w:type="dxa" w:w="120"/>
              <w:bottom w:type="dxa" w:w="100"/>
              <w:right w:type="dxa" w:w="120"/>
            </w:tcMar>
            <w:vAlign w:val="center"/>
          </w:tcPr>
          <w:p>
            <w:r>
              <w:rPr>
                <w:sz w:val="20"/>
                <w:szCs w:val="20"/>
              </w:rPr>
              <w:t xml:space="preserve">2</w:t>
            </w:r>
          </w:p>
        </w:tc>
        <w:tc>
          <w:tcPr>
            <w:tcW w:type="dxa" w:w="4200"/>
            <w:shd w:fill="EAF0F8" w:val="clear"/>
            <w:tcMar>
              <w:top w:type="dxa" w:w="100"/>
              <w:left w:type="dxa" w:w="120"/>
              <w:bottom w:type="dxa" w:w="100"/>
              <w:right w:type="dxa" w:w="120"/>
            </w:tcMar>
            <w:vAlign w:val="center"/>
          </w:tcPr>
          <w:p>
            <w:r>
              <w:rPr>
                <w:sz w:val="20"/>
                <w:szCs w:val="20"/>
              </w:rPr>
              <w:t xml:space="preserve">Working demo: a live, end-to-end walkthrough — upload documents, see extracted information, ask questions, get sourced answers — that can be shown to leadership.</w:t>
            </w:r>
          </w:p>
        </w:tc>
        <w:tc>
          <w:tcPr>
            <w:tcW w:type="dxa" w:w="3500"/>
            <w:shd w:fill="EAF0F8" w:val="clear"/>
            <w:tcMar>
              <w:top w:type="dxa" w:w="100"/>
              <w:left w:type="dxa" w:w="120"/>
              <w:bottom w:type="dxa" w:w="100"/>
              <w:right w:type="dxa" w:w="120"/>
            </w:tcMar>
            <w:vAlign w:val="center"/>
          </w:tcPr>
          <w:p>
            <w:r>
              <w:rPr>
                <w:sz w:val="20"/>
                <w:szCs w:val="20"/>
              </w:rPr>
              <w:t xml:space="preserve">Qualitative — live demo session</w:t>
            </w:r>
          </w:p>
        </w:tc>
      </w:tr>
    </w:tbl>
    <w:p>
      <w:pPr>
        <w:spacing w:after="200"/>
      </w:pPr>
    </w:p>
    <w:p>
      <w:pPr>
        <w:spacing w:after="160" w:line="276"/>
      </w:pPr>
      <w:r>
        <w:rPr>
          <w:sz w:val="22"/>
          <w:szCs w:val="22"/>
        </w:rPr>
        <w:t xml:space="preserve">Both are required. A polished demo with unproven accuracy is not sufficient, and a strong accuracy number with no usable demo is not sufficient either — the whole point of the POC is to prove the idea works and is worth investing in further.</w:t>
      </w:r>
    </w:p>
    <w:p>
      <w:pPr>
        <w:pStyle w:val="Heading1"/>
        <w:pBdr>
          <w:bottom w:val="single" w:color="2E5395" w:sz="6" w:space="4"/>
        </w:pBdr>
        <w:spacing w:after="200" w:before="400"/>
      </w:pPr>
      <w:r>
        <w:rPr>
          <w:b/>
          <w:bCs/>
          <w:color w:val="1F3864"/>
          <w:sz w:val="28"/>
          <w:szCs w:val="28"/>
        </w:rPr>
        <w:t xml:space="preserve">5. Scope</w:t>
      </w:r>
    </w:p>
    <w:p>
      <w:pPr>
        <w:pStyle w:val="Heading2"/>
        <w:spacing w:after="120" w:before="300"/>
      </w:pPr>
      <w:r>
        <w:rPr>
          <w:b/>
          <w:bCs/>
          <w:color w:val="2E5395"/>
          <w:sz w:val="24"/>
          <w:szCs w:val="24"/>
        </w:rPr>
        <w:t xml:space="preserve">5.1 In Scope for this POC</w:t>
      </w:r>
    </w:p>
    <w:p>
      <w:pPr>
        <w:pStyle w:val="ListParagraph"/>
        <w:numPr>
          <w:ilvl w:val="0"/>
          <w:numId w:val="2"/>
        </w:numPr>
        <w:spacing w:after="80" w:line="270"/>
      </w:pPr>
      <w:r>
        <w:rPr>
          <w:sz w:val="22"/>
          <w:szCs w:val="22"/>
        </w:rPr>
        <w:t xml:space="preserve">Upload of multiple PDF and DOCX documents into a workspace, including uploading a whole folder at once with automatic module (sub-group) organisation.</w:t>
      </w:r>
    </w:p>
    <w:p>
      <w:pPr>
        <w:pStyle w:val="ListParagraph"/>
        <w:numPr>
          <w:ilvl w:val="0"/>
          <w:numId w:val="2"/>
        </w:numPr>
        <w:spacing w:after="80" w:line="270"/>
      </w:pPr>
      <w:r>
        <w:rPr>
          <w:sz w:val="22"/>
          <w:szCs w:val="22"/>
        </w:rPr>
        <w:t xml:space="preserve">Automatic document classification (what type of document this is).</w:t>
      </w:r>
    </w:p>
    <w:p>
      <w:pPr>
        <w:pStyle w:val="ListParagraph"/>
        <w:numPr>
          <w:ilvl w:val="0"/>
          <w:numId w:val="2"/>
        </w:numPr>
        <w:spacing w:after="80" w:line="270"/>
      </w:pPr>
      <w:r>
        <w:rPr>
          <w:sz w:val="22"/>
          <w:szCs w:val="22"/>
        </w:rPr>
        <w:t xml:space="preserve">Automatic extraction of a short overview, summary, and key fields (dates, amounts, people, organisations, obligations, and other important facts) — without requiring a pre-built template for every document type.</w:t>
      </w:r>
    </w:p>
    <w:p>
      <w:pPr>
        <w:pStyle w:val="ListParagraph"/>
        <w:numPr>
          <w:ilvl w:val="0"/>
          <w:numId w:val="2"/>
        </w:numPr>
        <w:spacing w:after="80" w:line="270"/>
      </w:pPr>
      <w:r>
        <w:rPr>
          <w:sz w:val="22"/>
          <w:szCs w:val="22"/>
        </w:rPr>
        <w:t xml:space="preserve">Construction of a lightweight knowledge graph from the extracted information (entities and the relationships between them, within and across documents in the same workspace — never across workspaces).</w:t>
      </w:r>
    </w:p>
    <w:p>
      <w:pPr>
        <w:pStyle w:val="ListParagraph"/>
        <w:numPr>
          <w:ilvl w:val="0"/>
          <w:numId w:val="2"/>
        </w:numPr>
        <w:spacing w:after="80" w:line="270"/>
      </w:pPr>
      <w:r>
        <w:rPr>
          <w:sz w:val="22"/>
          <w:szCs w:val="22"/>
        </w:rPr>
        <w:t xml:space="preserve">A chatbot that answers questions using both the original document text and the knowledge graph, scoped to a workspace, a module, or specific document(s), and that clearly cites the document, page, and section an answer came from.</w:t>
      </w:r>
    </w:p>
    <w:p>
      <w:pPr>
        <w:pStyle w:val="ListParagraph"/>
        <w:numPr>
          <w:ilvl w:val="0"/>
          <w:numId w:val="2"/>
        </w:numPr>
        <w:spacing w:after="80" w:line="270"/>
      </w:pPr>
      <w:r>
        <w:rPr>
          <w:sz w:val="22"/>
          <w:szCs w:val="22"/>
        </w:rPr>
        <w:t xml:space="preserve">A basic evaluation process: a test set of sample documents and questions, with a comparison between “standard retrieval only” and “retrieval plus knowledge graph” accuracy.</w:t>
      </w:r>
    </w:p>
    <w:p>
      <w:pPr>
        <w:pStyle w:val="ListParagraph"/>
        <w:numPr>
          <w:ilvl w:val="0"/>
          <w:numId w:val="2"/>
        </w:numPr>
        <w:spacing w:after="80" w:line="270"/>
      </w:pPr>
      <w:r>
        <w:rPr>
          <w:sz w:val="22"/>
          <w:szCs w:val="22"/>
        </w:rPr>
        <w:t xml:space="preserve">A simple, functional user interface sufficient to run the demo — upload, view extracted information, and chat. Visual polish is not a priority.</w:t>
      </w:r>
    </w:p>
    <w:p>
      <w:pPr>
        <w:pStyle w:val="Heading2"/>
        <w:spacing w:after="120" w:before="300"/>
      </w:pPr>
      <w:r>
        <w:rPr>
          <w:b/>
          <w:bCs/>
          <w:color w:val="2E5395"/>
          <w:sz w:val="24"/>
          <w:szCs w:val="24"/>
        </w:rPr>
        <w:t xml:space="preserve">5.2 Out of Scope for this POC (may be considered in a later phase)</w:t>
      </w:r>
    </w:p>
    <w:p>
      <w:pPr>
        <w:pStyle w:val="ListParagraph"/>
        <w:numPr>
          <w:ilvl w:val="0"/>
          <w:numId w:val="2"/>
        </w:numPr>
        <w:spacing w:after="80" w:line="270"/>
      </w:pPr>
      <w:r>
        <w:rPr>
          <w:sz w:val="22"/>
          <w:szCs w:val="22"/>
        </w:rPr>
        <w:t xml:space="preserve">Multi-tenant, client-facing product features (billing, external sharing, client admin controls).</w:t>
      </w:r>
    </w:p>
    <w:p>
      <w:pPr>
        <w:pStyle w:val="ListParagraph"/>
        <w:numPr>
          <w:ilvl w:val="0"/>
          <w:numId w:val="2"/>
        </w:numPr>
        <w:spacing w:after="80" w:line="270"/>
      </w:pPr>
      <w:r>
        <w:rPr>
          <w:sz w:val="22"/>
          <w:szCs w:val="22"/>
        </w:rPr>
        <w:t xml:space="preserve">Enterprise authentication/SSO integration (a simple login is sufficient for the POC).</w:t>
      </w:r>
    </w:p>
    <w:p>
      <w:pPr>
        <w:pStyle w:val="ListParagraph"/>
        <w:numPr>
          <w:ilvl w:val="0"/>
          <w:numId w:val="2"/>
        </w:numPr>
        <w:spacing w:after="80" w:line="270"/>
      </w:pPr>
      <w:r>
        <w:rPr>
          <w:sz w:val="22"/>
          <w:szCs w:val="22"/>
        </w:rPr>
        <w:t xml:space="preserve">Formal security certification, penetration testing, or compliance audit.</w:t>
      </w:r>
    </w:p>
    <w:p>
      <w:pPr>
        <w:pStyle w:val="ListParagraph"/>
        <w:numPr>
          <w:ilvl w:val="0"/>
          <w:numId w:val="2"/>
        </w:numPr>
        <w:spacing w:after="80" w:line="270"/>
      </w:pPr>
      <w:r>
        <w:rPr>
          <w:sz w:val="22"/>
          <w:szCs w:val="22"/>
        </w:rPr>
        <w:t xml:space="preserve">Support for file types other than PDF and DOCX (e.g. Excel, PowerPoint, images, scanned handwriting, audio/video).</w:t>
      </w:r>
    </w:p>
    <w:p>
      <w:pPr>
        <w:pStyle w:val="ListParagraph"/>
        <w:numPr>
          <w:ilvl w:val="0"/>
          <w:numId w:val="2"/>
        </w:numPr>
        <w:spacing w:after="80" w:line="270"/>
      </w:pPr>
      <w:r>
        <w:rPr>
          <w:sz w:val="22"/>
          <w:szCs w:val="22"/>
        </w:rPr>
        <w:t xml:space="preserve">Production-scale performance, high availability, or disaster recovery.</w:t>
      </w:r>
    </w:p>
    <w:p>
      <w:pPr>
        <w:pStyle w:val="ListParagraph"/>
        <w:numPr>
          <w:ilvl w:val="0"/>
          <w:numId w:val="2"/>
        </w:numPr>
        <w:spacing w:after="80" w:line="270"/>
      </w:pPr>
      <w:r>
        <w:rPr>
          <w:sz w:val="22"/>
          <w:szCs w:val="22"/>
        </w:rPr>
        <w:t xml:space="preserve">A fully editable, user-managed knowledge graph (for the POC, the graph is system-generated and viewed, not manually edited).</w:t>
      </w:r>
    </w:p>
    <w:p>
      <w:pPr>
        <w:pStyle w:val="ListParagraph"/>
        <w:numPr>
          <w:ilvl w:val="0"/>
          <w:numId w:val="2"/>
        </w:numPr>
        <w:spacing w:after="80" w:line="270"/>
      </w:pPr>
      <w:r>
        <w:rPr>
          <w:sz w:val="22"/>
          <w:szCs w:val="22"/>
        </w:rPr>
        <w:t xml:space="preserve">Mobile application.</w:t>
      </w:r>
    </w:p>
    <w:p>
      <w:pPr>
        <w:pStyle w:val="ListParagraph"/>
        <w:numPr>
          <w:ilvl w:val="0"/>
          <w:numId w:val="2"/>
        </w:numPr>
        <w:spacing w:after="80" w:line="270"/>
      </w:pPr>
      <w:r>
        <w:rPr>
          <w:sz w:val="22"/>
          <w:szCs w:val="22"/>
        </w:rPr>
        <w:t xml:space="preserve">Integrations with external systems (SharePoint, Google Drive, CRM, etc.).</w:t>
      </w:r>
    </w:p>
    <w:p>
      <w:pPr>
        <w:spacing w:after="160" w:line="276"/>
      </w:pPr>
      <w:r>
        <w:rPr>
          <w:sz w:val="22"/>
          <w:szCs w:val="22"/>
        </w:rPr>
        <w:t xml:space="preserve">Note: several of these were discussed as a longer-term vision in earlier project conversations. They remain good future-phase ideas but are deliberately excluded here to protect the fixed 4-week timeline.</w:t>
      </w:r>
    </w:p>
    <w:p>
      <w:pPr>
        <w:pStyle w:val="Heading1"/>
        <w:pBdr>
          <w:bottom w:val="single" w:color="2E5395" w:sz="6" w:space="4"/>
        </w:pBdr>
        <w:spacing w:after="200" w:before="400"/>
      </w:pPr>
      <w:r>
        <w:rPr>
          <w:b/>
          <w:bCs/>
          <w:color w:val="1F3864"/>
          <w:sz w:val="28"/>
          <w:szCs w:val="28"/>
        </w:rPr>
        <w:t xml:space="preserve">6. Target Users</w:t>
      </w:r>
    </w:p>
    <w:p>
      <w:pPr>
        <w:spacing w:after="160" w:line="276"/>
      </w:pPr>
      <w:r>
        <w:rPr>
          <w:sz w:val="22"/>
          <w:szCs w:val="22"/>
        </w:rPr>
        <w:t xml:space="preserve">For this POC, the target users are internal business users generally — no single department has been designated as the first user group. The tool should therefore be tested with a mixed sample of document types (e.g. a contract, a proposal, a financial report, a policy document) rather than deeply tailored to one team's workflow.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3864" w:val="clear"/>
            <w:tcMar>
              <w:top w:type="dxa" w:w="100"/>
              <w:left w:type="dxa" w:w="120"/>
              <w:bottom w:type="dxa" w:w="100"/>
              <w:right w:type="dxa" w:w="120"/>
            </w:tcMar>
            <w:vAlign w:val="center"/>
          </w:tcPr>
          <w:p>
            <w:r>
              <w:rPr>
                <w:b/>
                <w:bCs/>
                <w:color w:val="FFFFFF"/>
                <w:sz w:val="20"/>
                <w:szCs w:val="20"/>
              </w:rPr>
              <w:t xml:space="preserve">User type</w:t>
            </w:r>
          </w:p>
        </w:tc>
        <w:tc>
          <w:tcPr>
            <w:tcW w:type="dxa" w:w="6600"/>
            <w:shd w:fill="1F3864"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800"/>
            <w:tcMar>
              <w:top w:type="dxa" w:w="100"/>
              <w:left w:type="dxa" w:w="120"/>
              <w:bottom w:type="dxa" w:w="100"/>
              <w:right w:type="dxa" w:w="120"/>
            </w:tcMar>
            <w:vAlign w:val="center"/>
          </w:tcPr>
          <w:p>
            <w:r>
              <w:rPr>
                <w:sz w:val="20"/>
                <w:szCs w:val="20"/>
              </w:rPr>
              <w:t xml:space="preserve">Primary user (POC)</w:t>
            </w:r>
          </w:p>
        </w:tc>
        <w:tc>
          <w:tcPr>
            <w:tcW w:type="dxa" w:w="6600"/>
            <w:tcMar>
              <w:top w:type="dxa" w:w="100"/>
              <w:left w:type="dxa" w:w="120"/>
              <w:bottom w:type="dxa" w:w="100"/>
              <w:right w:type="dxa" w:w="120"/>
            </w:tcMar>
            <w:vAlign w:val="center"/>
          </w:tcPr>
          <w:p>
            <w:r>
              <w:rPr>
                <w:sz w:val="20"/>
                <w:szCs w:val="20"/>
              </w:rPr>
              <w:t xml:space="preserve">Any internal business user who needs to extract information from, or ask questions about, a set of documents.</w:t>
            </w:r>
          </w:p>
        </w:tc>
      </w:tr>
      <w:tr>
        <w:tc>
          <w:tcPr>
            <w:tcW w:type="dxa" w:w="2800"/>
            <w:shd w:fill="EAF0F8" w:val="clear"/>
            <w:tcMar>
              <w:top w:type="dxa" w:w="100"/>
              <w:left w:type="dxa" w:w="120"/>
              <w:bottom w:type="dxa" w:w="100"/>
              <w:right w:type="dxa" w:w="120"/>
            </w:tcMar>
            <w:vAlign w:val="center"/>
          </w:tcPr>
          <w:p>
            <w:r>
              <w:rPr>
                <w:sz w:val="20"/>
                <w:szCs w:val="20"/>
              </w:rPr>
              <w:t xml:space="preserve">Demo audience</w:t>
            </w:r>
          </w:p>
        </w:tc>
        <w:tc>
          <w:tcPr>
            <w:tcW w:type="dxa" w:w="6600"/>
            <w:shd w:fill="EAF0F8" w:val="clear"/>
            <w:tcMar>
              <w:top w:type="dxa" w:w="100"/>
              <w:left w:type="dxa" w:w="120"/>
              <w:bottom w:type="dxa" w:w="100"/>
              <w:right w:type="dxa" w:w="120"/>
            </w:tcMar>
            <w:vAlign w:val="center"/>
          </w:tcPr>
          <w:p>
            <w:r>
              <w:rPr>
                <w:sz w:val="20"/>
                <w:szCs w:val="20"/>
              </w:rPr>
              <w:t xml:space="preserve">Leadership / sponsors deciding whether to fund a full build.</w:t>
            </w:r>
          </w:p>
        </w:tc>
      </w:tr>
      <w:tr>
        <w:tc>
          <w:tcPr>
            <w:tcW w:type="dxa" w:w="2800"/>
            <w:tcMar>
              <w:top w:type="dxa" w:w="100"/>
              <w:left w:type="dxa" w:w="120"/>
              <w:bottom w:type="dxa" w:w="100"/>
              <w:right w:type="dxa" w:w="120"/>
            </w:tcMar>
            <w:vAlign w:val="center"/>
          </w:tcPr>
          <w:p>
            <w:r>
              <w:rPr>
                <w:sz w:val="20"/>
                <w:szCs w:val="20"/>
              </w:rPr>
              <w:t xml:space="preserve">Not yet defined</w:t>
            </w:r>
          </w:p>
        </w:tc>
        <w:tc>
          <w:tcPr>
            <w:tcW w:type="dxa" w:w="6600"/>
            <w:tcMar>
              <w:top w:type="dxa" w:w="100"/>
              <w:left w:type="dxa" w:w="120"/>
              <w:bottom w:type="dxa" w:w="100"/>
              <w:right w:type="dxa" w:w="120"/>
            </w:tcMar>
            <w:vAlign w:val="center"/>
          </w:tcPr>
          <w:p>
            <w:r>
              <w:rPr>
                <w:sz w:val="20"/>
                <w:szCs w:val="20"/>
              </w:rPr>
              <w:t xml:space="preserve">Which specific department becomes the primary user for a production version — to be decided after the POC, potentially informed by which document types perform best.</w:t>
            </w:r>
          </w:p>
        </w:tc>
      </w:tr>
    </w:tbl>
    <w:p>
      <w:pPr>
        <w:pStyle w:val="Heading1"/>
        <w:pBdr>
          <w:bottom w:val="single" w:color="2E5395" w:sz="6" w:space="4"/>
        </w:pBdr>
        <w:spacing w:after="200" w:before="400"/>
      </w:pPr>
      <w:r>
        <w:rPr>
          <w:b/>
          <w:bCs/>
          <w:color w:val="1F3864"/>
          <w:sz w:val="28"/>
          <w:szCs w:val="28"/>
        </w:rPr>
        <w:t xml:space="preserve">7. Stakeholders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0"/>
      </w:tblGrid>
      <w:tr>
        <w:trPr>
          <w:tblHeader/>
        </w:trPr>
        <w:tc>
          <w:tcPr>
            <w:tcW w:type="dxa" w:w="3200"/>
            <w:shd w:fill="1F3864" w:val="clear"/>
            <w:tcMar>
              <w:top w:type="dxa" w:w="100"/>
              <w:left w:type="dxa" w:w="120"/>
              <w:bottom w:type="dxa" w:w="100"/>
              <w:right w:type="dxa" w:w="120"/>
            </w:tcMar>
            <w:vAlign w:val="center"/>
          </w:tcPr>
          <w:p>
            <w:r>
              <w:rPr>
                <w:b/>
                <w:bCs/>
                <w:color w:val="FFFFFF"/>
                <w:sz w:val="20"/>
                <w:szCs w:val="20"/>
              </w:rPr>
              <w:t xml:space="preserve">Stakeholder</w:t>
            </w:r>
          </w:p>
        </w:tc>
        <w:tc>
          <w:tcPr>
            <w:tcW w:type="dxa" w:w="3200"/>
            <w:shd w:fill="1F3864" w:val="clear"/>
            <w:tcMar>
              <w:top w:type="dxa" w:w="100"/>
              <w:left w:type="dxa" w:w="120"/>
              <w:bottom w:type="dxa" w:w="100"/>
              <w:right w:type="dxa" w:w="120"/>
            </w:tcMar>
            <w:vAlign w:val="center"/>
          </w:tcPr>
          <w:p>
            <w:r>
              <w:rPr>
                <w:b/>
                <w:bCs/>
                <w:color w:val="FFFFFF"/>
                <w:sz w:val="20"/>
                <w:szCs w:val="20"/>
              </w:rPr>
              <w:t xml:space="preserve">Role</w:t>
            </w:r>
          </w:p>
        </w:tc>
        <w:tc>
          <w:tcPr>
            <w:tcW w:type="dxa" w:w="3000"/>
            <w:shd w:fill="1F3864" w:val="clear"/>
            <w:tcMar>
              <w:top w:type="dxa" w:w="100"/>
              <w:left w:type="dxa" w:w="120"/>
              <w:bottom w:type="dxa" w:w="100"/>
              <w:right w:type="dxa" w:w="120"/>
            </w:tcMar>
            <w:vAlign w:val="center"/>
          </w:tcPr>
          <w:p>
            <w:r>
              <w:rPr>
                <w:b/>
                <w:bCs/>
                <w:color w:val="FFFFFF"/>
                <w:sz w:val="20"/>
                <w:szCs w:val="20"/>
              </w:rPr>
              <w:t xml:space="preserve">Notes</w:t>
            </w:r>
          </w:p>
        </w:tc>
      </w:tr>
      <w:tr>
        <w:tc>
          <w:tcPr>
            <w:tcW w:type="dxa" w:w="3200"/>
            <w:tcMar>
              <w:top w:type="dxa" w:w="100"/>
              <w:left w:type="dxa" w:w="120"/>
              <w:bottom w:type="dxa" w:w="100"/>
              <w:right w:type="dxa" w:w="120"/>
            </w:tcMar>
            <w:vAlign w:val="center"/>
          </w:tcPr>
          <w:p>
            <w:r>
              <w:rPr>
                <w:sz w:val="20"/>
                <w:szCs w:val="20"/>
              </w:rPr>
              <w:t xml:space="preserve">Pod 3 team</w:t>
            </w:r>
          </w:p>
        </w:tc>
        <w:tc>
          <w:tcPr>
            <w:tcW w:type="dxa" w:w="3200"/>
            <w:tcMar>
              <w:top w:type="dxa" w:w="100"/>
              <w:left w:type="dxa" w:w="120"/>
              <w:bottom w:type="dxa" w:w="100"/>
              <w:right w:type="dxa" w:w="120"/>
            </w:tcMar>
            <w:vAlign w:val="center"/>
          </w:tcPr>
          <w:p>
            <w:r>
              <w:rPr>
                <w:sz w:val="20"/>
                <w:szCs w:val="20"/>
              </w:rPr>
              <w:t xml:space="preserve">Build and deliver the POC</w:t>
            </w:r>
          </w:p>
        </w:tc>
        <w:tc>
          <w:tcPr>
            <w:tcW w:type="dxa" w:w="3000"/>
            <w:tcMar>
              <w:top w:type="dxa" w:w="100"/>
              <w:left w:type="dxa" w:w="120"/>
              <w:bottom w:type="dxa" w:w="100"/>
              <w:right w:type="dxa" w:w="120"/>
            </w:tcMar>
            <w:vAlign w:val="center"/>
          </w:tcPr>
          <w:p>
            <w:r>
              <w:rPr>
                <w:sz w:val="20"/>
                <w:szCs w:val="20"/>
              </w:rPr>
              <w:t xml:space="preserve">Development team, 5–6 people</w:t>
            </w:r>
          </w:p>
        </w:tc>
      </w:tr>
      <w:tr>
        <w:tc>
          <w:tcPr>
            <w:tcW w:type="dxa" w:w="3200"/>
            <w:shd w:fill="EAF0F8" w:val="clear"/>
            <w:tcMar>
              <w:top w:type="dxa" w:w="100"/>
              <w:left w:type="dxa" w:w="120"/>
              <w:bottom w:type="dxa" w:w="100"/>
              <w:right w:type="dxa" w:w="120"/>
            </w:tcMar>
            <w:vAlign w:val="center"/>
          </w:tcPr>
          <w:p>
            <w:r>
              <w:rPr>
                <w:sz w:val="20"/>
                <w:szCs w:val="20"/>
              </w:rPr>
              <w:t xml:space="preserve">Project sponsor / leadership</w:t>
            </w:r>
          </w:p>
        </w:tc>
        <w:tc>
          <w:tcPr>
            <w:tcW w:type="dxa" w:w="3200"/>
            <w:shd w:fill="EAF0F8" w:val="clear"/>
            <w:tcMar>
              <w:top w:type="dxa" w:w="100"/>
              <w:left w:type="dxa" w:w="120"/>
              <w:bottom w:type="dxa" w:w="100"/>
              <w:right w:type="dxa" w:w="120"/>
            </w:tcMar>
            <w:vAlign w:val="center"/>
          </w:tcPr>
          <w:p>
            <w:r>
              <w:rPr>
                <w:sz w:val="20"/>
                <w:szCs w:val="20"/>
              </w:rPr>
              <w:t xml:space="preserve">Approve scope, review demo, make go/no-go funding decision</w:t>
            </w:r>
          </w:p>
        </w:tc>
        <w:tc>
          <w:tcPr>
            <w:tcW w:type="dxa" w:w="3000"/>
            <w:shd w:fill="EAF0F8" w:val="clear"/>
            <w:tcMar>
              <w:top w:type="dxa" w:w="100"/>
              <w:left w:type="dxa" w:w="120"/>
              <w:bottom w:type="dxa" w:w="100"/>
              <w:right w:type="dxa" w:w="120"/>
            </w:tcMar>
            <w:vAlign w:val="center"/>
          </w:tcPr>
          <w:p>
            <w:r>
              <w:rPr>
                <w:sz w:val="20"/>
                <w:szCs w:val="20"/>
              </w:rPr>
              <w:t xml:space="preserve">To be confirmed</w:t>
            </w:r>
          </w:p>
        </w:tc>
      </w:tr>
      <w:tr>
        <w:tc>
          <w:tcPr>
            <w:tcW w:type="dxa" w:w="3200"/>
            <w:tcMar>
              <w:top w:type="dxa" w:w="100"/>
              <w:left w:type="dxa" w:w="120"/>
              <w:bottom w:type="dxa" w:w="100"/>
              <w:right w:type="dxa" w:w="120"/>
            </w:tcMar>
            <w:vAlign w:val="center"/>
          </w:tcPr>
          <w:p>
            <w:r>
              <w:rPr>
                <w:sz w:val="20"/>
                <w:szCs w:val="20"/>
              </w:rPr>
              <w:t xml:space="preserve">End users (future)</w:t>
            </w:r>
          </w:p>
        </w:tc>
        <w:tc>
          <w:tcPr>
            <w:tcW w:type="dxa" w:w="3200"/>
            <w:tcMar>
              <w:top w:type="dxa" w:w="100"/>
              <w:left w:type="dxa" w:w="120"/>
              <w:bottom w:type="dxa" w:w="100"/>
              <w:right w:type="dxa" w:w="120"/>
            </w:tcMar>
            <w:vAlign w:val="center"/>
          </w:tcPr>
          <w:p>
            <w:r>
              <w:rPr>
                <w:sz w:val="20"/>
                <w:szCs w:val="20"/>
              </w:rPr>
              <w:t xml:space="preserve">Eventual users of the production system; not directly involved in POC build</w:t>
            </w:r>
          </w:p>
        </w:tc>
        <w:tc>
          <w:tcPr>
            <w:tcW w:type="dxa" w:w="3000"/>
            <w:tcMar>
              <w:top w:type="dxa" w:w="100"/>
              <w:left w:type="dxa" w:w="120"/>
              <w:bottom w:type="dxa" w:w="100"/>
              <w:right w:type="dxa" w:w="120"/>
            </w:tcMar>
            <w:vAlign w:val="center"/>
          </w:tcPr>
          <w:p>
            <w:r>
              <w:rPr>
                <w:sz w:val="20"/>
                <w:szCs w:val="20"/>
              </w:rPr>
              <w:t xml:space="preserve">To be confirmed</w:t>
            </w:r>
          </w:p>
        </w:tc>
      </w:tr>
    </w:tbl>
    <w:p>
      <w:pPr>
        <w:pStyle w:val="Heading1"/>
        <w:pBdr>
          <w:bottom w:val="single" w:color="2E5395" w:sz="6" w:space="4"/>
        </w:pBdr>
        <w:spacing w:after="200" w:before="400"/>
      </w:pPr>
      <w:r>
        <w:rPr>
          <w:b/>
          <w:bCs/>
          <w:color w:val="1F3864"/>
          <w:sz w:val="28"/>
          <w:szCs w:val="28"/>
        </w:rPr>
        <w:t xml:space="preserve">8. Functional Requirements</w:t>
      </w:r>
    </w:p>
    <w:p>
      <w:pPr>
        <w:spacing w:after="160" w:line="276"/>
      </w:pPr>
      <w:r>
        <w:rPr>
          <w:sz w:val="22"/>
          <w:szCs w:val="22"/>
        </w:rPr>
        <w:t xml:space="preserve">Requirements are grouped by capability. Each is written as what the system must do, in plain language.</w:t>
      </w:r>
    </w:p>
    <w:p>
      <w:pPr>
        <w:pStyle w:val="Heading2"/>
        <w:spacing w:after="120" w:before="300"/>
      </w:pPr>
      <w:r>
        <w:rPr>
          <w:b/>
          <w:bCs/>
          <w:color w:val="2E5395"/>
          <w:sz w:val="24"/>
          <w:szCs w:val="24"/>
        </w:rPr>
        <w:t xml:space="preserve">8.1 Document Upload and Management</w:t>
      </w:r>
    </w:p>
    <w:p>
      <w:pPr>
        <w:pStyle w:val="ListParagraph"/>
        <w:numPr>
          <w:ilvl w:val="0"/>
          <w:numId w:val="3"/>
        </w:numPr>
        <w:spacing w:after="80" w:line="270"/>
      </w:pPr>
      <w:r>
        <w:rPr>
          <w:sz w:val="22"/>
          <w:szCs w:val="22"/>
        </w:rPr>
        <w:t xml:space="preserve">The system shall allow a user to create a workspace to group related documents.</w:t>
      </w:r>
    </w:p>
    <w:p>
      <w:pPr>
        <w:pStyle w:val="ListParagraph"/>
        <w:numPr>
          <w:ilvl w:val="0"/>
          <w:numId w:val="3"/>
        </w:numPr>
        <w:spacing w:after="80" w:line="270"/>
      </w:pPr>
      <w:r>
        <w:rPr>
          <w:sz w:val="22"/>
          <w:szCs w:val="22"/>
        </w:rPr>
        <w:t xml:space="preserve">The system shall allow a user to upload multiple PDF and DOCX files into a workspace, including uploading a whole folder at once.</w:t>
      </w:r>
    </w:p>
    <w:p>
      <w:pPr>
        <w:pStyle w:val="ListParagraph"/>
        <w:numPr>
          <w:ilvl w:val="0"/>
          <w:numId w:val="3"/>
        </w:numPr>
        <w:spacing w:after="80" w:line="270"/>
      </w:pPr>
      <w:r>
        <w:rPr>
          <w:sz w:val="22"/>
          <w:szCs w:val="22"/>
        </w:rPr>
        <w:t xml:space="preserve">The system shall allow documents to be organised into modules (folder-level groups) within a workspace — automatically, based on the folder structure of an uploaded folder, where applicable.</w:t>
      </w:r>
    </w:p>
    <w:p>
      <w:pPr>
        <w:pStyle w:val="ListParagraph"/>
        <w:numPr>
          <w:ilvl w:val="0"/>
          <w:numId w:val="3"/>
        </w:numPr>
        <w:spacing w:after="80" w:line="270"/>
      </w:pPr>
      <w:r>
        <w:rPr>
          <w:sz w:val="22"/>
          <w:szCs w:val="22"/>
        </w:rPr>
        <w:t xml:space="preserve">The system shall validate file type and a configurable maximum file size before accepting an upload.</w:t>
      </w:r>
    </w:p>
    <w:p>
      <w:pPr>
        <w:pStyle w:val="ListParagraph"/>
        <w:numPr>
          <w:ilvl w:val="0"/>
          <w:numId w:val="3"/>
        </w:numPr>
        <w:spacing w:after="80" w:line="270"/>
      </w:pPr>
      <w:r>
        <w:rPr>
          <w:sz w:val="22"/>
          <w:szCs w:val="22"/>
        </w:rPr>
        <w:t xml:space="preserve">The system shall show the processing status of each document (e.g. uploading, processing, ready, failed).</w:t>
      </w:r>
    </w:p>
    <w:p>
      <w:pPr>
        <w:pStyle w:val="ListParagraph"/>
        <w:numPr>
          <w:ilvl w:val="0"/>
          <w:numId w:val="3"/>
        </w:numPr>
        <w:spacing w:after="80" w:line="270"/>
      </w:pPr>
      <w:r>
        <w:rPr>
          <w:sz w:val="22"/>
          <w:szCs w:val="22"/>
        </w:rPr>
        <w:t xml:space="preserve">The system shall allow a user to select an entire workspace, a single module, or one/several individual documents before asking a question.</w:t>
      </w:r>
    </w:p>
    <w:p>
      <w:pPr>
        <w:pStyle w:val="Heading2"/>
        <w:spacing w:after="120" w:before="300"/>
      </w:pPr>
      <w:r>
        <w:rPr>
          <w:b/>
          <w:bCs/>
          <w:color w:val="2E5395"/>
          <w:sz w:val="24"/>
          <w:szCs w:val="24"/>
        </w:rPr>
        <w:t xml:space="preserve">8.2 Automatic Document Understanding and Extraction</w:t>
      </w:r>
    </w:p>
    <w:p>
      <w:pPr>
        <w:pStyle w:val="ListParagraph"/>
        <w:numPr>
          <w:ilvl w:val="0"/>
          <w:numId w:val="3"/>
        </w:numPr>
        <w:spacing w:after="80" w:line="270"/>
      </w:pPr>
      <w:r>
        <w:rPr>
          <w:sz w:val="22"/>
          <w:szCs w:val="22"/>
        </w:rPr>
        <w:t xml:space="preserve">The system shall automatically identify the type of each uploaded document (e.g. contract, proposal, report) without the user specifying it in advance.</w:t>
      </w:r>
    </w:p>
    <w:p>
      <w:pPr>
        <w:pStyle w:val="ListParagraph"/>
        <w:numPr>
          <w:ilvl w:val="0"/>
          <w:numId w:val="3"/>
        </w:numPr>
        <w:spacing w:after="80" w:line="270"/>
      </w:pPr>
      <w:r>
        <w:rPr>
          <w:sz w:val="22"/>
          <w:szCs w:val="22"/>
        </w:rPr>
        <w:t xml:space="preserve">The system shall generate a short overview and summary for each document.</w:t>
      </w:r>
    </w:p>
    <w:p>
      <w:pPr>
        <w:pStyle w:val="ListParagraph"/>
        <w:numPr>
          <w:ilvl w:val="0"/>
          <w:numId w:val="3"/>
        </w:numPr>
        <w:spacing w:after="80" w:line="270"/>
      </w:pPr>
      <w:r>
        <w:rPr>
          <w:sz w:val="22"/>
          <w:szCs w:val="22"/>
        </w:rPr>
        <w:t xml:space="preserve">The system shall extract universal fields present in most documents: title, parties/organisations involved, key dates, monetary amounts, reference numbers, and key topics.</w:t>
      </w:r>
    </w:p>
    <w:p>
      <w:pPr>
        <w:pStyle w:val="ListParagraph"/>
        <w:numPr>
          <w:ilvl w:val="0"/>
          <w:numId w:val="3"/>
        </w:numPr>
        <w:spacing w:after="80" w:line="270"/>
      </w:pPr>
      <w:r>
        <w:rPr>
          <w:sz w:val="22"/>
          <w:szCs w:val="22"/>
        </w:rPr>
        <w:t xml:space="preserve">The system shall extract additional fields relevant to the specific type of document detected (for example: obligations and termination terms for a contract; revenue and forecasts for a financial report).</w:t>
      </w:r>
    </w:p>
    <w:p>
      <w:pPr>
        <w:pStyle w:val="ListParagraph"/>
        <w:numPr>
          <w:ilvl w:val="0"/>
          <w:numId w:val="3"/>
        </w:numPr>
        <w:spacing w:after="80" w:line="270"/>
      </w:pPr>
      <w:r>
        <w:rPr>
          <w:sz w:val="22"/>
          <w:szCs w:val="22"/>
        </w:rPr>
        <w:t xml:space="preserve">The system shall record, for every extracted field, where it came from (document, page) and a confidence level.</w:t>
      </w:r>
    </w:p>
    <w:p>
      <w:pPr>
        <w:pStyle w:val="ListParagraph"/>
        <w:numPr>
          <w:ilvl w:val="0"/>
          <w:numId w:val="3"/>
        </w:numPr>
        <w:spacing w:after="80" w:line="270"/>
      </w:pPr>
      <w:r>
        <w:rPr>
          <w:sz w:val="22"/>
          <w:szCs w:val="22"/>
        </w:rPr>
        <w:t xml:space="preserve">The system shall let a user review, correct, or remove an extracted field.</w:t>
      </w:r>
    </w:p>
    <w:p>
      <w:pPr>
        <w:pStyle w:val="Heading2"/>
        <w:spacing w:after="120" w:before="300"/>
      </w:pPr>
      <w:r>
        <w:rPr>
          <w:b/>
          <w:bCs/>
          <w:color w:val="2E5395"/>
          <w:sz w:val="24"/>
          <w:szCs w:val="24"/>
        </w:rPr>
        <w:t xml:space="preserve">8.3 Knowledge Graph (Accuracy Layer — Key Differentiator)</w:t>
      </w:r>
    </w:p>
    <w:p>
      <w:pPr>
        <w:pStyle w:val="ListParagraph"/>
        <w:numPr>
          <w:ilvl w:val="0"/>
          <w:numId w:val="3"/>
        </w:numPr>
        <w:spacing w:after="80" w:line="270"/>
      </w:pPr>
      <w:r>
        <w:rPr>
          <w:sz w:val="22"/>
          <w:szCs w:val="22"/>
        </w:rPr>
        <w:t xml:space="preserve">The system shall build a knowledge graph from extracted entities (people, organisations, dates, amounts, key terms) and the relationships between them, both within a single document and across documents in the same workspace.</w:t>
      </w:r>
    </w:p>
    <w:p>
      <w:pPr>
        <w:pStyle w:val="ListParagraph"/>
        <w:numPr>
          <w:ilvl w:val="0"/>
          <w:numId w:val="3"/>
        </w:numPr>
        <w:spacing w:after="80" w:line="270"/>
      </w:pPr>
      <w:r>
        <w:rPr>
          <w:sz w:val="22"/>
          <w:szCs w:val="22"/>
        </w:rPr>
        <w:t xml:space="preserve">The system shall use the knowledge graph, in addition to standard text search, when answering a question — using it to check that an answer's facts and relationships are actually supported by the documents.</w:t>
      </w:r>
    </w:p>
    <w:p>
      <w:pPr>
        <w:pStyle w:val="ListParagraph"/>
        <w:numPr>
          <w:ilvl w:val="0"/>
          <w:numId w:val="3"/>
        </w:numPr>
        <w:spacing w:after="80" w:line="270"/>
      </w:pPr>
      <w:r>
        <w:rPr>
          <w:sz w:val="22"/>
          <w:szCs w:val="22"/>
        </w:rPr>
        <w:t xml:space="preserve">The system shall be able to detect and surface direct contradictions between documents where the knowledge graph shows conflicting facts (e.g. two different expiry dates for related contracts).</w:t>
      </w:r>
    </w:p>
    <w:p>
      <w:pPr>
        <w:pStyle w:val="ListParagraph"/>
        <w:numPr>
          <w:ilvl w:val="0"/>
          <w:numId w:val="3"/>
        </w:numPr>
        <w:spacing w:after="80" w:line="270"/>
      </w:pPr>
      <w:r>
        <w:rPr>
          <w:sz w:val="22"/>
          <w:szCs w:val="22"/>
        </w:rPr>
        <w:t xml:space="preserve">The system shall strictly isolate workspaces from one another: two workspaces must never share knowledge-graph facts, citations, or contradiction results, even if they contain identically-named modules or mention the same real-world people/organisations. This is a mandatory data-integrity requirement, not a configurable preference.</w:t>
      </w:r>
    </w:p>
    <w:p>
      <w:pPr>
        <w:pStyle w:val="Heading2"/>
        <w:spacing w:after="120" w:before="300"/>
      </w:pPr>
      <w:r>
        <w:rPr>
          <w:b/>
          <w:bCs/>
          <w:color w:val="2E5395"/>
          <w:sz w:val="24"/>
          <w:szCs w:val="24"/>
        </w:rPr>
        <w:t xml:space="preserve">8.4 Chat and Question Answering</w:t>
      </w:r>
    </w:p>
    <w:p>
      <w:pPr>
        <w:pStyle w:val="ListParagraph"/>
        <w:numPr>
          <w:ilvl w:val="0"/>
          <w:numId w:val="3"/>
        </w:numPr>
        <w:spacing w:after="80" w:line="270"/>
      </w:pPr>
      <w:r>
        <w:rPr>
          <w:sz w:val="22"/>
          <w:szCs w:val="22"/>
        </w:rPr>
        <w:t xml:space="preserve">The system shall allow a user to ask a question in plain language about the selected scope (a workspace, a module, or specific document(s)).</w:t>
      </w:r>
    </w:p>
    <w:p>
      <w:pPr>
        <w:pStyle w:val="ListParagraph"/>
        <w:numPr>
          <w:ilvl w:val="0"/>
          <w:numId w:val="3"/>
        </w:numPr>
        <w:spacing w:after="80" w:line="270"/>
      </w:pPr>
      <w:r>
        <w:rPr>
          <w:sz w:val="22"/>
          <w:szCs w:val="22"/>
        </w:rPr>
        <w:t xml:space="preserve">The system shall answer using only information found within the selected scope (and the knowledge graph built from it) — not from the AI model's general knowledge, and not from documents outside the selected scope.</w:t>
      </w:r>
    </w:p>
    <w:p>
      <w:pPr>
        <w:pStyle w:val="ListParagraph"/>
        <w:numPr>
          <w:ilvl w:val="0"/>
          <w:numId w:val="3"/>
        </w:numPr>
        <w:spacing w:after="80" w:line="270"/>
      </w:pPr>
      <w:r>
        <w:rPr>
          <w:sz w:val="22"/>
          <w:szCs w:val="22"/>
        </w:rPr>
        <w:t xml:space="preserve">The system shall clearly state when a question cannot be answered from the available documents, rather than guessing.</w:t>
      </w:r>
    </w:p>
    <w:p>
      <w:pPr>
        <w:pStyle w:val="ListParagraph"/>
        <w:numPr>
          <w:ilvl w:val="0"/>
          <w:numId w:val="3"/>
        </w:numPr>
        <w:spacing w:after="80" w:line="270"/>
      </w:pPr>
      <w:r>
        <w:rPr>
          <w:sz w:val="22"/>
          <w:szCs w:val="22"/>
        </w:rPr>
        <w:t xml:space="preserve">The system shall support questions that compare multiple documents (e.g. “What's different between these two contracts?”) and keep facts from each document separate and correctly attributed.</w:t>
      </w:r>
    </w:p>
    <w:p>
      <w:pPr>
        <w:pStyle w:val="Heading2"/>
        <w:spacing w:after="120" w:before="300"/>
      </w:pPr>
      <w:r>
        <w:rPr>
          <w:b/>
          <w:bCs/>
          <w:color w:val="2E5395"/>
          <w:sz w:val="24"/>
          <w:szCs w:val="24"/>
        </w:rPr>
        <w:t xml:space="preserve">8.5 Citations and Evidence</w:t>
      </w:r>
    </w:p>
    <w:p>
      <w:pPr>
        <w:pStyle w:val="ListParagraph"/>
        <w:numPr>
          <w:ilvl w:val="0"/>
          <w:numId w:val="3"/>
        </w:numPr>
        <w:spacing w:after="80" w:line="270"/>
      </w:pPr>
      <w:r>
        <w:rPr>
          <w:sz w:val="22"/>
          <w:szCs w:val="22"/>
        </w:rPr>
        <w:t xml:space="preserve">Every answer shall include a citation showing which document, and where in that document (page/section), the answer came from.</w:t>
      </w:r>
    </w:p>
    <w:p>
      <w:pPr>
        <w:pStyle w:val="ListParagraph"/>
        <w:numPr>
          <w:ilvl w:val="0"/>
          <w:numId w:val="3"/>
        </w:numPr>
        <w:spacing w:after="80" w:line="270"/>
      </w:pPr>
      <w:r>
        <w:rPr>
          <w:sz w:val="22"/>
          <w:szCs w:val="22"/>
        </w:rPr>
        <w:t xml:space="preserve">The user shall be able to view the exact source passage behind a citation.</w:t>
      </w:r>
    </w:p>
    <w:p>
      <w:pPr>
        <w:pStyle w:val="Heading2"/>
        <w:spacing w:after="120" w:before="300"/>
      </w:pPr>
      <w:r>
        <w:rPr>
          <w:b/>
          <w:bCs/>
          <w:color w:val="2E5395"/>
          <w:sz w:val="24"/>
          <w:szCs w:val="24"/>
        </w:rPr>
        <w:t xml:space="preserve">8.6 Evaluation and Feedback</w:t>
      </w:r>
    </w:p>
    <w:p>
      <w:pPr>
        <w:pStyle w:val="ListParagraph"/>
        <w:numPr>
          <w:ilvl w:val="0"/>
          <w:numId w:val="3"/>
        </w:numPr>
        <w:spacing w:after="80" w:line="270"/>
      </w:pPr>
      <w:r>
        <w:rPr>
          <w:sz w:val="22"/>
          <w:szCs w:val="22"/>
        </w:rPr>
        <w:t xml:space="preserve">The system shall support running a fixed set of test questions against a fixed set of test documents, so accuracy can be measured consistently.</w:t>
      </w:r>
    </w:p>
    <w:p>
      <w:pPr>
        <w:pStyle w:val="ListParagraph"/>
        <w:numPr>
          <w:ilvl w:val="0"/>
          <w:numId w:val="3"/>
        </w:numPr>
        <w:spacing w:after="80" w:line="270"/>
      </w:pPr>
      <w:r>
        <w:rPr>
          <w:sz w:val="22"/>
          <w:szCs w:val="22"/>
        </w:rPr>
        <w:t xml:space="preserve">The system shall record whether an answer was generated using retrieval only or retrieval plus knowledge graph, to allow a side-by-side accuracy comparison.</w:t>
      </w:r>
    </w:p>
    <w:p>
      <w:pPr>
        <w:pStyle w:val="ListParagraph"/>
        <w:numPr>
          <w:ilvl w:val="0"/>
          <w:numId w:val="3"/>
        </w:numPr>
        <w:spacing w:after="80" w:line="270"/>
      </w:pPr>
      <w:r>
        <w:rPr>
          <w:sz w:val="22"/>
          <w:szCs w:val="22"/>
        </w:rPr>
        <w:t xml:space="preserve">The system shall allow a user to give simple positive/negative feedback on an answer.</w:t>
      </w:r>
    </w:p>
    <w:p>
      <w:pPr>
        <w:pStyle w:val="Heading1"/>
        <w:pBdr>
          <w:bottom w:val="single" w:color="2E5395" w:sz="6" w:space="4"/>
        </w:pBdr>
        <w:spacing w:after="200" w:before="400"/>
      </w:pPr>
      <w:r>
        <w:rPr>
          <w:b/>
          <w:bCs/>
          <w:color w:val="1F3864"/>
          <w:sz w:val="28"/>
          <w:szCs w:val="28"/>
        </w:rPr>
        <w:t xml:space="preserve">9.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Area</w:t>
            </w:r>
          </w:p>
        </w:tc>
        <w:tc>
          <w:tcPr>
            <w:tcW w:type="dxa" w:w="6800"/>
            <w:shd w:fill="1F3864" w:val="clear"/>
            <w:tcMar>
              <w:top w:type="dxa" w:w="100"/>
              <w:left w:type="dxa" w:w="120"/>
              <w:bottom w:type="dxa" w:w="100"/>
              <w:right w:type="dxa" w:w="120"/>
            </w:tcMar>
            <w:vAlign w:val="center"/>
          </w:tcPr>
          <w:p>
            <w:r>
              <w:rPr>
                <w:b/>
                <w:bCs/>
                <w:color w:val="FFFFFF"/>
                <w:sz w:val="20"/>
                <w:szCs w:val="20"/>
              </w:rPr>
              <w:t xml:space="preserve">Requirement</w:t>
            </w:r>
          </w:p>
        </w:tc>
      </w:tr>
      <w:tr>
        <w:tc>
          <w:tcPr>
            <w:tcW w:type="dxa" w:w="2600"/>
            <w:tcMar>
              <w:top w:type="dxa" w:w="100"/>
              <w:left w:type="dxa" w:w="120"/>
              <w:bottom w:type="dxa" w:w="100"/>
              <w:right w:type="dxa" w:w="120"/>
            </w:tcMar>
            <w:vAlign w:val="center"/>
          </w:tcPr>
          <w:p>
            <w:r>
              <w:rPr>
                <w:sz w:val="20"/>
                <w:szCs w:val="20"/>
              </w:rPr>
              <w:t xml:space="preserve">Accuracy (highest priority)</w:t>
            </w:r>
          </w:p>
        </w:tc>
        <w:tc>
          <w:tcPr>
            <w:tcW w:type="dxa" w:w="6800"/>
            <w:tcMar>
              <w:top w:type="dxa" w:w="100"/>
              <w:left w:type="dxa" w:w="120"/>
              <w:bottom w:type="dxa" w:w="100"/>
              <w:right w:type="dxa" w:w="120"/>
            </w:tcMar>
            <w:vAlign w:val="center"/>
          </w:tcPr>
          <w:p>
            <w:r>
              <w:rPr>
                <w:sz w:val="20"/>
                <w:szCs w:val="20"/>
              </w:rPr>
              <w:t xml:space="preserve">The system must be evaluated and tuned for answer accuracy and correct citations before speed or additional features. This is the core purpose of the POC.</w:t>
            </w:r>
          </w:p>
        </w:tc>
      </w:tr>
      <w:tr>
        <w:tc>
          <w:tcPr>
            <w:tcW w:type="dxa" w:w="2600"/>
            <w:shd w:fill="EAF0F8" w:val="clear"/>
            <w:tcMar>
              <w:top w:type="dxa" w:w="100"/>
              <w:left w:type="dxa" w:w="120"/>
              <w:bottom w:type="dxa" w:w="100"/>
              <w:right w:type="dxa" w:w="120"/>
            </w:tcMar>
            <w:vAlign w:val="center"/>
          </w:tcPr>
          <w:p>
            <w:r>
              <w:rPr>
                <w:sz w:val="20"/>
                <w:szCs w:val="20"/>
              </w:rPr>
              <w:t xml:space="preserve">Performance</w:t>
            </w:r>
          </w:p>
        </w:tc>
        <w:tc>
          <w:tcPr>
            <w:tcW w:type="dxa" w:w="6800"/>
            <w:shd w:fill="EAF0F8" w:val="clear"/>
            <w:tcMar>
              <w:top w:type="dxa" w:w="100"/>
              <w:left w:type="dxa" w:w="120"/>
              <w:bottom w:type="dxa" w:w="100"/>
              <w:right w:type="dxa" w:w="120"/>
            </w:tcMar>
            <w:vAlign w:val="center"/>
          </w:tcPr>
          <w:p>
            <w:r>
              <w:rPr>
                <w:sz w:val="20"/>
                <w:szCs w:val="20"/>
              </w:rPr>
              <w:t xml:space="preserve">The POC does not need production-level speed, but answers should be fast enough for a smooth live demo (target: first response within a few seconds for a typical question).</w:t>
            </w:r>
          </w:p>
        </w:tc>
      </w:tr>
      <w:tr>
        <w:tc>
          <w:tcPr>
            <w:tcW w:type="dxa" w:w="2600"/>
            <w:tcMar>
              <w:top w:type="dxa" w:w="100"/>
              <w:left w:type="dxa" w:w="120"/>
              <w:bottom w:type="dxa" w:w="100"/>
              <w:right w:type="dxa" w:w="120"/>
            </w:tcMar>
            <w:vAlign w:val="center"/>
          </w:tcPr>
          <w:p>
            <w:r>
              <w:rPr>
                <w:sz w:val="20"/>
                <w:szCs w:val="20"/>
              </w:rPr>
              <w:t xml:space="preserve">Usability</w:t>
            </w:r>
          </w:p>
        </w:tc>
        <w:tc>
          <w:tcPr>
            <w:tcW w:type="dxa" w:w="6800"/>
            <w:tcMar>
              <w:top w:type="dxa" w:w="100"/>
              <w:left w:type="dxa" w:w="120"/>
              <w:bottom w:type="dxa" w:w="100"/>
              <w:right w:type="dxa" w:w="120"/>
            </w:tcMar>
            <w:vAlign w:val="center"/>
          </w:tcPr>
          <w:p>
            <w:r>
              <w:rPr>
                <w:sz w:val="20"/>
                <w:szCs w:val="20"/>
              </w:rPr>
              <w:t xml:space="preserve">The interface must be clear enough for someone unfamiliar with the tool to follow during a live demo, without needing deep functional polish.</w:t>
            </w:r>
          </w:p>
        </w:tc>
      </w:tr>
      <w:tr>
        <w:tc>
          <w:tcPr>
            <w:tcW w:type="dxa" w:w="2600"/>
            <w:shd w:fill="EAF0F8" w:val="clear"/>
            <w:tcMar>
              <w:top w:type="dxa" w:w="100"/>
              <w:left w:type="dxa" w:w="120"/>
              <w:bottom w:type="dxa" w:w="100"/>
              <w:right w:type="dxa" w:w="120"/>
            </w:tcMar>
            <w:vAlign w:val="center"/>
          </w:tcPr>
          <w:p>
            <w:r>
              <w:rPr>
                <w:sz w:val="20"/>
                <w:szCs w:val="20"/>
              </w:rPr>
              <w:t xml:space="preserve">Security — baseline</w:t>
            </w:r>
          </w:p>
        </w:tc>
        <w:tc>
          <w:tcPr>
            <w:tcW w:type="dxa" w:w="6800"/>
            <w:shd w:fill="EAF0F8" w:val="clear"/>
            <w:tcMar>
              <w:top w:type="dxa" w:w="100"/>
              <w:left w:type="dxa" w:w="120"/>
              <w:bottom w:type="dxa" w:w="100"/>
              <w:right w:type="dxa" w:w="120"/>
            </w:tcMar>
            <w:vAlign w:val="center"/>
          </w:tcPr>
          <w:p>
            <w:r>
              <w:rPr>
                <w:sz w:val="20"/>
                <w:szCs w:val="20"/>
              </w:rPr>
              <w:t xml:space="preserve">Standard access control (login required) and safe handling of uploaded files. See Section 15 for the open question on data sensitivity, which will determine whether additional controls are required.</w:t>
            </w:r>
          </w:p>
        </w:tc>
      </w:tr>
      <w:tr>
        <w:tc>
          <w:tcPr>
            <w:tcW w:type="dxa" w:w="2600"/>
            <w:tcMar>
              <w:top w:type="dxa" w:w="100"/>
              <w:left w:type="dxa" w:w="120"/>
              <w:bottom w:type="dxa" w:w="100"/>
              <w:right w:type="dxa" w:w="120"/>
            </w:tcMar>
            <w:vAlign w:val="center"/>
          </w:tcPr>
          <w:p>
            <w:r>
              <w:rPr>
                <w:sz w:val="20"/>
                <w:szCs w:val="20"/>
              </w:rPr>
              <w:t xml:space="preserve">Data isolation (highest priority, alongside accuracy)</w:t>
            </w:r>
          </w:p>
        </w:tc>
        <w:tc>
          <w:tcPr>
            <w:tcW w:type="dxa" w:w="6800"/>
            <w:tcMar>
              <w:top w:type="dxa" w:w="100"/>
              <w:left w:type="dxa" w:w="120"/>
              <w:bottom w:type="dxa" w:w="100"/>
              <w:right w:type="dxa" w:w="120"/>
            </w:tcMar>
            <w:vAlign w:val="center"/>
          </w:tcPr>
          <w:p>
            <w:r>
              <w:rPr>
                <w:sz w:val="20"/>
                <w:szCs w:val="20"/>
              </w:rPr>
              <w:t xml:space="preserve">Workspaces are strictly isolated from one another at the data layer, not just in the interface — no shared knowledge-graph facts, citations, or contradiction results across workspaces, even where module names or entity names coincide. Treated with the same priority as answer accuracy, since a cross-workspace leak is a silent correctness failure, not a missing feature.</w:t>
            </w:r>
          </w:p>
        </w:tc>
      </w:tr>
      <w:tr>
        <w:tc>
          <w:tcPr>
            <w:tcW w:type="dxa" w:w="2600"/>
            <w:shd w:fill="EAF0F8" w:val="clear"/>
            <w:tcMar>
              <w:top w:type="dxa" w:w="100"/>
              <w:left w:type="dxa" w:w="120"/>
              <w:bottom w:type="dxa" w:w="100"/>
              <w:right w:type="dxa" w:w="120"/>
            </w:tcMar>
            <w:vAlign w:val="center"/>
          </w:tcPr>
          <w:p>
            <w:r>
              <w:rPr>
                <w:sz w:val="20"/>
                <w:szCs w:val="20"/>
              </w:rPr>
              <w:t xml:space="preserve">Reliability</w:t>
            </w:r>
          </w:p>
        </w:tc>
        <w:tc>
          <w:tcPr>
            <w:tcW w:type="dxa" w:w="6800"/>
            <w:shd w:fill="EAF0F8" w:val="clear"/>
            <w:tcMar>
              <w:top w:type="dxa" w:w="100"/>
              <w:left w:type="dxa" w:w="120"/>
              <w:bottom w:type="dxa" w:w="100"/>
              <w:right w:type="dxa" w:w="120"/>
            </w:tcMar>
            <w:vAlign w:val="center"/>
          </w:tcPr>
          <w:p>
            <w:r>
              <w:rPr>
                <w:sz w:val="20"/>
                <w:szCs w:val="20"/>
              </w:rPr>
              <w:t xml:space="preserve">The system should reliably complete a demo run without crashing; production-level uptime guarantees are not required for a POC.</w:t>
            </w:r>
          </w:p>
        </w:tc>
      </w:tr>
      <w:tr>
        <w:tc>
          <w:tcPr>
            <w:tcW w:type="dxa" w:w="2600"/>
            <w:tcMar>
              <w:top w:type="dxa" w:w="100"/>
              <w:left w:type="dxa" w:w="120"/>
              <w:bottom w:type="dxa" w:w="100"/>
              <w:right w:type="dxa" w:w="120"/>
            </w:tcMar>
            <w:vAlign w:val="center"/>
          </w:tcPr>
          <w:p>
            <w:r>
              <w:rPr>
                <w:sz w:val="20"/>
                <w:szCs w:val="20"/>
              </w:rPr>
              <w:t xml:space="preserve">Scalability</w:t>
            </w:r>
          </w:p>
        </w:tc>
        <w:tc>
          <w:tcPr>
            <w:tcW w:type="dxa" w:w="6800"/>
            <w:tcMar>
              <w:top w:type="dxa" w:w="100"/>
              <w:left w:type="dxa" w:w="120"/>
              <w:bottom w:type="dxa" w:w="100"/>
              <w:right w:type="dxa" w:w="120"/>
            </w:tcMar>
            <w:vAlign w:val="center"/>
          </w:tcPr>
          <w:p>
            <w:r>
              <w:rPr>
                <w:sz w:val="20"/>
                <w:szCs w:val="20"/>
              </w:rPr>
              <w:t xml:space="preserve">Not a priority for this phase — the system only needs to handle the POC's test document set and demo scenarios.</w:t>
            </w:r>
          </w:p>
        </w:tc>
      </w:tr>
      <w:tr>
        <w:tc>
          <w:tcPr>
            <w:tcW w:type="dxa" w:w="2600"/>
            <w:shd w:fill="EAF0F8" w:val="clear"/>
            <w:tcMar>
              <w:top w:type="dxa" w:w="100"/>
              <w:left w:type="dxa" w:w="120"/>
              <w:bottom w:type="dxa" w:w="100"/>
              <w:right w:type="dxa" w:w="120"/>
            </w:tcMar>
            <w:vAlign w:val="center"/>
          </w:tcPr>
          <w:p>
            <w:r>
              <w:rPr>
                <w:sz w:val="20"/>
                <w:szCs w:val="20"/>
              </w:rPr>
              <w:t xml:space="preserve">Auditability</w:t>
            </w:r>
          </w:p>
        </w:tc>
        <w:tc>
          <w:tcPr>
            <w:tcW w:type="dxa" w:w="6800"/>
            <w:shd w:fill="EAF0F8" w:val="clear"/>
            <w:tcMar>
              <w:top w:type="dxa" w:w="100"/>
              <w:left w:type="dxa" w:w="120"/>
              <w:bottom w:type="dxa" w:w="100"/>
              <w:right w:type="dxa" w:w="120"/>
            </w:tcMar>
            <w:vAlign w:val="center"/>
          </w:tcPr>
          <w:p>
            <w:r>
              <w:rPr>
                <w:sz w:val="20"/>
                <w:szCs w:val="20"/>
              </w:rPr>
              <w:t xml:space="preserve">Basic logging of uploads, questions, and answers is sufficient for the POC; a full audit trail is a future-phase requirement.</w:t>
            </w:r>
          </w:p>
        </w:tc>
      </w:tr>
    </w:tbl>
    <w:p>
      <w:pPr>
        <w:pStyle w:val="Heading1"/>
        <w:pBdr>
          <w:bottom w:val="single" w:color="2E5395" w:sz="6" w:space="4"/>
        </w:pBdr>
        <w:spacing w:after="200" w:before="400"/>
      </w:pPr>
      <w:r>
        <w:rPr>
          <w:b/>
          <w:bCs/>
          <w:color w:val="1F3864"/>
          <w:sz w:val="28"/>
          <w:szCs w:val="28"/>
        </w:rPr>
        <w:t xml:space="preserve">10. High-Level Solution Approach</w:t>
      </w:r>
    </w:p>
    <w:p>
      <w:pPr>
        <w:spacing w:after="160" w:line="276"/>
      </w:pPr>
      <w:r>
        <w:rPr>
          <w:sz w:val="22"/>
          <w:szCs w:val="22"/>
        </w:rPr>
        <w:t xml:space="preserve">This section explains the approach in plain terms. Detailed technical design (specific tools, infrastructure, and code architecture) belongs in a separate technical design document that follows this BRD — it is intentionally kept light here so the BRD stays a business-level reference.</w:t>
      </w:r>
    </w:p>
    <w:p>
      <w:pPr>
        <w:pStyle w:val="Heading2"/>
        <w:spacing w:after="120" w:before="300"/>
      </w:pPr>
      <w:r>
        <w:rPr>
          <w:b/>
          <w:bCs/>
          <w:color w:val="2E5395"/>
          <w:sz w:val="24"/>
          <w:szCs w:val="24"/>
        </w:rPr>
        <w:t xml:space="preserve">10.1 The core idea</w:t>
      </w:r>
    </w:p>
    <w:p>
      <w:pPr>
        <w:spacing w:after="160" w:line="276"/>
      </w:pPr>
      <w:r>
        <w:rPr>
          <w:sz w:val="22"/>
          <w:szCs w:val="22"/>
        </w:rPr>
        <w:t xml:space="preserve">Most AI document tools use a method called “retrieval-augmented generation” (RAG): the system searches the document for relevant passages and asks an AI model to answer using those passages. This works reasonably well but can still produce wrong or unsupported answers, especially for questions that require connecting facts across several documents.</w:t>
      </w:r>
    </w:p>
    <w:p>
      <w:pPr>
        <w:spacing w:after="160" w:line="276"/>
      </w:pPr>
      <w:r>
        <w:rPr>
          <w:sz w:val="22"/>
          <w:szCs w:val="22"/>
        </w:rPr>
        <w:t xml:space="preserve">Pod 3's approach adds a second layer on top of standard RAG: a knowledge graph. As documents are processed, the system also extracts entities (people, companies, dates, amounts, key terms) and the relationships between them, and stores this as a structured, connected map — not just as computer-searchable text. When answering a question, the system checks the answer against this structured map as well as the raw text, which catches inconsistencies a text-only search can miss.</w:t>
      </w:r>
    </w:p>
    <w:p>
      <w:pPr>
        <w:spacing w:after="160" w:line="276"/>
      </w:pPr>
      <w:r>
        <w:rPr>
          <w:sz w:val="22"/>
          <w:szCs w:val="22"/>
        </w:rPr>
        <w:t xml:space="preserve">This combined approach is sometimes referred to in the industry as “GraphRAG” (graph-augmented retrieval-augmented generation). It is a self-built capability for this POC — not dependent on a specific external vendor's proprietary knowledge graph product — built using open, well-established components (see Section 10.3).</w:t>
      </w:r>
    </w:p>
    <w:p>
      <w:pPr>
        <w:pStyle w:val="Heading2"/>
        <w:spacing w:after="120" w:before="300"/>
      </w:pPr>
      <w:r>
        <w:rPr>
          <w:b/>
          <w:bCs/>
          <w:color w:val="2E5395"/>
          <w:sz w:val="24"/>
          <w:szCs w:val="24"/>
        </w:rPr>
        <w:t xml:space="preserve">10.2 End-to-end flow</w:t>
      </w:r>
    </w:p>
    <w:p>
      <w:pPr>
        <w:pStyle w:val="ListParagraph"/>
        <w:numPr>
          <w:ilvl w:val="0"/>
          <w:numId w:val="3"/>
        </w:numPr>
        <w:spacing w:after="80" w:line="270"/>
      </w:pPr>
      <w:r>
        <w:rPr>
          <w:sz w:val="22"/>
          <w:szCs w:val="22"/>
        </w:rPr>
        <w:t xml:space="preserve">A user uploads documents into a workspace.</w:t>
      </w:r>
    </w:p>
    <w:p>
      <w:pPr>
        <w:pStyle w:val="ListParagraph"/>
        <w:numPr>
          <w:ilvl w:val="0"/>
          <w:numId w:val="3"/>
        </w:numPr>
        <w:spacing w:after="80" w:line="270"/>
      </w:pPr>
      <w:r>
        <w:rPr>
          <w:sz w:val="22"/>
          <w:szCs w:val="22"/>
        </w:rPr>
        <w:t xml:space="preserve">The system reads the documents, identifies their type, and pulls out key facts.</w:t>
      </w:r>
    </w:p>
    <w:p>
      <w:pPr>
        <w:pStyle w:val="ListParagraph"/>
        <w:numPr>
          <w:ilvl w:val="0"/>
          <w:numId w:val="3"/>
        </w:numPr>
        <w:spacing w:after="80" w:line="270"/>
      </w:pPr>
      <w:r>
        <w:rPr>
          <w:sz w:val="22"/>
          <w:szCs w:val="22"/>
        </w:rPr>
        <w:t xml:space="preserve">The system builds a knowledge graph connecting those facts, within and across documents.</w:t>
      </w:r>
    </w:p>
    <w:p>
      <w:pPr>
        <w:pStyle w:val="ListParagraph"/>
        <w:numPr>
          <w:ilvl w:val="0"/>
          <w:numId w:val="3"/>
        </w:numPr>
        <w:spacing w:after="80" w:line="270"/>
      </w:pPr>
      <w:r>
        <w:rPr>
          <w:sz w:val="22"/>
          <w:szCs w:val="22"/>
        </w:rPr>
        <w:t xml:space="preserve">The documents and the graph are both indexed and made searchable.</w:t>
      </w:r>
    </w:p>
    <w:p>
      <w:pPr>
        <w:pStyle w:val="ListParagraph"/>
        <w:numPr>
          <w:ilvl w:val="0"/>
          <w:numId w:val="3"/>
        </w:numPr>
        <w:spacing w:after="80" w:line="270"/>
      </w:pPr>
      <w:r>
        <w:rPr>
          <w:sz w:val="22"/>
          <w:szCs w:val="22"/>
        </w:rPr>
        <w:t xml:space="preserve">When a user asks a question, the system searches both the original document text and the knowledge graph, combines the findings, and generates an answer.</w:t>
      </w:r>
    </w:p>
    <w:p>
      <w:pPr>
        <w:pStyle w:val="ListParagraph"/>
        <w:numPr>
          <w:ilvl w:val="0"/>
          <w:numId w:val="3"/>
        </w:numPr>
        <w:spacing w:after="80" w:line="270"/>
      </w:pPr>
      <w:r>
        <w:rPr>
          <w:sz w:val="22"/>
          <w:szCs w:val="22"/>
        </w:rPr>
        <w:t xml:space="preserve">Before showing the answer, the system checks it against the retrieved evidence and the graph, and attaches a citation to the source.</w:t>
      </w:r>
    </w:p>
    <w:p>
      <w:pPr>
        <w:pStyle w:val="Heading2"/>
        <w:spacing w:after="120" w:before="300"/>
      </w:pPr>
      <w:r>
        <w:rPr>
          <w:b/>
          <w:bCs/>
          <w:color w:val="2E5395"/>
          <w:sz w:val="24"/>
          <w:szCs w:val="24"/>
        </w:rPr>
        <w:t xml:space="preserve">10.3 Solution components (business-level 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100"/>
              <w:left w:type="dxa" w:w="120"/>
              <w:bottom w:type="dxa" w:w="100"/>
              <w:right w:type="dxa" w:w="120"/>
            </w:tcMar>
            <w:vAlign w:val="center"/>
          </w:tcPr>
          <w:p>
            <w:r>
              <w:rPr>
                <w:b/>
                <w:bCs/>
                <w:color w:val="FFFFFF"/>
                <w:sz w:val="20"/>
                <w:szCs w:val="20"/>
              </w:rPr>
              <w:t xml:space="preserve">Component</w:t>
            </w:r>
          </w:p>
        </w:tc>
        <w:tc>
          <w:tcPr>
            <w:tcW w:type="dxa" w:w="620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3200"/>
            <w:tcMar>
              <w:top w:type="dxa" w:w="100"/>
              <w:left w:type="dxa" w:w="120"/>
              <w:bottom w:type="dxa" w:w="100"/>
              <w:right w:type="dxa" w:w="120"/>
            </w:tcMar>
            <w:vAlign w:val="center"/>
          </w:tcPr>
          <w:p>
            <w:r>
              <w:rPr>
                <w:sz w:val="20"/>
                <w:szCs w:val="20"/>
              </w:rPr>
              <w:t xml:space="preserve">Document processing</w:t>
            </w:r>
          </w:p>
        </w:tc>
        <w:tc>
          <w:tcPr>
            <w:tcW w:type="dxa" w:w="6200"/>
            <w:tcMar>
              <w:top w:type="dxa" w:w="100"/>
              <w:left w:type="dxa" w:w="120"/>
              <w:bottom w:type="dxa" w:w="100"/>
              <w:right w:type="dxa" w:w="120"/>
            </w:tcMar>
            <w:vAlign w:val="center"/>
          </w:tcPr>
          <w:p>
            <w:r>
              <w:rPr>
                <w:sz w:val="20"/>
                <w:szCs w:val="20"/>
              </w:rPr>
              <w:t xml:space="preserve">Reads PDF/DOCX files, extracts text and structure, and handles scanned pages where needed.</w:t>
            </w:r>
          </w:p>
        </w:tc>
      </w:tr>
      <w:tr>
        <w:tc>
          <w:tcPr>
            <w:tcW w:type="dxa" w:w="3200"/>
            <w:shd w:fill="EAF0F8" w:val="clear"/>
            <w:tcMar>
              <w:top w:type="dxa" w:w="100"/>
              <w:left w:type="dxa" w:w="120"/>
              <w:bottom w:type="dxa" w:w="100"/>
              <w:right w:type="dxa" w:w="120"/>
            </w:tcMar>
            <w:vAlign w:val="center"/>
          </w:tcPr>
          <w:p>
            <w:r>
              <w:rPr>
                <w:sz w:val="20"/>
                <w:szCs w:val="20"/>
              </w:rPr>
              <w:t xml:space="preserve">Understanding &amp; extraction engine</w:t>
            </w:r>
          </w:p>
        </w:tc>
        <w:tc>
          <w:tcPr>
            <w:tcW w:type="dxa" w:w="6200"/>
            <w:shd w:fill="EAF0F8" w:val="clear"/>
            <w:tcMar>
              <w:top w:type="dxa" w:w="100"/>
              <w:left w:type="dxa" w:w="120"/>
              <w:bottom w:type="dxa" w:w="100"/>
              <w:right w:type="dxa" w:w="120"/>
            </w:tcMar>
            <w:vAlign w:val="center"/>
          </w:tcPr>
          <w:p>
            <w:r>
              <w:rPr>
                <w:sz w:val="20"/>
                <w:szCs w:val="20"/>
              </w:rPr>
              <w:t xml:space="preserve">AI-driven step that classifies each document and pulls out key facts and summaries.</w:t>
            </w:r>
          </w:p>
        </w:tc>
      </w:tr>
      <w:tr>
        <w:tc>
          <w:tcPr>
            <w:tcW w:type="dxa" w:w="3200"/>
            <w:tcMar>
              <w:top w:type="dxa" w:w="100"/>
              <w:left w:type="dxa" w:w="120"/>
              <w:bottom w:type="dxa" w:w="100"/>
              <w:right w:type="dxa" w:w="120"/>
            </w:tcMar>
            <w:vAlign w:val="center"/>
          </w:tcPr>
          <w:p>
            <w:r>
              <w:rPr>
                <w:sz w:val="20"/>
                <w:szCs w:val="20"/>
              </w:rPr>
              <w:t xml:space="preserve">Knowledge graph</w:t>
            </w:r>
          </w:p>
        </w:tc>
        <w:tc>
          <w:tcPr>
            <w:tcW w:type="dxa" w:w="6200"/>
            <w:tcMar>
              <w:top w:type="dxa" w:w="100"/>
              <w:left w:type="dxa" w:w="120"/>
              <w:bottom w:type="dxa" w:w="100"/>
              <w:right w:type="dxa" w:w="120"/>
            </w:tcMar>
            <w:vAlign w:val="center"/>
          </w:tcPr>
          <w:p>
            <w:r>
              <w:rPr>
                <w:sz w:val="20"/>
                <w:szCs w:val="20"/>
              </w:rPr>
              <w:t xml:space="preserve">Structured store of entities and relationships, built from the extracted facts, used to ground and verify answers.</w:t>
            </w:r>
          </w:p>
        </w:tc>
      </w:tr>
      <w:tr>
        <w:tc>
          <w:tcPr>
            <w:tcW w:type="dxa" w:w="3200"/>
            <w:shd w:fill="EAF0F8" w:val="clear"/>
            <w:tcMar>
              <w:top w:type="dxa" w:w="100"/>
              <w:left w:type="dxa" w:w="120"/>
              <w:bottom w:type="dxa" w:w="100"/>
              <w:right w:type="dxa" w:w="120"/>
            </w:tcMar>
            <w:vAlign w:val="center"/>
          </w:tcPr>
          <w:p>
            <w:r>
              <w:rPr>
                <w:sz w:val="20"/>
                <w:szCs w:val="20"/>
              </w:rPr>
              <w:t xml:space="preserve">Search &amp; retrieval</w:t>
            </w:r>
          </w:p>
        </w:tc>
        <w:tc>
          <w:tcPr>
            <w:tcW w:type="dxa" w:w="6200"/>
            <w:shd w:fill="EAF0F8" w:val="clear"/>
            <w:tcMar>
              <w:top w:type="dxa" w:w="100"/>
              <w:left w:type="dxa" w:w="120"/>
              <w:bottom w:type="dxa" w:w="100"/>
              <w:right w:type="dxa" w:w="120"/>
            </w:tcMar>
            <w:vAlign w:val="center"/>
          </w:tcPr>
          <w:p>
            <w:r>
              <w:rPr>
                <w:sz w:val="20"/>
                <w:szCs w:val="20"/>
              </w:rPr>
              <w:t xml:space="preserve">Finds the most relevant passages and graph facts for a given question.</w:t>
            </w:r>
          </w:p>
        </w:tc>
      </w:tr>
      <w:tr>
        <w:tc>
          <w:tcPr>
            <w:tcW w:type="dxa" w:w="3200"/>
            <w:tcMar>
              <w:top w:type="dxa" w:w="100"/>
              <w:left w:type="dxa" w:w="120"/>
              <w:bottom w:type="dxa" w:w="100"/>
              <w:right w:type="dxa" w:w="120"/>
            </w:tcMar>
            <w:vAlign w:val="center"/>
          </w:tcPr>
          <w:p>
            <w:r>
              <w:rPr>
                <w:sz w:val="20"/>
                <w:szCs w:val="20"/>
              </w:rPr>
              <w:t xml:space="preserve">Answer generation &amp; verification</w:t>
            </w:r>
          </w:p>
        </w:tc>
        <w:tc>
          <w:tcPr>
            <w:tcW w:type="dxa" w:w="6200"/>
            <w:tcMar>
              <w:top w:type="dxa" w:w="100"/>
              <w:left w:type="dxa" w:w="120"/>
              <w:bottom w:type="dxa" w:w="100"/>
              <w:right w:type="dxa" w:w="120"/>
            </w:tcMar>
            <w:vAlign w:val="center"/>
          </w:tcPr>
          <w:p>
            <w:r>
              <w:rPr>
                <w:sz w:val="20"/>
                <w:szCs w:val="20"/>
              </w:rPr>
              <w:t xml:space="preserve">Produces the answer and checks it against the evidence before it's shown to the user.</w:t>
            </w:r>
          </w:p>
        </w:tc>
      </w:tr>
      <w:tr>
        <w:tc>
          <w:tcPr>
            <w:tcW w:type="dxa" w:w="3200"/>
            <w:shd w:fill="EAF0F8" w:val="clear"/>
            <w:tcMar>
              <w:top w:type="dxa" w:w="100"/>
              <w:left w:type="dxa" w:w="120"/>
              <w:bottom w:type="dxa" w:w="100"/>
              <w:right w:type="dxa" w:w="120"/>
            </w:tcMar>
            <w:vAlign w:val="center"/>
          </w:tcPr>
          <w:p>
            <w:r>
              <w:rPr>
                <w:sz w:val="20"/>
                <w:szCs w:val="20"/>
              </w:rPr>
              <w:t xml:space="preserve">Chat interface</w:t>
            </w:r>
          </w:p>
        </w:tc>
        <w:tc>
          <w:tcPr>
            <w:tcW w:type="dxa" w:w="6200"/>
            <w:shd w:fill="EAF0F8" w:val="clear"/>
            <w:tcMar>
              <w:top w:type="dxa" w:w="100"/>
              <w:left w:type="dxa" w:w="120"/>
              <w:bottom w:type="dxa" w:w="100"/>
              <w:right w:type="dxa" w:w="120"/>
            </w:tcMar>
            <w:vAlign w:val="center"/>
          </w:tcPr>
          <w:p>
            <w:r>
              <w:rPr>
                <w:sz w:val="20"/>
                <w:szCs w:val="20"/>
              </w:rPr>
              <w:t xml:space="preserve">Simple web interface for uploading documents, reviewing extracted information, and asking questions.</w:t>
            </w:r>
          </w:p>
        </w:tc>
      </w:tr>
      <w:tr>
        <w:tc>
          <w:tcPr>
            <w:tcW w:type="dxa" w:w="3200"/>
            <w:tcMar>
              <w:top w:type="dxa" w:w="100"/>
              <w:left w:type="dxa" w:w="120"/>
              <w:bottom w:type="dxa" w:w="100"/>
              <w:right w:type="dxa" w:w="120"/>
            </w:tcMar>
            <w:vAlign w:val="center"/>
          </w:tcPr>
          <w:p>
            <w:r>
              <w:rPr>
                <w:sz w:val="20"/>
                <w:szCs w:val="20"/>
              </w:rPr>
              <w:t xml:space="preserve">Evaluation harness</w:t>
            </w:r>
          </w:p>
        </w:tc>
        <w:tc>
          <w:tcPr>
            <w:tcW w:type="dxa" w:w="6200"/>
            <w:tcMar>
              <w:top w:type="dxa" w:w="100"/>
              <w:left w:type="dxa" w:w="120"/>
              <w:bottom w:type="dxa" w:w="100"/>
              <w:right w:type="dxa" w:w="120"/>
            </w:tcMar>
            <w:vAlign w:val="center"/>
          </w:tcPr>
          <w:p>
            <w:r>
              <w:rPr>
                <w:sz w:val="20"/>
                <w:szCs w:val="20"/>
              </w:rPr>
              <w:t xml:space="preserve">Runs the fixed test set and produces the accuracy comparison that proves (or disproves) the approach.</w:t>
            </w:r>
          </w:p>
        </w:tc>
      </w:tr>
    </w:tbl>
    <w:p>
      <w:pPr>
        <w:spacing w:after="160" w:line="276"/>
      </w:pPr>
      <w:r>
        <w:rPr>
          <w:sz w:val="22"/>
          <w:szCs w:val="22"/>
        </w:rPr>
        <w:t xml:space="preserve">Note: the earlier project discussion also introduced a concept called “OKF” (a portable Markdown-based knowledge format). For this POC, the knowledge graph is the priority differentiator; whether OKF is used as an underlying storage format for the graph, or left for a later phase, is a technical design decision, not a business requirement, and is left to the design document.</w:t>
      </w:r>
    </w:p>
    <w:p>
      <w:pPr>
        <w:pStyle w:val="Heading1"/>
        <w:pBdr>
          <w:bottom w:val="single" w:color="2E5395" w:sz="6" w:space="4"/>
        </w:pBdr>
        <w:spacing w:after="200" w:before="400"/>
      </w:pPr>
      <w:r>
        <w:rPr>
          <w:b/>
          <w:bCs/>
          <w:color w:val="1F3864"/>
          <w:sz w:val="28"/>
          <w:szCs w:val="28"/>
        </w:rPr>
        <w:t xml:space="preserve">11. Evaluation Approach</w:t>
      </w:r>
    </w:p>
    <w:p>
      <w:pPr>
        <w:spacing w:after="160" w:line="276"/>
      </w:pPr>
      <w:r>
        <w:rPr>
          <w:sz w:val="22"/>
          <w:szCs w:val="22"/>
        </w:rPr>
        <w:t xml:space="preserve">Because accuracy is the primary objective, the POC must include a defined, repeatable way to measure it — not just an informal impression from the demo.</w:t>
      </w:r>
    </w:p>
    <w:p>
      <w:pPr>
        <w:pStyle w:val="ListParagraph"/>
        <w:numPr>
          <w:ilvl w:val="0"/>
          <w:numId w:val="2"/>
        </w:numPr>
        <w:spacing w:after="80" w:line="270"/>
      </w:pPr>
      <w:r>
        <w:rPr>
          <w:sz w:val="22"/>
          <w:szCs w:val="22"/>
        </w:rPr>
        <w:t xml:space="preserve">Build a small but representative test set: a handful of documents across a few different types (e.g. one contract, one proposal, one financial report), each with a fixed list of questions and known correct answers.</w:t>
      </w:r>
    </w:p>
    <w:p>
      <w:pPr>
        <w:pStyle w:val="ListParagraph"/>
        <w:numPr>
          <w:ilvl w:val="0"/>
          <w:numId w:val="2"/>
        </w:numPr>
        <w:spacing w:after="80" w:line="270"/>
      </w:pPr>
      <w:r>
        <w:rPr>
          <w:sz w:val="22"/>
          <w:szCs w:val="22"/>
        </w:rPr>
        <w:t xml:space="preserve">Run every test question twice: once using standard retrieval only, and once using retrieval plus the knowledge graph.</w:t>
      </w:r>
    </w:p>
    <w:p>
      <w:pPr>
        <w:pStyle w:val="ListParagraph"/>
        <w:numPr>
          <w:ilvl w:val="0"/>
          <w:numId w:val="2"/>
        </w:numPr>
        <w:spacing w:after="80" w:line="270"/>
      </w:pPr>
      <w:r>
        <w:rPr>
          <w:sz w:val="22"/>
          <w:szCs w:val="22"/>
        </w:rPr>
        <w:t xml:space="preserve">Compare the two runs on: how often the answer was correct, how often it correctly cited its source, and how often it incorrectly stated something not actually supported by the documents (hallucination rate).</w:t>
      </w:r>
    </w:p>
    <w:p>
      <w:pPr>
        <w:pStyle w:val="ListParagraph"/>
        <w:numPr>
          <w:ilvl w:val="0"/>
          <w:numId w:val="2"/>
        </w:numPr>
        <w:spacing w:after="80" w:line="270"/>
      </w:pPr>
      <w:r>
        <w:rPr>
          <w:sz w:val="22"/>
          <w:szCs w:val="22"/>
        </w:rPr>
        <w:t xml:space="preserve">Use the comparison as the evidence for the accuracy exit criterion in Section 4.</w:t>
      </w:r>
    </w:p>
    <w:p>
      <w:pPr>
        <w:pStyle w:val="Heading1"/>
        <w:pBdr>
          <w:bottom w:val="single" w:color="2E5395" w:sz="6" w:space="4"/>
        </w:pBdr>
        <w:spacing w:after="200" w:before="400"/>
      </w:pPr>
      <w:r>
        <w:rPr>
          <w:b/>
          <w:bCs/>
          <w:color w:val="1F3864"/>
          <w:sz w:val="28"/>
          <w:szCs w:val="28"/>
        </w:rPr>
        <w:t xml:space="preserve">12. Assumptions</w:t>
      </w:r>
    </w:p>
    <w:p>
      <w:pPr>
        <w:pStyle w:val="ListParagraph"/>
        <w:numPr>
          <w:ilvl w:val="0"/>
          <w:numId w:val="2"/>
        </w:numPr>
        <w:spacing w:after="80" w:line="270"/>
      </w:pPr>
      <w:r>
        <w:rPr>
          <w:sz w:val="22"/>
          <w:szCs w:val="22"/>
        </w:rPr>
        <w:t xml:space="preserve">The team has (or will be given within the first week) access to the compute needed to run an AI model and a knowledge graph store for development and testing.</w:t>
      </w:r>
    </w:p>
    <w:p>
      <w:pPr>
        <w:pStyle w:val="ListParagraph"/>
        <w:numPr>
          <w:ilvl w:val="0"/>
          <w:numId w:val="2"/>
        </w:numPr>
        <w:spacing w:after="80" w:line="270"/>
      </w:pPr>
      <w:r>
        <w:rPr>
          <w:sz w:val="22"/>
          <w:szCs w:val="22"/>
        </w:rPr>
        <w:t xml:space="preserve">Sample/test documents representative of real business documents will be made available by the business for building the evaluation set.</w:t>
      </w:r>
    </w:p>
    <w:p>
      <w:pPr>
        <w:pStyle w:val="ListParagraph"/>
        <w:numPr>
          <w:ilvl w:val="0"/>
          <w:numId w:val="2"/>
        </w:numPr>
        <w:spacing w:after="80" w:line="270"/>
      </w:pPr>
      <w:r>
        <w:rPr>
          <w:sz w:val="22"/>
          <w:szCs w:val="22"/>
        </w:rPr>
        <w:t xml:space="preserve">The 4-week timeline and 5–6 person team are fixed and already approved; this BRD does not need to re-justify budget.</w:t>
      </w:r>
    </w:p>
    <w:p>
      <w:pPr>
        <w:pStyle w:val="ListParagraph"/>
        <w:numPr>
          <w:ilvl w:val="0"/>
          <w:numId w:val="2"/>
        </w:numPr>
        <w:spacing w:after="80" w:line="270"/>
      </w:pPr>
      <w:r>
        <w:rPr>
          <w:sz w:val="22"/>
          <w:szCs w:val="22"/>
        </w:rPr>
        <w:t xml:space="preserve">A production-grade security review is not required to run the POC, pending confirmation in Section 15 on data sensitivity.</w:t>
      </w:r>
    </w:p>
    <w:p>
      <w:pPr>
        <w:pStyle w:val="ListParagraph"/>
        <w:numPr>
          <w:ilvl w:val="0"/>
          <w:numId w:val="2"/>
        </w:numPr>
        <w:spacing w:after="80" w:line="270"/>
      </w:pPr>
      <w:r>
        <w:rPr>
          <w:sz w:val="22"/>
          <w:szCs w:val="22"/>
        </w:rPr>
        <w:t xml:space="preserve">The POC will run in a non-production, internal environment only.</w:t>
      </w:r>
    </w:p>
    <w:p>
      <w:pPr>
        <w:pStyle w:val="Heading1"/>
        <w:pBdr>
          <w:bottom w:val="single" w:color="2E5395" w:sz="6" w:space="4"/>
        </w:pBdr>
        <w:spacing w:after="200" w:before="400"/>
      </w:pPr>
      <w:r>
        <w:rPr>
          <w:b/>
          <w:bCs/>
          <w:color w:val="1F3864"/>
          <w:sz w:val="28"/>
          <w:szCs w:val="28"/>
        </w:rPr>
        <w:t xml:space="preserve">13. Constraints</w:t>
      </w:r>
    </w:p>
    <w:p>
      <w:pPr>
        <w:pStyle w:val="ListParagraph"/>
        <w:numPr>
          <w:ilvl w:val="0"/>
          <w:numId w:val="2"/>
        </w:numPr>
        <w:spacing w:after="80" w:line="270"/>
      </w:pPr>
      <w:r>
        <w:rPr>
          <w:sz w:val="22"/>
          <w:szCs w:val="22"/>
        </w:rPr>
        <w:t xml:space="preserve">Fixed timeline: 4 weeks, non-negotiable for this phase.</w:t>
      </w:r>
    </w:p>
    <w:p>
      <w:pPr>
        <w:pStyle w:val="ListParagraph"/>
        <w:numPr>
          <w:ilvl w:val="0"/>
          <w:numId w:val="2"/>
        </w:numPr>
        <w:spacing w:after="80" w:line="270"/>
      </w:pPr>
      <w:r>
        <w:rPr>
          <w:sz w:val="22"/>
          <w:szCs w:val="22"/>
        </w:rPr>
        <w:t xml:space="preserve">Fixed team size: 5–6 people covering all roles (architecture, backend, AI/ML, frontend, QA).</w:t>
      </w:r>
    </w:p>
    <w:p>
      <w:pPr>
        <w:pStyle w:val="ListParagraph"/>
        <w:numPr>
          <w:ilvl w:val="0"/>
          <w:numId w:val="2"/>
        </w:numPr>
        <w:spacing w:after="80" w:line="270"/>
      </w:pPr>
      <w:r>
        <w:rPr>
          <w:sz w:val="22"/>
          <w:szCs w:val="22"/>
        </w:rPr>
        <w:t xml:space="preserve">Scope must stay tightly limited to what's needed to prove the accuracy hypothesis and support a demo — features that don't serve either goal should be deferred (see Section 5.2).</w:t>
      </w:r>
    </w:p>
    <w:p>
      <w:pPr>
        <w:pStyle w:val="Heading1"/>
        <w:pBdr>
          <w:bottom w:val="single" w:color="2E5395" w:sz="6" w:space="4"/>
        </w:pBdr>
        <w:spacing w:after="200" w:before="400"/>
      </w:pPr>
      <w:r>
        <w:rPr>
          <w:b/>
          <w:bCs/>
          <w:color w:val="1F3864"/>
          <w:sz w:val="28"/>
          <w:szCs w:val="28"/>
        </w:rPr>
        <w:t xml:space="preserve">14. Risks and Mitigations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100"/>
      </w:tblGrid>
      <w:tr>
        <w:trPr>
          <w:tblHeader/>
        </w:trPr>
        <w:tc>
          <w:tcPr>
            <w:tcW w:type="dxa" w:w="3400"/>
            <w:shd w:fill="1F3864" w:val="clear"/>
            <w:tcMar>
              <w:top w:type="dxa" w:w="100"/>
              <w:left w:type="dxa" w:w="120"/>
              <w:bottom w:type="dxa" w:w="100"/>
              <w:right w:type="dxa" w:w="120"/>
            </w:tcMar>
            <w:vAlign w:val="center"/>
          </w:tcPr>
          <w:p>
            <w:r>
              <w:rPr>
                <w:b/>
                <w:bCs/>
                <w:color w:val="FFFFFF"/>
                <w:sz w:val="20"/>
                <w:szCs w:val="20"/>
              </w:rPr>
              <w:t xml:space="preserve">Risk</w:t>
            </w:r>
          </w:p>
        </w:tc>
        <w:tc>
          <w:tcPr>
            <w:tcW w:type="dxa" w:w="2900"/>
            <w:shd w:fill="1F3864" w:val="clear"/>
            <w:tcMar>
              <w:top w:type="dxa" w:w="100"/>
              <w:left w:type="dxa" w:w="120"/>
              <w:bottom w:type="dxa" w:w="100"/>
              <w:right w:type="dxa" w:w="120"/>
            </w:tcMar>
            <w:vAlign w:val="center"/>
          </w:tcPr>
          <w:p>
            <w:r>
              <w:rPr>
                <w:b/>
                <w:bCs/>
                <w:color w:val="FFFFFF"/>
                <w:sz w:val="20"/>
                <w:szCs w:val="20"/>
              </w:rPr>
              <w:t xml:space="preserve">Impact</w:t>
            </w:r>
          </w:p>
        </w:tc>
        <w:tc>
          <w:tcPr>
            <w:tcW w:type="dxa" w:w="3100"/>
            <w:shd w:fill="1F3864" w:val="clear"/>
            <w:tcMar>
              <w:top w:type="dxa" w:w="100"/>
              <w:left w:type="dxa" w:w="120"/>
              <w:bottom w:type="dxa" w:w="100"/>
              <w:right w:type="dxa" w:w="120"/>
            </w:tcMar>
            <w:vAlign w:val="center"/>
          </w:tcPr>
          <w:p>
            <w:r>
              <w:rPr>
                <w:b/>
                <w:bCs/>
                <w:color w:val="FFFFFF"/>
                <w:sz w:val="20"/>
                <w:szCs w:val="20"/>
              </w:rPr>
              <w:t xml:space="preserve">Mitigation</w:t>
            </w:r>
          </w:p>
        </w:tc>
      </w:tr>
      <w:tr>
        <w:tc>
          <w:tcPr>
            <w:tcW w:type="dxa" w:w="3400"/>
            <w:tcMar>
              <w:top w:type="dxa" w:w="100"/>
              <w:left w:type="dxa" w:w="120"/>
              <w:bottom w:type="dxa" w:w="100"/>
              <w:right w:type="dxa" w:w="120"/>
            </w:tcMar>
            <w:vAlign w:val="center"/>
          </w:tcPr>
          <w:p>
            <w:r>
              <w:rPr>
                <w:sz w:val="20"/>
                <w:szCs w:val="20"/>
              </w:rPr>
              <w:t xml:space="preserve">Knowledge graph adds complexity and may not be fully tunable in 4 weeks</w:t>
            </w:r>
          </w:p>
        </w:tc>
        <w:tc>
          <w:tcPr>
            <w:tcW w:type="dxa" w:w="2900"/>
            <w:tcMar>
              <w:top w:type="dxa" w:w="100"/>
              <w:left w:type="dxa" w:w="120"/>
              <w:bottom w:type="dxa" w:w="100"/>
              <w:right w:type="dxa" w:w="120"/>
            </w:tcMar>
            <w:vAlign w:val="center"/>
          </w:tcPr>
          <w:p>
            <w:r>
              <w:rPr>
                <w:sz w:val="20"/>
                <w:szCs w:val="20"/>
              </w:rPr>
              <w:t xml:space="preserve">High</w:t>
            </w:r>
          </w:p>
        </w:tc>
        <w:tc>
          <w:tcPr>
            <w:tcW w:type="dxa" w:w="3100"/>
            <w:tcMar>
              <w:top w:type="dxa" w:w="100"/>
              <w:left w:type="dxa" w:w="120"/>
              <w:bottom w:type="dxa" w:w="100"/>
              <w:right w:type="dxa" w:w="120"/>
            </w:tcMar>
            <w:vAlign w:val="center"/>
          </w:tcPr>
          <w:p>
            <w:r>
              <w:rPr>
                <w:sz w:val="20"/>
                <w:szCs w:val="20"/>
              </w:rPr>
              <w:t xml:space="preserve">Timebox graph-building to week 1–2; fall back to a simpler entity-linking approach if a full graph isn't ready in time, and still deliver the accuracy comparison with whatever depth is achieved.</w:t>
            </w:r>
          </w:p>
        </w:tc>
      </w:tr>
      <w:tr>
        <w:tc>
          <w:tcPr>
            <w:tcW w:type="dxa" w:w="3400"/>
            <w:shd w:fill="EAF0F8" w:val="clear"/>
            <w:tcMar>
              <w:top w:type="dxa" w:w="100"/>
              <w:left w:type="dxa" w:w="120"/>
              <w:bottom w:type="dxa" w:w="100"/>
              <w:right w:type="dxa" w:w="120"/>
            </w:tcMar>
            <w:vAlign w:val="center"/>
          </w:tcPr>
          <w:p>
            <w:r>
              <w:rPr>
                <w:sz w:val="20"/>
                <w:szCs w:val="20"/>
              </w:rPr>
              <w:t xml:space="preserve">Data sensitivity is not yet confirmed</w:t>
            </w:r>
          </w:p>
        </w:tc>
        <w:tc>
          <w:tcPr>
            <w:tcW w:type="dxa" w:w="2900"/>
            <w:shd w:fill="EAF0F8" w:val="clear"/>
            <w:tcMar>
              <w:top w:type="dxa" w:w="100"/>
              <w:left w:type="dxa" w:w="120"/>
              <w:bottom w:type="dxa" w:w="100"/>
              <w:right w:type="dxa" w:w="120"/>
            </w:tcMar>
            <w:vAlign w:val="center"/>
          </w:tcPr>
          <w:p>
            <w:r>
              <w:rPr>
                <w:sz w:val="20"/>
                <w:szCs w:val="20"/>
              </w:rPr>
              <w:t xml:space="preserve">Medium</w:t>
            </w:r>
          </w:p>
        </w:tc>
        <w:tc>
          <w:tcPr>
            <w:tcW w:type="dxa" w:w="3100"/>
            <w:shd w:fill="EAF0F8" w:val="clear"/>
            <w:tcMar>
              <w:top w:type="dxa" w:w="100"/>
              <w:left w:type="dxa" w:w="120"/>
              <w:bottom w:type="dxa" w:w="100"/>
              <w:right w:type="dxa" w:w="120"/>
            </w:tcMar>
            <w:vAlign w:val="center"/>
          </w:tcPr>
          <w:p>
            <w:r>
              <w:rPr>
                <w:sz w:val="20"/>
                <w:szCs w:val="20"/>
              </w:rPr>
              <w:t xml:space="preserve">Use non-sensitive or synthetic/sample documents for the POC until sensitivity is confirmed (see Section 15); avoid uploading real confidential material in the meantime.</w:t>
            </w:r>
          </w:p>
        </w:tc>
      </w:tr>
      <w:tr>
        <w:tc>
          <w:tcPr>
            <w:tcW w:type="dxa" w:w="3400"/>
            <w:tcMar>
              <w:top w:type="dxa" w:w="100"/>
              <w:left w:type="dxa" w:w="120"/>
              <w:bottom w:type="dxa" w:w="100"/>
              <w:right w:type="dxa" w:w="120"/>
            </w:tcMar>
            <w:vAlign w:val="center"/>
          </w:tcPr>
          <w:p>
            <w:r>
              <w:rPr>
                <w:sz w:val="20"/>
                <w:szCs w:val="20"/>
              </w:rPr>
              <w:t xml:space="preserve">“Accuracy improvement” could be hard to prove conclusively in a small test set</w:t>
            </w:r>
          </w:p>
        </w:tc>
        <w:tc>
          <w:tcPr>
            <w:tcW w:type="dxa" w:w="2900"/>
            <w:tcMar>
              <w:top w:type="dxa" w:w="100"/>
              <w:left w:type="dxa" w:w="120"/>
              <w:bottom w:type="dxa" w:w="100"/>
              <w:right w:type="dxa" w:w="120"/>
            </w:tcMar>
            <w:vAlign w:val="center"/>
          </w:tcPr>
          <w:p>
            <w:r>
              <w:rPr>
                <w:sz w:val="20"/>
                <w:szCs w:val="20"/>
              </w:rPr>
              <w:t xml:space="preserve">Medium</w:t>
            </w:r>
          </w:p>
        </w:tc>
        <w:tc>
          <w:tcPr>
            <w:tcW w:type="dxa" w:w="3100"/>
            <w:tcMar>
              <w:top w:type="dxa" w:w="100"/>
              <w:left w:type="dxa" w:w="120"/>
              <w:bottom w:type="dxa" w:w="100"/>
              <w:right w:type="dxa" w:w="120"/>
            </w:tcMar>
            <w:vAlign w:val="center"/>
          </w:tcPr>
          <w:p>
            <w:r>
              <w:rPr>
                <w:sz w:val="20"/>
                <w:szCs w:val="20"/>
              </w:rPr>
              <w:t xml:space="preserve">Keep the test set small but carefully designed, with clear right/wrong answers, so results are meaningful even at small scale.</w:t>
            </w:r>
          </w:p>
        </w:tc>
      </w:tr>
      <w:tr>
        <w:tc>
          <w:tcPr>
            <w:tcW w:type="dxa" w:w="3400"/>
            <w:shd w:fill="EAF0F8" w:val="clear"/>
            <w:tcMar>
              <w:top w:type="dxa" w:w="100"/>
              <w:left w:type="dxa" w:w="120"/>
              <w:bottom w:type="dxa" w:w="100"/>
              <w:right w:type="dxa" w:w="120"/>
            </w:tcMar>
            <w:vAlign w:val="center"/>
          </w:tcPr>
          <w:p>
            <w:r>
              <w:rPr>
                <w:sz w:val="20"/>
                <w:szCs w:val="20"/>
              </w:rPr>
              <w:t xml:space="preserve">Fixed 4-week timeline leaves little room for rework</w:t>
            </w:r>
          </w:p>
        </w:tc>
        <w:tc>
          <w:tcPr>
            <w:tcW w:type="dxa" w:w="2900"/>
            <w:shd w:fill="EAF0F8" w:val="clear"/>
            <w:tcMar>
              <w:top w:type="dxa" w:w="100"/>
              <w:left w:type="dxa" w:w="120"/>
              <w:bottom w:type="dxa" w:w="100"/>
              <w:right w:type="dxa" w:w="120"/>
            </w:tcMar>
            <w:vAlign w:val="center"/>
          </w:tcPr>
          <w:p>
            <w:r>
              <w:rPr>
                <w:sz w:val="20"/>
                <w:szCs w:val="20"/>
              </w:rPr>
              <w:t xml:space="preserve">Medium</w:t>
            </w:r>
          </w:p>
        </w:tc>
        <w:tc>
          <w:tcPr>
            <w:tcW w:type="dxa" w:w="3100"/>
            <w:shd w:fill="EAF0F8" w:val="clear"/>
            <w:tcMar>
              <w:top w:type="dxa" w:w="100"/>
              <w:left w:type="dxa" w:w="120"/>
              <w:bottom w:type="dxa" w:w="100"/>
              <w:right w:type="dxa" w:w="120"/>
            </w:tcMar>
            <w:vAlign w:val="center"/>
          </w:tcPr>
          <w:p>
            <w:r>
              <w:rPr>
                <w:sz w:val="20"/>
                <w:szCs w:val="20"/>
              </w:rPr>
              <w:t xml:space="preserve">Freeze scope per Section 5.1; any new request during the POC goes into the future-phase list, not the current sprint.</w:t>
            </w:r>
          </w:p>
        </w:tc>
      </w:tr>
      <w:tr>
        <w:tc>
          <w:tcPr>
            <w:tcW w:type="dxa" w:w="3400"/>
            <w:tcMar>
              <w:top w:type="dxa" w:w="100"/>
              <w:left w:type="dxa" w:w="120"/>
              <w:bottom w:type="dxa" w:w="100"/>
              <w:right w:type="dxa" w:w="120"/>
            </w:tcMar>
            <w:vAlign w:val="center"/>
          </w:tcPr>
          <w:p>
            <w:r>
              <w:rPr>
                <w:sz w:val="20"/>
                <w:szCs w:val="20"/>
              </w:rPr>
              <w:t xml:space="preserve">Team availability / mixed skill coverage across Java, Python/AI, and frontend in a small team</w:t>
            </w:r>
          </w:p>
        </w:tc>
        <w:tc>
          <w:tcPr>
            <w:tcW w:type="dxa" w:w="2900"/>
            <w:tcMar>
              <w:top w:type="dxa" w:w="100"/>
              <w:left w:type="dxa" w:w="120"/>
              <w:bottom w:type="dxa" w:w="100"/>
              <w:right w:type="dxa" w:w="120"/>
            </w:tcMar>
            <w:vAlign w:val="center"/>
          </w:tcPr>
          <w:p>
            <w:r>
              <w:rPr>
                <w:sz w:val="20"/>
                <w:szCs w:val="20"/>
              </w:rPr>
              <w:t xml:space="preserve">Low–Medium</w:t>
            </w:r>
          </w:p>
        </w:tc>
        <w:tc>
          <w:tcPr>
            <w:tcW w:type="dxa" w:w="3100"/>
            <w:tcMar>
              <w:top w:type="dxa" w:w="100"/>
              <w:left w:type="dxa" w:w="120"/>
              <w:bottom w:type="dxa" w:w="100"/>
              <w:right w:type="dxa" w:w="120"/>
            </w:tcMar>
            <w:vAlign w:val="center"/>
          </w:tcPr>
          <w:p>
            <w:r>
              <w:rPr>
                <w:sz w:val="20"/>
                <w:szCs w:val="20"/>
              </w:rPr>
              <w:t xml:space="preserve">Confirm role coverage at kickoff (Section 16) and flag gaps immediately.</w:t>
            </w:r>
          </w:p>
        </w:tc>
      </w:tr>
    </w:tbl>
    <w:p>
      <w:pPr>
        <w:pStyle w:val="Heading1"/>
        <w:pBdr>
          <w:bottom w:val="single" w:color="2E5395" w:sz="6" w:space="4"/>
        </w:pBdr>
        <w:spacing w:after="200" w:before="400"/>
      </w:pPr>
      <w:r>
        <w:rPr>
          <w:b/>
          <w:bCs/>
          <w:color w:val="1F3864"/>
          <w:sz w:val="28"/>
          <w:szCs w:val="28"/>
        </w:rPr>
        <w:t xml:space="preserve">15. Open Items Requiring a Decision</w:t>
      </w:r>
    </w:p>
    <w:p>
      <w:pPr>
        <w:spacing w:after="160" w:line="276"/>
      </w:pPr>
      <w:r>
        <w:rPr>
          <w:sz w:val="22"/>
          <w:szCs w:val="22"/>
        </w:rPr>
        <w:t xml:space="preserve">These items were not fully resolved during requirements gathering and should be confirmed before or early in the build, as they could affect scope or approach:</w:t>
      </w:r>
    </w:p>
    <w:p>
      <w:pPr>
        <w:pStyle w:val="ListParagraph"/>
        <w:numPr>
          <w:ilvl w:val="0"/>
          <w:numId w:val="2"/>
        </w:numPr>
        <w:spacing w:after="80" w:line="270"/>
      </w:pPr>
      <w:r>
        <w:rPr>
          <w:sz w:val="22"/>
          <w:szCs w:val="22"/>
        </w:rPr>
        <w:t xml:space="preserve">Data sensitivity: whether any documents used (even for testing) contain client-confidential, financial, or personal information, which would require additional handling/security measures.</w:t>
      </w:r>
    </w:p>
    <w:p>
      <w:pPr>
        <w:pStyle w:val="ListParagraph"/>
        <w:numPr>
          <w:ilvl w:val="0"/>
          <w:numId w:val="2"/>
        </w:numPr>
        <w:spacing w:after="80" w:line="270"/>
      </w:pPr>
      <w:r>
        <w:rPr>
          <w:sz w:val="22"/>
          <w:szCs w:val="22"/>
        </w:rPr>
        <w:t xml:space="preserve">Deployment environment: whether the POC runs on existing cloud infrastructure, on-prem, or a new sandbox environment, and whether GPU access is available for running AI models.</w:t>
      </w:r>
    </w:p>
    <w:p>
      <w:pPr>
        <w:pStyle w:val="ListParagraph"/>
        <w:numPr>
          <w:ilvl w:val="0"/>
          <w:numId w:val="2"/>
        </w:numPr>
        <w:spacing w:after="80" w:line="270"/>
      </w:pPr>
      <w:r>
        <w:rPr>
          <w:sz w:val="22"/>
          <w:szCs w:val="22"/>
        </w:rPr>
        <w:t xml:space="preserve">Demo audience and date: exact date and attendee list for the leadership demo, so the timeline in Section 16 can be finalised around it.</w:t>
      </w:r>
    </w:p>
    <w:p>
      <w:pPr>
        <w:pStyle w:val="ListParagraph"/>
        <w:numPr>
          <w:ilvl w:val="0"/>
          <w:numId w:val="2"/>
        </w:numPr>
        <w:spacing w:after="80" w:line="270"/>
      </w:pPr>
      <w:r>
        <w:rPr>
          <w:sz w:val="22"/>
          <w:szCs w:val="22"/>
        </w:rPr>
        <w:t xml:space="preserve">Which sample documents will represent the test set (Section 11) — needs to be sourced from the business.</w:t>
      </w:r>
    </w:p>
    <w:p>
      <w:pPr>
        <w:pStyle w:val="ListParagraph"/>
        <w:numPr>
          <w:ilvl w:val="0"/>
          <w:numId w:val="2"/>
        </w:numPr>
        <w:spacing w:after="80" w:line="270"/>
      </w:pPr>
      <w:r>
        <w:rPr>
          <w:sz w:val="22"/>
          <w:szCs w:val="22"/>
        </w:rPr>
        <w:t xml:space="preserve">Whether findings from Pod 3 are expected to align with or feed into other pods' work (currently assumed independent, since “Pod 3” is simply this team's name, not a dependency).</w:t>
      </w:r>
    </w:p>
    <w:p>
      <w:pPr>
        <w:pStyle w:val="Heading1"/>
        <w:pBdr>
          <w:bottom w:val="single" w:color="2E5395" w:sz="6" w:space="4"/>
        </w:pBdr>
        <w:spacing w:after="200" w:before="400"/>
      </w:pPr>
      <w:r>
        <w:rPr>
          <w:b/>
          <w:bCs/>
          <w:color w:val="1F3864"/>
          <w:sz w:val="28"/>
          <w:szCs w:val="28"/>
        </w:rPr>
        <w:t xml:space="preserve">16. Indicative Timeline (4 Weeks)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7800"/>
      </w:tblGrid>
      <w:tr>
        <w:trPr>
          <w:tblHeader/>
        </w:trPr>
        <w:tc>
          <w:tcPr>
            <w:tcW w:type="dxa" w:w="1600"/>
            <w:shd w:fill="1F3864" w:val="clear"/>
            <w:tcMar>
              <w:top w:type="dxa" w:w="100"/>
              <w:left w:type="dxa" w:w="120"/>
              <w:bottom w:type="dxa" w:w="100"/>
              <w:right w:type="dxa" w:w="120"/>
            </w:tcMar>
            <w:vAlign w:val="center"/>
          </w:tcPr>
          <w:p>
            <w:r>
              <w:rPr>
                <w:b/>
                <w:bCs/>
                <w:color w:val="FFFFFF"/>
                <w:sz w:val="20"/>
                <w:szCs w:val="20"/>
              </w:rPr>
              <w:t xml:space="preserve">Week</w:t>
            </w:r>
          </w:p>
        </w:tc>
        <w:tc>
          <w:tcPr>
            <w:tcW w:type="dxa" w:w="7800"/>
            <w:shd w:fill="1F3864" w:val="clear"/>
            <w:tcMar>
              <w:top w:type="dxa" w:w="100"/>
              <w:left w:type="dxa" w:w="120"/>
              <w:bottom w:type="dxa" w:w="100"/>
              <w:right w:type="dxa" w:w="120"/>
            </w:tcMar>
            <w:vAlign w:val="center"/>
          </w:tcPr>
          <w:p>
            <w:r>
              <w:rPr>
                <w:b/>
                <w:bCs/>
                <w:color w:val="FFFFFF"/>
                <w:sz w:val="20"/>
                <w:szCs w:val="20"/>
              </w:rPr>
              <w:t xml:space="preserve">Focus</w:t>
            </w:r>
          </w:p>
        </w:tc>
      </w:tr>
      <w:tr>
        <w:tc>
          <w:tcPr>
            <w:tcW w:type="dxa" w:w="1600"/>
            <w:tcMar>
              <w:top w:type="dxa" w:w="100"/>
              <w:left w:type="dxa" w:w="120"/>
              <w:bottom w:type="dxa" w:w="100"/>
              <w:right w:type="dxa" w:w="120"/>
            </w:tcMar>
            <w:vAlign w:val="center"/>
          </w:tcPr>
          <w:p>
            <w:r>
              <w:rPr>
                <w:sz w:val="20"/>
                <w:szCs w:val="20"/>
              </w:rPr>
              <w:t xml:space="preserve">Week 1</w:t>
            </w:r>
          </w:p>
        </w:tc>
        <w:tc>
          <w:tcPr>
            <w:tcW w:type="dxa" w:w="7800"/>
            <w:tcMar>
              <w:top w:type="dxa" w:w="100"/>
              <w:left w:type="dxa" w:w="120"/>
              <w:bottom w:type="dxa" w:w="100"/>
              <w:right w:type="dxa" w:w="120"/>
            </w:tcMar>
            <w:vAlign w:val="center"/>
          </w:tcPr>
          <w:p>
            <w:r>
              <w:rPr>
                <w:sz w:val="20"/>
                <w:szCs w:val="20"/>
              </w:rPr>
              <w:t xml:space="preserve">Set up the environment; build document upload and processing; begin automatic extraction of key facts.</w:t>
            </w:r>
          </w:p>
        </w:tc>
      </w:tr>
      <w:tr>
        <w:tc>
          <w:tcPr>
            <w:tcW w:type="dxa" w:w="1600"/>
            <w:shd w:fill="EAF0F8" w:val="clear"/>
            <w:tcMar>
              <w:top w:type="dxa" w:w="100"/>
              <w:left w:type="dxa" w:w="120"/>
              <w:bottom w:type="dxa" w:w="100"/>
              <w:right w:type="dxa" w:w="120"/>
            </w:tcMar>
            <w:vAlign w:val="center"/>
          </w:tcPr>
          <w:p>
            <w:r>
              <w:rPr>
                <w:sz w:val="20"/>
                <w:szCs w:val="20"/>
              </w:rPr>
              <w:t xml:space="preserve">Week 2</w:t>
            </w:r>
          </w:p>
        </w:tc>
        <w:tc>
          <w:tcPr>
            <w:tcW w:type="dxa" w:w="7800"/>
            <w:shd w:fill="EAF0F8" w:val="clear"/>
            <w:tcMar>
              <w:top w:type="dxa" w:w="100"/>
              <w:left w:type="dxa" w:w="120"/>
              <w:bottom w:type="dxa" w:w="100"/>
              <w:right w:type="dxa" w:w="120"/>
            </w:tcMar>
            <w:vAlign w:val="center"/>
          </w:tcPr>
          <w:p>
            <w:r>
              <w:rPr>
                <w:sz w:val="20"/>
                <w:szCs w:val="20"/>
              </w:rPr>
              <w:t xml:space="preserve">Complete extraction and summaries; build the first version of the knowledge graph; index documents for search.</w:t>
            </w:r>
          </w:p>
        </w:tc>
      </w:tr>
      <w:tr>
        <w:tc>
          <w:tcPr>
            <w:tcW w:type="dxa" w:w="1600"/>
            <w:tcMar>
              <w:top w:type="dxa" w:w="100"/>
              <w:left w:type="dxa" w:w="120"/>
              <w:bottom w:type="dxa" w:w="100"/>
              <w:right w:type="dxa" w:w="120"/>
            </w:tcMar>
            <w:vAlign w:val="center"/>
          </w:tcPr>
          <w:p>
            <w:r>
              <w:rPr>
                <w:sz w:val="20"/>
                <w:szCs w:val="20"/>
              </w:rPr>
              <w:t xml:space="preserve">Week 3</w:t>
            </w:r>
          </w:p>
        </w:tc>
        <w:tc>
          <w:tcPr>
            <w:tcW w:type="dxa" w:w="7800"/>
            <w:tcMar>
              <w:top w:type="dxa" w:w="100"/>
              <w:left w:type="dxa" w:w="120"/>
              <w:bottom w:type="dxa" w:w="100"/>
              <w:right w:type="dxa" w:w="120"/>
            </w:tcMar>
            <w:vAlign w:val="center"/>
          </w:tcPr>
          <w:p>
            <w:r>
              <w:rPr>
                <w:sz w:val="20"/>
                <w:szCs w:val="20"/>
              </w:rPr>
              <w:t xml:space="preserve">Build the chat/question-answering layer combining text search and the knowledge graph; add citations.</w:t>
            </w:r>
          </w:p>
        </w:tc>
      </w:tr>
      <w:tr>
        <w:tc>
          <w:tcPr>
            <w:tcW w:type="dxa" w:w="1600"/>
            <w:shd w:fill="EAF0F8" w:val="clear"/>
            <w:tcMar>
              <w:top w:type="dxa" w:w="100"/>
              <w:left w:type="dxa" w:w="120"/>
              <w:bottom w:type="dxa" w:w="100"/>
              <w:right w:type="dxa" w:w="120"/>
            </w:tcMar>
            <w:vAlign w:val="center"/>
          </w:tcPr>
          <w:p>
            <w:r>
              <w:rPr>
                <w:sz w:val="20"/>
                <w:szCs w:val="20"/>
              </w:rPr>
              <w:t xml:space="preserve">Week 4</w:t>
            </w:r>
          </w:p>
        </w:tc>
        <w:tc>
          <w:tcPr>
            <w:tcW w:type="dxa" w:w="7800"/>
            <w:shd w:fill="EAF0F8" w:val="clear"/>
            <w:tcMar>
              <w:top w:type="dxa" w:w="100"/>
              <w:left w:type="dxa" w:w="120"/>
              <w:bottom w:type="dxa" w:w="100"/>
              <w:right w:type="dxa" w:w="120"/>
            </w:tcMar>
            <w:vAlign w:val="center"/>
          </w:tcPr>
          <w:p>
            <w:r>
              <w:rPr>
                <w:sz w:val="20"/>
                <w:szCs w:val="20"/>
              </w:rPr>
              <w:t xml:space="preserve">Build and run the accuracy evaluation (retrieval-only vs retrieval+graph); fix issues; prepare and rehearse the leadership demo.</w:t>
            </w:r>
          </w:p>
        </w:tc>
      </w:tr>
    </w:tbl>
    <w:p>
      <w:pPr>
        <w:spacing w:after="160" w:line="276"/>
      </w:pPr>
      <w:r>
        <w:rPr>
          <w:sz w:val="22"/>
          <w:szCs w:val="22"/>
        </w:rPr>
        <w:t xml:space="preserve">This is indicative and will be refined into a detailed sprint plan by the team at kickoff.</w:t>
      </w:r>
    </w:p>
    <w:p>
      <w:pPr>
        <w:pStyle w:val="Heading1"/>
        <w:pBdr>
          <w:bottom w:val="single" w:color="2E5395" w:sz="6" w:space="4"/>
        </w:pBdr>
        <w:spacing w:after="200" w:before="400"/>
      </w:pPr>
      <w:r>
        <w:rPr>
          <w:b/>
          <w:bCs/>
          <w:color w:val="1F3864"/>
          <w:sz w:val="28"/>
          <w:szCs w:val="28"/>
        </w:rPr>
        <w:t xml:space="preserve">17. Team (Pod 3)</w:t>
      </w:r>
    </w:p>
    <w:p>
      <w:pPr>
        <w:spacing w:after="160" w:line="276"/>
      </w:pPr>
      <w:r>
        <w:rPr>
          <w:sz w:val="22"/>
          <w:szCs w:val="22"/>
        </w:rPr>
        <w:t xml:space="preserve">A team of 5–6 people is required, covering the following areas. One person may cover more than one area given the small team size.</w:t>
      </w:r>
    </w:p>
    <w:p>
      <w:pPr>
        <w:pStyle w:val="ListParagraph"/>
        <w:numPr>
          <w:ilvl w:val="0"/>
          <w:numId w:val="2"/>
        </w:numPr>
        <w:spacing w:after="80" w:line="270"/>
      </w:pPr>
      <w:r>
        <w:rPr>
          <w:sz w:val="22"/>
          <w:szCs w:val="22"/>
        </w:rPr>
        <w:t xml:space="preserve">Technical lead / architect — overall design, integration, and accuracy strategy.</w:t>
      </w:r>
    </w:p>
    <w:p>
      <w:pPr>
        <w:pStyle w:val="ListParagraph"/>
        <w:numPr>
          <w:ilvl w:val="0"/>
          <w:numId w:val="2"/>
        </w:numPr>
        <w:spacing w:after="80" w:line="270"/>
      </w:pPr>
      <w:r>
        <w:rPr>
          <w:sz w:val="22"/>
          <w:szCs w:val="22"/>
        </w:rPr>
        <w:t xml:space="preserve">Backend engineer(s) — core application, workspaces, documents, chat sessions.</w:t>
      </w:r>
    </w:p>
    <w:p>
      <w:pPr>
        <w:pStyle w:val="ListParagraph"/>
        <w:numPr>
          <w:ilvl w:val="0"/>
          <w:numId w:val="2"/>
        </w:numPr>
        <w:spacing w:after="80" w:line="270"/>
      </w:pPr>
      <w:r>
        <w:rPr>
          <w:sz w:val="22"/>
          <w:szCs w:val="22"/>
        </w:rPr>
        <w:t xml:space="preserve">AI/ML engineer(s) — document extraction, knowledge graph construction, retrieval, and evaluation.</w:t>
      </w:r>
    </w:p>
    <w:p>
      <w:pPr>
        <w:pStyle w:val="ListParagraph"/>
        <w:numPr>
          <w:ilvl w:val="0"/>
          <w:numId w:val="2"/>
        </w:numPr>
        <w:spacing w:after="80" w:line="270"/>
      </w:pPr>
      <w:r>
        <w:rPr>
          <w:sz w:val="22"/>
          <w:szCs w:val="22"/>
        </w:rPr>
        <w:t xml:space="preserve">Frontend engineer — upload, extracted-information view, and chat interface.</w:t>
      </w:r>
    </w:p>
    <w:p>
      <w:pPr>
        <w:pStyle w:val="ListParagraph"/>
        <w:numPr>
          <w:ilvl w:val="0"/>
          <w:numId w:val="2"/>
        </w:numPr>
        <w:spacing w:after="80" w:line="270"/>
      </w:pPr>
      <w:r>
        <w:rPr>
          <w:sz w:val="22"/>
          <w:szCs w:val="22"/>
        </w:rPr>
        <w:t xml:space="preserve">QA / evaluation — building the test set, running the accuracy comparison, and validating the demo.</w:t>
      </w:r>
    </w:p>
    <w:p>
      <w:pPr>
        <w:pStyle w:val="Heading1"/>
        <w:pBdr>
          <w:bottom w:val="single" w:color="2E5395" w:sz="6" w:space="4"/>
        </w:pBdr>
        <w:spacing w:after="200" w:before="400"/>
      </w:pPr>
      <w:r>
        <w:rPr>
          <w:b/>
          <w:bCs/>
          <w:color w:val="1F3864"/>
          <w:sz w:val="28"/>
          <w:szCs w:val="28"/>
        </w:rPr>
        <w:t xml:space="preserve">18. Glossary (Plain-English Definitions)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Term</w:t>
            </w:r>
          </w:p>
        </w:tc>
        <w:tc>
          <w:tcPr>
            <w:tcW w:type="dxa" w:w="7000"/>
            <w:shd w:fill="1F3864" w:val="clear"/>
            <w:tcMar>
              <w:top w:type="dxa" w:w="100"/>
              <w:left w:type="dxa" w:w="120"/>
              <w:bottom w:type="dxa" w:w="100"/>
              <w:right w:type="dxa" w:w="120"/>
            </w:tcMar>
            <w:vAlign w:val="center"/>
          </w:tcPr>
          <w:p>
            <w:r>
              <w:rPr>
                <w:b/>
                <w:bCs/>
                <w:color w:val="FFFFFF"/>
                <w:sz w:val="20"/>
                <w:szCs w:val="20"/>
              </w:rPr>
              <w:t xml:space="preserve">Plain-English meaning</w:t>
            </w:r>
          </w:p>
        </w:tc>
      </w:tr>
      <w:tr>
        <w:tc>
          <w:tcPr>
            <w:tcW w:type="dxa" w:w="2400"/>
            <w:tcMar>
              <w:top w:type="dxa" w:w="100"/>
              <w:left w:type="dxa" w:w="120"/>
              <w:bottom w:type="dxa" w:w="100"/>
              <w:right w:type="dxa" w:w="120"/>
            </w:tcMar>
            <w:vAlign w:val="center"/>
          </w:tcPr>
          <w:p>
            <w:r>
              <w:rPr>
                <w:sz w:val="20"/>
                <w:szCs w:val="20"/>
              </w:rPr>
              <w:t xml:space="preserve">RAG (Retrieval-Augmented Generation)</w:t>
            </w:r>
          </w:p>
        </w:tc>
        <w:tc>
          <w:tcPr>
            <w:tcW w:type="dxa" w:w="7000"/>
            <w:tcMar>
              <w:top w:type="dxa" w:w="100"/>
              <w:left w:type="dxa" w:w="120"/>
              <w:bottom w:type="dxa" w:w="100"/>
              <w:right w:type="dxa" w:w="120"/>
            </w:tcMar>
            <w:vAlign w:val="center"/>
          </w:tcPr>
          <w:p>
            <w:r>
              <w:rPr>
                <w:sz w:val="20"/>
                <w:szCs w:val="20"/>
              </w:rPr>
              <w:t xml:space="preserve">A method where the AI first searches documents for relevant passages, then uses those passages to write an answer, instead of relying only on what it already “knows.”</w:t>
            </w:r>
          </w:p>
        </w:tc>
      </w:tr>
      <w:tr>
        <w:tc>
          <w:tcPr>
            <w:tcW w:type="dxa" w:w="2400"/>
            <w:shd w:fill="EAF0F8" w:val="clear"/>
            <w:tcMar>
              <w:top w:type="dxa" w:w="100"/>
              <w:left w:type="dxa" w:w="120"/>
              <w:bottom w:type="dxa" w:w="100"/>
              <w:right w:type="dxa" w:w="120"/>
            </w:tcMar>
            <w:vAlign w:val="center"/>
          </w:tcPr>
          <w:p>
            <w:r>
              <w:rPr>
                <w:sz w:val="20"/>
                <w:szCs w:val="20"/>
              </w:rPr>
              <w:t xml:space="preserve">Knowledge graph</w:t>
            </w:r>
          </w:p>
        </w:tc>
        <w:tc>
          <w:tcPr>
            <w:tcW w:type="dxa" w:w="7000"/>
            <w:shd w:fill="EAF0F8" w:val="clear"/>
            <w:tcMar>
              <w:top w:type="dxa" w:w="100"/>
              <w:left w:type="dxa" w:w="120"/>
              <w:bottom w:type="dxa" w:w="100"/>
              <w:right w:type="dxa" w:w="120"/>
            </w:tcMar>
            <w:vAlign w:val="center"/>
          </w:tcPr>
          <w:p>
            <w:r>
              <w:rPr>
                <w:sz w:val="20"/>
                <w:szCs w:val="20"/>
              </w:rPr>
              <w:t xml:space="preserve">A structured map of facts and how they connect — e.g. “Company A” — signed — “Contract X” — expires on — “31 March” — rather than just plain text.</w:t>
            </w:r>
          </w:p>
        </w:tc>
      </w:tr>
      <w:tr>
        <w:tc>
          <w:tcPr>
            <w:tcW w:type="dxa" w:w="2400"/>
            <w:tcMar>
              <w:top w:type="dxa" w:w="100"/>
              <w:left w:type="dxa" w:w="120"/>
              <w:bottom w:type="dxa" w:w="100"/>
              <w:right w:type="dxa" w:w="120"/>
            </w:tcMar>
            <w:vAlign w:val="center"/>
          </w:tcPr>
          <w:p>
            <w:r>
              <w:rPr>
                <w:sz w:val="20"/>
                <w:szCs w:val="20"/>
              </w:rPr>
              <w:t xml:space="preserve">GraphRAG</w:t>
            </w:r>
          </w:p>
        </w:tc>
        <w:tc>
          <w:tcPr>
            <w:tcW w:type="dxa" w:w="7000"/>
            <w:tcMar>
              <w:top w:type="dxa" w:w="100"/>
              <w:left w:type="dxa" w:w="120"/>
              <w:bottom w:type="dxa" w:w="100"/>
              <w:right w:type="dxa" w:w="120"/>
            </w:tcMar>
            <w:vAlign w:val="center"/>
          </w:tcPr>
          <w:p>
            <w:r>
              <w:rPr>
                <w:sz w:val="20"/>
                <w:szCs w:val="20"/>
              </w:rPr>
              <w:t xml:space="preserve">An approach that combines standard document search (RAG) with a knowledge graph, so answers can be checked against structured facts as well as raw text.</w:t>
            </w:r>
          </w:p>
        </w:tc>
      </w:tr>
      <w:tr>
        <w:tc>
          <w:tcPr>
            <w:tcW w:type="dxa" w:w="2400"/>
            <w:shd w:fill="EAF0F8" w:val="clear"/>
            <w:tcMar>
              <w:top w:type="dxa" w:w="100"/>
              <w:left w:type="dxa" w:w="120"/>
              <w:bottom w:type="dxa" w:w="100"/>
              <w:right w:type="dxa" w:w="120"/>
            </w:tcMar>
            <w:vAlign w:val="center"/>
          </w:tcPr>
          <w:p>
            <w:r>
              <w:rPr>
                <w:sz w:val="20"/>
                <w:szCs w:val="20"/>
              </w:rPr>
              <w:t xml:space="preserve">Hallucination</w:t>
            </w:r>
          </w:p>
        </w:tc>
        <w:tc>
          <w:tcPr>
            <w:tcW w:type="dxa" w:w="7000"/>
            <w:shd w:fill="EAF0F8" w:val="clear"/>
            <w:tcMar>
              <w:top w:type="dxa" w:w="100"/>
              <w:left w:type="dxa" w:w="120"/>
              <w:bottom w:type="dxa" w:w="100"/>
              <w:right w:type="dxa" w:w="120"/>
            </w:tcMar>
            <w:vAlign w:val="center"/>
          </w:tcPr>
          <w:p>
            <w:r>
              <w:rPr>
                <w:sz w:val="20"/>
                <w:szCs w:val="20"/>
              </w:rPr>
              <w:t xml:space="preserve">When an AI states something confidently that is not actually true or not actually supported by the source material.</w:t>
            </w:r>
          </w:p>
        </w:tc>
      </w:tr>
      <w:tr>
        <w:tc>
          <w:tcPr>
            <w:tcW w:type="dxa" w:w="2400"/>
            <w:tcMar>
              <w:top w:type="dxa" w:w="100"/>
              <w:left w:type="dxa" w:w="120"/>
              <w:bottom w:type="dxa" w:w="100"/>
              <w:right w:type="dxa" w:w="120"/>
            </w:tcMar>
            <w:vAlign w:val="center"/>
          </w:tcPr>
          <w:p>
            <w:r>
              <w:rPr>
                <w:sz w:val="20"/>
                <w:szCs w:val="20"/>
              </w:rPr>
              <w:t xml:space="preserve">Citation</w:t>
            </w:r>
          </w:p>
        </w:tc>
        <w:tc>
          <w:tcPr>
            <w:tcW w:type="dxa" w:w="7000"/>
            <w:tcMar>
              <w:top w:type="dxa" w:w="100"/>
              <w:left w:type="dxa" w:w="120"/>
              <w:bottom w:type="dxa" w:w="100"/>
              <w:right w:type="dxa" w:w="120"/>
            </w:tcMar>
            <w:vAlign w:val="center"/>
          </w:tcPr>
          <w:p>
            <w:r>
              <w:rPr>
                <w:sz w:val="20"/>
                <w:szCs w:val="20"/>
              </w:rPr>
              <w:t xml:space="preserve">A reference attached to an answer showing exactly which document, page, and section it came from.</w:t>
            </w:r>
          </w:p>
        </w:tc>
      </w:tr>
      <w:tr>
        <w:tc>
          <w:tcPr>
            <w:tcW w:type="dxa" w:w="2400"/>
            <w:shd w:fill="EAF0F8" w:val="clear"/>
            <w:tcMar>
              <w:top w:type="dxa" w:w="100"/>
              <w:left w:type="dxa" w:w="120"/>
              <w:bottom w:type="dxa" w:w="100"/>
              <w:right w:type="dxa" w:w="120"/>
            </w:tcMar>
            <w:vAlign w:val="center"/>
          </w:tcPr>
          <w:p>
            <w:r>
              <w:rPr>
                <w:sz w:val="20"/>
                <w:szCs w:val="20"/>
              </w:rPr>
              <w:t xml:space="preserve">Embedding</w:t>
            </w:r>
          </w:p>
        </w:tc>
        <w:tc>
          <w:tcPr>
            <w:tcW w:type="dxa" w:w="7000"/>
            <w:shd w:fill="EAF0F8" w:val="clear"/>
            <w:tcMar>
              <w:top w:type="dxa" w:w="100"/>
              <w:left w:type="dxa" w:w="120"/>
              <w:bottom w:type="dxa" w:w="100"/>
              <w:right w:type="dxa" w:w="120"/>
            </w:tcMar>
            <w:vAlign w:val="center"/>
          </w:tcPr>
          <w:p>
            <w:r>
              <w:rPr>
                <w:sz w:val="20"/>
                <w:szCs w:val="20"/>
              </w:rPr>
              <w:t xml:space="preserve">A way of converting text into numbers so a computer can find passages that are similar in meaning, not just similar in exact wording.</w:t>
            </w:r>
          </w:p>
        </w:tc>
      </w:tr>
      <w:tr>
        <w:tc>
          <w:tcPr>
            <w:tcW w:type="dxa" w:w="2400"/>
            <w:tcMar>
              <w:top w:type="dxa" w:w="100"/>
              <w:left w:type="dxa" w:w="120"/>
              <w:bottom w:type="dxa" w:w="100"/>
              <w:right w:type="dxa" w:w="120"/>
            </w:tcMar>
            <w:vAlign w:val="center"/>
          </w:tcPr>
          <w:p>
            <w:r>
              <w:rPr>
                <w:sz w:val="20"/>
                <w:szCs w:val="20"/>
              </w:rPr>
              <w:t xml:space="preserve">Entity extraction</w:t>
            </w:r>
          </w:p>
        </w:tc>
        <w:tc>
          <w:tcPr>
            <w:tcW w:type="dxa" w:w="7000"/>
            <w:tcMar>
              <w:top w:type="dxa" w:w="100"/>
              <w:left w:type="dxa" w:w="120"/>
              <w:bottom w:type="dxa" w:w="100"/>
              <w:right w:type="dxa" w:w="120"/>
            </w:tcMar>
            <w:vAlign w:val="center"/>
          </w:tcPr>
          <w:p>
            <w:r>
              <w:rPr>
                <w:sz w:val="20"/>
                <w:szCs w:val="20"/>
              </w:rPr>
              <w:t xml:space="preserve">Automatically identifying important items in a document — people, companies, dates, amounts — so they can be tracked and connected.</w:t>
            </w:r>
          </w:p>
        </w:tc>
      </w:tr>
      <w:tr>
        <w:tc>
          <w:tcPr>
            <w:tcW w:type="dxa" w:w="2400"/>
            <w:shd w:fill="EAF0F8" w:val="clear"/>
            <w:tcMar>
              <w:top w:type="dxa" w:w="100"/>
              <w:left w:type="dxa" w:w="120"/>
              <w:bottom w:type="dxa" w:w="100"/>
              <w:right w:type="dxa" w:w="120"/>
            </w:tcMar>
            <w:vAlign w:val="center"/>
          </w:tcPr>
          <w:p>
            <w:r>
              <w:rPr>
                <w:sz w:val="20"/>
                <w:szCs w:val="20"/>
              </w:rPr>
              <w:t xml:space="preserve">Module</w:t>
            </w:r>
          </w:p>
        </w:tc>
        <w:tc>
          <w:tcPr>
            <w:tcW w:type="dxa" w:w="7000"/>
            <w:shd w:fill="EAF0F8" w:val="clear"/>
            <w:tcMar>
              <w:top w:type="dxa" w:w="100"/>
              <w:left w:type="dxa" w:w="120"/>
              <w:bottom w:type="dxa" w:w="100"/>
              <w:right w:type="dxa" w:w="120"/>
            </w:tcMar>
            <w:vAlign w:val="center"/>
          </w:tcPr>
          <w:p>
            <w:r>
              <w:rPr>
                <w:sz w:val="20"/>
                <w:szCs w:val="20"/>
              </w:rPr>
              <w:t xml:space="preserve">An optional folder-level grouping of documents within a workspace (e.g. mirrors an uploaded subfolder). A user can chat at module level instead of the whole workspace. The same module name can exist in different, unrelated workspaces.</w:t>
            </w:r>
          </w:p>
        </w:tc>
      </w:tr>
      <w:tr>
        <w:tc>
          <w:tcPr>
            <w:tcW w:type="dxa" w:w="2400"/>
            <w:tcMar>
              <w:top w:type="dxa" w:w="100"/>
              <w:left w:type="dxa" w:w="120"/>
              <w:bottom w:type="dxa" w:w="100"/>
              <w:right w:type="dxa" w:w="120"/>
            </w:tcMar>
            <w:vAlign w:val="center"/>
          </w:tcPr>
          <w:p>
            <w:r>
              <w:rPr>
                <w:sz w:val="20"/>
                <w:szCs w:val="20"/>
              </w:rPr>
              <w:t xml:space="preserve">Workspace isolation</w:t>
            </w:r>
          </w:p>
        </w:tc>
        <w:tc>
          <w:tcPr>
            <w:tcW w:type="dxa" w:w="7000"/>
            <w:tcMar>
              <w:top w:type="dxa" w:w="100"/>
              <w:left w:type="dxa" w:w="120"/>
              <w:bottom w:type="dxa" w:w="100"/>
              <w:right w:type="dxa" w:w="120"/>
            </w:tcMar>
            <w:vAlign w:val="center"/>
          </w:tcPr>
          <w:p>
            <w:r>
              <w:rPr>
                <w:sz w:val="20"/>
                <w:szCs w:val="20"/>
              </w:rPr>
              <w:t xml:space="preserve">The rule that two workspaces never share data — no merged knowledge-graph facts, no cross-workspace citations or contradictions — even if they use the same module names or mention the same real people/organisations.</w:t>
            </w:r>
          </w:p>
        </w:tc>
      </w:tr>
      <w:tr>
        <w:tc>
          <w:tcPr>
            <w:tcW w:type="dxa" w:w="2400"/>
            <w:shd w:fill="EAF0F8" w:val="clear"/>
            <w:tcMar>
              <w:top w:type="dxa" w:w="100"/>
              <w:left w:type="dxa" w:w="120"/>
              <w:bottom w:type="dxa" w:w="100"/>
              <w:right w:type="dxa" w:w="120"/>
            </w:tcMar>
            <w:vAlign w:val="center"/>
          </w:tcPr>
          <w:p>
            <w:r>
              <w:rPr>
                <w:sz w:val="20"/>
                <w:szCs w:val="20"/>
              </w:rPr>
              <w:t xml:space="preserve">OKF (Open Knowledge Format)</w:t>
            </w:r>
          </w:p>
        </w:tc>
        <w:tc>
          <w:tcPr>
            <w:tcW w:type="dxa" w:w="7000"/>
            <w:shd w:fill="EAF0F8" w:val="clear"/>
            <w:tcMar>
              <w:top w:type="dxa" w:w="100"/>
              <w:left w:type="dxa" w:w="120"/>
              <w:bottom w:type="dxa" w:w="100"/>
              <w:right w:type="dxa" w:w="120"/>
            </w:tcMar>
            <w:vAlign w:val="center"/>
          </w:tcPr>
          <w:p>
            <w:r>
              <w:rPr>
                <w:sz w:val="20"/>
                <w:szCs w:val="20"/>
              </w:rPr>
              <w:t xml:space="preserve">A portable, Markdown-based format (introduced by Google) for storing curated knowledge. Mentioned in earlier discussions as a possible storage format; not a required part of this POC's scope.</w:t>
            </w:r>
          </w:p>
        </w:tc>
      </w:tr>
      <w:tr>
        <w:tc>
          <w:tcPr>
            <w:tcW w:type="dxa" w:w="2400"/>
            <w:tcMar>
              <w:top w:type="dxa" w:w="100"/>
              <w:left w:type="dxa" w:w="120"/>
              <w:bottom w:type="dxa" w:w="100"/>
              <w:right w:type="dxa" w:w="120"/>
            </w:tcMar>
            <w:vAlign w:val="center"/>
          </w:tcPr>
          <w:p>
            <w:r>
              <w:rPr>
                <w:sz w:val="20"/>
                <w:szCs w:val="20"/>
              </w:rPr>
              <w:t xml:space="preserve">POC (Proof of Concept)</w:t>
            </w:r>
          </w:p>
        </w:tc>
        <w:tc>
          <w:tcPr>
            <w:tcW w:type="dxa" w:w="7000"/>
            <w:tcMar>
              <w:top w:type="dxa" w:w="100"/>
              <w:left w:type="dxa" w:w="120"/>
              <w:bottom w:type="dxa" w:w="100"/>
              <w:right w:type="dxa" w:w="120"/>
            </w:tcMar>
            <w:vAlign w:val="center"/>
          </w:tcPr>
          <w:p>
            <w:r>
              <w:rPr>
                <w:sz w:val="20"/>
                <w:szCs w:val="20"/>
              </w:rPr>
              <w:t xml:space="preserve">A small, time-boxed build meant to prove an idea works before committing to a full production build.</w:t>
            </w:r>
          </w:p>
        </w:tc>
      </w:tr>
    </w:tbl>
    <w:p>
      <w:pPr>
        <w:spacing w:after="300"/>
      </w:pPr>
    </w:p>
    <w:p>
      <w:pPr>
        <w:spacing w:after="160" w:line="276"/>
      </w:pPr>
      <w:r>
        <w:rPr>
          <w:i/>
          <w:iCs/>
          <w:color w:val="595959"/>
          <w:sz w:val="22"/>
          <w:szCs w:val="22"/>
        </w:rPr>
        <w:t xml:space="preserve">End of document. This BRD should be reviewed and confirmed by the project sponsor before development begins, and the open items in Section 15 should be resolved as early as possible in Week 1.</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Pod 3 — Document Extractor + Chatbot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2026-09-16T09:13:38.873Z</dcterms:created>
  <dcterms:modified xsi:type="dcterms:W3CDTF">2026-09-16T09:13:38.881Z</dcterms:modified>
</cp:coreProperties>
</file>

<file path=docProps/custom.xml><?xml version="1.0" encoding="utf-8"?>
<Properties xmlns="http://schemas.openxmlformats.org/officeDocument/2006/custom-properties" xmlns:vt="http://schemas.openxmlformats.org/officeDocument/2006/docPropsVTypes"/>
</file>