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w:t>
      </w:r>
    </w:p>
    <w:p>
      <w:pPr>
        <w:spacing w:after="120"/>
        <w:ind w:left="720" w:hanging="360"/>
      </w:pPr>
      <w:r>
        <w:rPr>
          <w:rFonts w:ascii="Calibri" w:hAnsi="Calibri"/>
          <w:b w:val="0"/>
          <w:i w:val="0"/>
          <w:sz w:val="20"/>
        </w:rPr>
        <w:t>•</w:t>
        <w:tab/>
        <w:t>Sep 2017 - Jun 2021 - MEng Civil and Structural Engineering - University of Sheffield</w:t>
      </w:r>
    </w:p>
    <w:p>
      <w:pPr>
        <w:spacing w:before="280" w:after="80"/>
      </w:pPr>
      <w:r>
        <w:rPr>
          <w:rFonts w:ascii="Calibri" w:hAnsi="Calibri"/>
          <w:b/>
          <w:i w:val="0"/>
          <w:sz w:val="22"/>
        </w:rPr>
        <w:t>Training</w:t>
      </w:r>
    </w:p>
    <w:p>
      <w:pPr>
        <w:spacing w:after="120"/>
        <w:ind w:left="720" w:hanging="360"/>
      </w:pPr>
      <w:r>
        <w:rPr>
          <w:rFonts w:ascii="Calibri" w:hAnsi="Calibri"/>
          <w:b w:val="0"/>
          <w:i w:val="0"/>
          <w:sz w:val="20"/>
        </w:rPr>
        <w:t>•</w:t>
        <w:tab/>
        <w:t>ICE CEng in progress</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00" w:after="80"/>
      </w:pPr>
      <w:r>
        <w:rPr>
          <w:rFonts w:ascii="Calibri" w:hAnsi="Calibri"/>
          <w:b/>
          <w:i w:val="0"/>
          <w:sz w:val="22"/>
        </w:rPr>
        <w:t>License</w:t>
      </w:r>
    </w:p>
    <w:p>
      <w:pPr>
        <w:spacing w:after="120"/>
        <w:ind w:left="720" w:hanging="360"/>
      </w:pPr>
      <w:r>
        <w:rPr>
          <w:rFonts w:ascii="Calibri" w:hAnsi="Calibri"/>
          <w:b w:val="0"/>
          <w:i w:val="0"/>
          <w:sz w:val="20"/>
        </w:rPr>
        <w:t>•</w:t>
        <w:tab/>
        <w:t>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0"/>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w:t>
      </w:r>
    </w:p>
    <w:p>
      <w:pPr>
        <w:spacing w:after="120"/>
        <w:ind w:left="720" w:hanging="360"/>
      </w:pPr>
      <w:r>
        <w:rPr>
          <w:rFonts w:ascii="Calibri" w:hAnsi="Calibri"/>
          <w:b w:val="0"/>
          <w:i w:val="0"/>
          <w:sz w:val="20"/>
        </w:rPr>
        <w:t>•</w:t>
        <w:tab/>
        <w:t>Ancillary highway structures, culverts, drainage crossings, and 19 sign structures; design and checking to Eurocodes.</w:t>
      </w:r>
    </w:p>
    <w:p>
      <w:pPr>
        <w:spacing w:after="120"/>
        <w:ind w:left="720" w:hanging="360"/>
      </w:pPr>
      <w:r>
        <w:rPr>
          <w:rFonts w:ascii="Calibri" w:hAnsi="Calibri"/>
          <w:b w:val="0"/>
          <w:i w:val="0"/>
          <w:sz w:val="20"/>
        </w:rPr>
        <w:t>•</w:t>
        <w:tab/>
        <w:t>SR400 Express Lanes | Nov 2025 - Feb 2026</w:t>
      </w:r>
    </w:p>
    <w:p>
      <w:pPr>
        <w:spacing w:after="120"/>
        <w:ind w:left="720" w:hanging="360"/>
      </w:pPr>
      <w:r>
        <w:rPr>
          <w:rFonts w:ascii="Calibri" w:hAnsi="Calibri"/>
          <w:b w:val="0"/>
          <w:i w:val="0"/>
          <w:sz w:val="20"/>
        </w:rPr>
        <w:t>•</w:t>
        <w:tab/>
        <w:t>Concept-stage bridge design; structural calculations to support client cost estimates for 14 new highway bridges.</w:t>
      </w:r>
    </w:p>
    <w:p>
      <w:pPr>
        <w:spacing w:after="120"/>
        <w:ind w:left="720" w:hanging="360"/>
      </w:pPr>
      <w:r>
        <w:rPr>
          <w:rFonts w:ascii="Calibri" w:hAnsi="Calibri"/>
          <w:b w:val="0"/>
          <w:i w:val="0"/>
          <w:sz w:val="20"/>
        </w:rPr>
        <w:t>•</w:t>
        <w:tab/>
        <w:t>Jubilee Bridge | Mar 2026 - Present</w:t>
      </w:r>
    </w:p>
    <w:p>
      <w:pPr>
        <w:spacing w:after="120"/>
        <w:ind w:left="720" w:hanging="360"/>
      </w:pPr>
      <w:r>
        <w:rPr>
          <w:rFonts w:ascii="Calibri" w:hAnsi="Calibri"/>
          <w:b w:val="0"/>
          <w:i w:val="0"/>
          <w:sz w:val="20"/>
        </w:rPr>
        <w:t>•</w:t>
        <w:tab/>
        <w:t>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