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TUSHAR</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120"/>
        <w:ind w:left="720"/>
      </w:pPr>
      <w:r>
        <w:rPr>
          <w:rFonts w:ascii="Calibri" w:hAnsi="Calibri"/>
          <w:b w:val="0"/>
          <w:i w:val="0"/>
          <w:sz w:val="20"/>
        </w:rPr>
        <w:t>• 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pPr>
      <w:r>
        <w:rPr>
          <w:rFonts w:ascii="Calibri" w:hAnsi="Calibri"/>
          <w:b w:val="0"/>
          <w:i w:val="0"/>
          <w:sz w:val="20"/>
        </w:rPr>
        <w:t>• Designer and checker for M5 Junction 10 Improvements Scheme, delivering culverts, drainage structures, and 19 Category 0/1 sign structures up to 12m tall.</w:t>
      </w:r>
    </w:p>
    <w:p>
      <w:pPr>
        <w:spacing w:after="120"/>
        <w:ind w:left="720"/>
      </w:pPr>
      <w:r>
        <w:rPr>
          <w:rFonts w:ascii="Calibri" w:hAnsi="Calibri"/>
          <w:b w:val="0"/>
          <w:i w:val="0"/>
          <w:sz w:val="20"/>
        </w:rPr>
        <w:t>• Conducted wind, fatigue, and foundation design to Eurocodes; standardised sign designs and promoted precast solutions, improving programme efficiency and reducing costs.</w:t>
      </w:r>
    </w:p>
    <w:p>
      <w:pPr>
        <w:spacing w:after="120"/>
        <w:ind w:left="720"/>
      </w:pPr>
      <w:r>
        <w:rPr>
          <w:rFonts w:ascii="Calibri" w:hAnsi="Calibri"/>
          <w:b w:val="0"/>
          <w:i w:val="0"/>
          <w:sz w:val="20"/>
        </w:rPr>
        <w:t>• Supported conceptual design and cost planning for 14 bridges on SR400 Express Lanes, undertaking structural calculations for RC C-bents and inverted T-caps to inform early-stage estimates.</w:t>
      </w:r>
    </w:p>
    <w:p>
      <w:pPr>
        <w:spacing w:after="120"/>
        <w:ind w:left="720"/>
      </w:pPr>
      <w:r>
        <w:rPr>
          <w:rFonts w:ascii="Calibri" w:hAnsi="Calibri"/>
          <w:b w:val="0"/>
          <w:i w:val="0"/>
          <w:sz w:val="20"/>
        </w:rPr>
        <w:t>• Delivered reinforced concrete culverts and ditch crossings with associated CDM risk documentation on HS2.</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