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b/>
          <w:bCs/>
          <w:color w:val="222222"/>
          <w:sz w:val="40"/>
          <w:szCs w:val="40"/>
        </w:rPr>
        <w:t xml:space="preserve">Cold Chain Integrity &amp; Spoilage Risk Analytics</w:t>
      </w:r>
    </w:p>
    <w:p>
      <w:pPr>
        <w:spacing w:after="60"/>
      </w:pPr>
      <w:r>
        <w:rPr>
          <w:color w:val="666666"/>
          <w:sz w:val="24"/>
          <w:szCs w:val="24"/>
        </w:rPr>
        <w:t xml:space="preserve">Business Insights Report — Perishable Logistics Program</w:t>
      </w:r>
    </w:p>
    <w:p>
      <w:pPr>
        <w:spacing w:after="300"/>
      </w:pPr>
      <w:r>
        <w:rPr>
          <w:i/>
          <w:iCs/>
          <w:color w:val="666666"/>
          <w:sz w:val="18"/>
          <w:szCs w:val="18"/>
        </w:rPr>
        <w:t xml:space="preserve">Data sources: Python/Pandas cleaning · MySQL analysis · Power BI dashboard</w:t>
      </w:r>
    </w:p>
    <w:p>
      <w:pPr>
        <w:pStyle w:val="Heading1"/>
        <w:spacing w:after="150" w:before="300"/>
      </w:pPr>
      <w:r>
        <w:t xml:space="preserve">1. Executive Summary</w:t>
      </w:r>
    </w:p>
    <w:p>
      <w:pPr>
        <w:spacing w:after="160"/>
      </w:pPr>
      <w:r>
        <w:t xml:space="preserve">Across 1,500 shipments analyzed in 2024, cold-chain performance shows meaningful, quantifiable risk. Temperature compliance stands at 64.7%, on-time delivery among completed shipments is 18.5%, and 50.3% of all shipments fall into the High Risk or Critical Risk spoilage categories. The rule-based spoilage-risk model estimates total financial exposure of $1,439,268.81 from potential spoiled inventory across the year.</w:t>
      </w:r>
    </w:p>
    <w:p>
      <w:pPr>
        <w:spacing w:after="160"/>
      </w:pPr>
      <w:r>
        <w:t xml:space="preserve">The data points to two compounding drivers of loss: temperature excursions during transit, and delivery delays that extend a product's time outside safe storage conditions. Shipments that are both delayed and temperature-excursed carry the highest average loss per shipment, and delayed shipments are roughly twice as likely to land in the High/Critical risk bands as on-time shipments.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16"/>
        <w:gridCol w:w="3117"/>
        <w:gridCol w:w="3117"/>
      </w:tblGrid>
      <w:tr>
        <w:tc>
          <w:tcPr>
            <w:tcW w:type="pct" w:w="33%"/>
            <w:shd w:fill="F1F5F3" w:val="clear"/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pPr>
              <w:spacing w:after="60"/>
            </w:pPr>
            <w:r>
              <w:rPr>
                <w:color w:val="666666"/>
                <w:sz w:val="18"/>
                <w:szCs w:val="18"/>
              </w:rPr>
              <w:t xml:space="preserve">Total shipments</w:t>
            </w:r>
          </w:p>
          <w:p>
            <w:r>
              <w:rPr>
                <w:b/>
                <w:bCs/>
                <w:color w:val="1D9E75"/>
                <w:sz w:val="30"/>
                <w:szCs w:val="30"/>
              </w:rPr>
              <w:t xml:space="preserve">1,500</w:t>
            </w:r>
          </w:p>
        </w:tc>
        <w:tc>
          <w:tcPr>
            <w:tcW w:type="pct" w:w="33%"/>
            <w:shd w:fill="F1F5F3" w:val="clear"/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pPr>
              <w:spacing w:after="60"/>
            </w:pPr>
            <w:r>
              <w:rPr>
                <w:color w:val="666666"/>
                <w:sz w:val="18"/>
                <w:szCs w:val="18"/>
              </w:rPr>
              <w:t xml:space="preserve">Temp. compliance</w:t>
            </w:r>
          </w:p>
          <w:p>
            <w:r>
              <w:rPr>
                <w:b/>
                <w:bCs/>
                <w:color w:val="1D9E75"/>
                <w:sz w:val="30"/>
                <w:szCs w:val="30"/>
              </w:rPr>
              <w:t xml:space="preserve">64.7%</w:t>
            </w:r>
          </w:p>
        </w:tc>
        <w:tc>
          <w:tcPr>
            <w:tcW w:type="pct" w:w="33%"/>
            <w:shd w:fill="F1F5F3" w:val="clear"/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pPr>
              <w:spacing w:after="60"/>
            </w:pPr>
            <w:r>
              <w:rPr>
                <w:color w:val="666666"/>
                <w:sz w:val="18"/>
                <w:szCs w:val="18"/>
              </w:rPr>
              <w:t xml:space="preserve">On-time delivery</w:t>
            </w:r>
          </w:p>
          <w:p>
            <w:r>
              <w:rPr>
                <w:b/>
                <w:bCs/>
                <w:color w:val="1D9E75"/>
                <w:sz w:val="30"/>
                <w:szCs w:val="30"/>
              </w:rPr>
              <w:t xml:space="preserve">18.5%</w:t>
            </w:r>
          </w:p>
        </w:tc>
      </w:tr>
      <w:tr>
        <w:tc>
          <w:tcPr>
            <w:tcW w:type="pct" w:w="33%"/>
            <w:shd w:fill="F1F5F3" w:val="clear"/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pPr>
              <w:spacing w:after="60"/>
            </w:pPr>
            <w:r>
              <w:rPr>
                <w:color w:val="666666"/>
                <w:sz w:val="18"/>
                <w:szCs w:val="18"/>
              </w:rPr>
              <w:t xml:space="preserve">Spoilage risk (High+Critical)</w:t>
            </w:r>
          </w:p>
          <w:p>
            <w:r>
              <w:rPr>
                <w:b/>
                <w:bCs/>
                <w:color w:val="1D9E75"/>
                <w:sz w:val="30"/>
                <w:szCs w:val="30"/>
              </w:rPr>
              <w:t xml:space="preserve">50.3%</w:t>
            </w:r>
          </w:p>
        </w:tc>
        <w:tc>
          <w:tcPr>
            <w:tcW w:type="pct" w:w="33%"/>
            <w:shd w:fill="F1F5F3" w:val="clear"/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pPr>
              <w:spacing w:after="60"/>
            </w:pPr>
            <w:r>
              <w:rPr>
                <w:color w:val="666666"/>
                <w:sz w:val="18"/>
                <w:szCs w:val="18"/>
              </w:rPr>
              <w:t xml:space="preserve">Est. financial loss</w:t>
            </w:r>
          </w:p>
          <w:p>
            <w:r>
              <w:rPr>
                <w:b/>
                <w:bCs/>
                <w:color w:val="1D9E75"/>
                <w:sz w:val="30"/>
                <w:szCs w:val="30"/>
              </w:rPr>
              <w:t xml:space="preserve">$1.44M</w:t>
            </w:r>
          </w:p>
        </w:tc>
        <w:tc>
          <w:tcPr>
            <w:tcW w:type="pct" w:w="33%"/>
            <w:shd w:fill="F1F5F3" w:val="clear"/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pPr>
              <w:spacing w:after="60"/>
            </w:pPr>
            <w:r>
              <w:rPr>
                <w:color w:val="666666"/>
                <w:sz w:val="18"/>
                <w:szCs w:val="18"/>
              </w:rPr>
              <w:t xml:space="preserve">Avg. transit time</w:t>
            </w:r>
          </w:p>
          <w:p>
            <w:r>
              <w:rPr>
                <w:b/>
                <w:bCs/>
                <w:color w:val="1D9E75"/>
                <w:sz w:val="30"/>
                <w:szCs w:val="30"/>
              </w:rPr>
              <w:t xml:space="preserve">92.4 hrs</w:t>
            </w:r>
          </w:p>
        </w:tc>
      </w:tr>
    </w:tbl>
    <w:p>
      <w:pPr>
        <w:spacing w:after="200"/>
      </w:pPr>
    </w:p>
    <w:p>
      <w:pPr>
        <w:pStyle w:val="Heading1"/>
        <w:spacing w:after="150" w:before="300"/>
      </w:pPr>
      <w:r>
        <w:t xml:space="preserve">2. Which Suppliers Require Attention?</w:t>
      </w:r>
    </w:p>
    <w:p>
      <w:pPr>
        <w:spacing w:after="160"/>
      </w:pPr>
      <w:r>
        <w:t xml:space="preserve">Supplier-level analysis compares each supplier's temperature-violation rate against the fleet-wide average (35.3%). Six of ten suppliers exceed this benchmark. The top five suppliers by total estimated financial loss are: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2700"/>
        <w:gridCol w:w="2650"/>
      </w:tblGrid>
      <w:tr>
        <w:trPr>
          <w:tblHeader/>
        </w:trPr>
        <w:tc>
          <w:tcPr>
            <w:tcW w:type="dxa" w:w="4000"/>
            <w:shd w:fill="1D9E7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Supplier</w:t>
            </w:r>
          </w:p>
        </w:tc>
        <w:tc>
          <w:tcPr>
            <w:tcW w:type="dxa" w:w="2700"/>
            <w:shd w:fill="1D9E7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Total loss</w:t>
            </w:r>
          </w:p>
        </w:tc>
        <w:tc>
          <w:tcPr>
            <w:tcW w:type="dxa" w:w="2650"/>
            <w:shd w:fill="1D9E7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Shipments</w:t>
            </w:r>
          </w:p>
        </w:tc>
      </w:tr>
      <w:tr>
        <w:tc>
          <w:tcPr>
            <w:tcW w:type="dxa" w:w="40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Prime Cut Meats Co</w:t>
            </w:r>
          </w:p>
        </w:tc>
        <w:tc>
          <w:tcPr>
            <w:tcW w:type="dxa" w:w="27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$164,071</w:t>
            </w:r>
          </w:p>
        </w:tc>
        <w:tc>
          <w:tcPr>
            <w:tcW w:type="dxa" w:w="265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145</w:t>
            </w:r>
          </w:p>
        </w:tc>
      </w:tr>
      <w:tr>
        <w:tc>
          <w:tcPr>
            <w:tcW w:type="dxa" w:w="4000"/>
            <w:shd w:fill="F7F7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Meadow Fresh Supplies</w:t>
            </w:r>
          </w:p>
        </w:tc>
        <w:tc>
          <w:tcPr>
            <w:tcW w:type="dxa" w:w="2700"/>
            <w:shd w:fill="F7F7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$158,459</w:t>
            </w:r>
          </w:p>
        </w:tc>
        <w:tc>
          <w:tcPr>
            <w:tcW w:type="dxa" w:w="2650"/>
            <w:shd w:fill="F7F7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163</w:t>
            </w:r>
          </w:p>
        </w:tc>
      </w:tr>
      <w:tr>
        <w:tc>
          <w:tcPr>
            <w:tcW w:type="dxa" w:w="40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Highland Dairy Group</w:t>
            </w:r>
          </w:p>
        </w:tc>
        <w:tc>
          <w:tcPr>
            <w:tcW w:type="dxa" w:w="27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$158,074</w:t>
            </w:r>
          </w:p>
        </w:tc>
        <w:tc>
          <w:tcPr>
            <w:tcW w:type="dxa" w:w="265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148</w:t>
            </w:r>
          </w:p>
        </w:tc>
      </w:tr>
      <w:tr>
        <w:tc>
          <w:tcPr>
            <w:tcW w:type="dxa" w:w="4000"/>
            <w:shd w:fill="F7F7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Coastal Catch Exports</w:t>
            </w:r>
          </w:p>
        </w:tc>
        <w:tc>
          <w:tcPr>
            <w:tcW w:type="dxa" w:w="2700"/>
            <w:shd w:fill="F7F7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$149,643</w:t>
            </w:r>
          </w:p>
        </w:tc>
        <w:tc>
          <w:tcPr>
            <w:tcW w:type="dxa" w:w="2650"/>
            <w:shd w:fill="F7F7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157</w:t>
            </w:r>
          </w:p>
        </w:tc>
      </w:tr>
      <w:tr>
        <w:tc>
          <w:tcPr>
            <w:tcW w:type="dxa" w:w="40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Sunrise Produce Ltd</w:t>
            </w:r>
          </w:p>
        </w:tc>
        <w:tc>
          <w:tcPr>
            <w:tcW w:type="dxa" w:w="27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$148,266</w:t>
            </w:r>
          </w:p>
        </w:tc>
        <w:tc>
          <w:tcPr>
            <w:tcW w:type="dxa" w:w="265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158</w:t>
            </w:r>
          </w:p>
        </w:tc>
      </w:tr>
    </w:tbl>
    <w:p>
      <w:pPr>
        <w:spacing w:after="160"/>
      </w:pPr>
    </w:p>
    <w:p>
      <w:pPr>
        <w:spacing w:after="160"/>
      </w:pPr>
      <w:r>
        <w:t xml:space="preserve">Recommendation: open a corrective-action review with Prime Cut Meats Co, Highland Dairy Group, and Coastal Catch Exports first — they combine above-average violation rates with the highest absolute financial exposure.</w:t>
      </w:r>
    </w:p>
    <w:p>
      <w:pPr>
        <w:pStyle w:val="Heading1"/>
        <w:spacing w:after="150" w:before="300"/>
      </w:pPr>
      <w:r>
        <w:t xml:space="preserve">3. Which Routes Have the Highest Cold-Chain Risk?</w:t>
      </w:r>
    </w:p>
    <w:p>
      <w:pPr>
        <w:spacing w:after="160"/>
      </w:pPr>
      <w:r>
        <w:t xml:space="preserve">Filtering to routes with at least 5 shipments and ranking by temperature-excursion rate surfaces a clear top tier of high-risk lanes: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2000"/>
        <w:gridCol w:w="1600"/>
        <w:gridCol w:w="1550"/>
      </w:tblGrid>
      <w:tr>
        <w:trPr>
          <w:tblHeader/>
        </w:trPr>
        <w:tc>
          <w:tcPr>
            <w:tcW w:type="dxa" w:w="4200"/>
            <w:shd w:fill="1D9E7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Route</w:t>
            </w:r>
          </w:p>
        </w:tc>
        <w:tc>
          <w:tcPr>
            <w:tcW w:type="dxa" w:w="2000"/>
            <w:shd w:fill="1D9E7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Excursion rate</w:t>
            </w:r>
          </w:p>
        </w:tc>
        <w:tc>
          <w:tcPr>
            <w:tcW w:type="dxa" w:w="1600"/>
            <w:shd w:fill="1D9E7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Shipments</w:t>
            </w:r>
          </w:p>
        </w:tc>
        <w:tc>
          <w:tcPr>
            <w:tcW w:type="dxa" w:w="1550"/>
            <w:shd w:fill="1D9E7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Total loss</w:t>
            </w:r>
          </w:p>
        </w:tc>
      </w:tr>
      <w:tr>
        <w:tc>
          <w:tcPr>
            <w:tcW w:type="dxa" w:w="42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Mexico City -&gt; Los Angeles</w:t>
            </w:r>
          </w:p>
        </w:tc>
        <w:tc>
          <w:tcPr>
            <w:tcW w:type="dxa" w:w="20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48.8%</w:t>
            </w:r>
          </w:p>
        </w:tc>
        <w:tc>
          <w:tcPr>
            <w:tcW w:type="dxa" w:w="16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43</w:t>
            </w:r>
          </w:p>
        </w:tc>
        <w:tc>
          <w:tcPr>
            <w:tcW w:type="dxa" w:w="155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$38,749</w:t>
            </w:r>
          </w:p>
        </w:tc>
      </w:tr>
      <w:tr>
        <w:tc>
          <w:tcPr>
            <w:tcW w:type="dxa" w:w="4200"/>
            <w:shd w:fill="F7F7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Miami -&gt; Los Angeles</w:t>
            </w:r>
          </w:p>
        </w:tc>
        <w:tc>
          <w:tcPr>
            <w:tcW w:type="dxa" w:w="2000"/>
            <w:shd w:fill="F7F7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47.6%</w:t>
            </w:r>
          </w:p>
        </w:tc>
        <w:tc>
          <w:tcPr>
            <w:tcW w:type="dxa" w:w="1600"/>
            <w:shd w:fill="F7F7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42</w:t>
            </w:r>
          </w:p>
        </w:tc>
        <w:tc>
          <w:tcPr>
            <w:tcW w:type="dxa" w:w="1550"/>
            <w:shd w:fill="F7F7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$52,095</w:t>
            </w:r>
          </w:p>
        </w:tc>
      </w:tr>
      <w:tr>
        <w:tc>
          <w:tcPr>
            <w:tcW w:type="dxa" w:w="42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Rotterdam -&gt; Dallas</w:t>
            </w:r>
          </w:p>
        </w:tc>
        <w:tc>
          <w:tcPr>
            <w:tcW w:type="dxa" w:w="20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45.5%</w:t>
            </w:r>
          </w:p>
        </w:tc>
        <w:tc>
          <w:tcPr>
            <w:tcW w:type="dxa" w:w="16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66</w:t>
            </w:r>
          </w:p>
        </w:tc>
        <w:tc>
          <w:tcPr>
            <w:tcW w:type="dxa" w:w="155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$50,820</w:t>
            </w:r>
          </w:p>
        </w:tc>
      </w:tr>
      <w:tr>
        <w:tc>
          <w:tcPr>
            <w:tcW w:type="dxa" w:w="4200"/>
            <w:shd w:fill="F7F7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Chicago -&gt; Dallas</w:t>
            </w:r>
          </w:p>
        </w:tc>
        <w:tc>
          <w:tcPr>
            <w:tcW w:type="dxa" w:w="2000"/>
            <w:shd w:fill="F7F7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44.9%</w:t>
            </w:r>
          </w:p>
        </w:tc>
        <w:tc>
          <w:tcPr>
            <w:tcW w:type="dxa" w:w="1600"/>
            <w:shd w:fill="F7F7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49</w:t>
            </w:r>
          </w:p>
        </w:tc>
        <w:tc>
          <w:tcPr>
            <w:tcW w:type="dxa" w:w="1550"/>
            <w:shd w:fill="F7F7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$40,258</w:t>
            </w:r>
          </w:p>
        </w:tc>
      </w:tr>
      <w:tr>
        <w:tc>
          <w:tcPr>
            <w:tcW w:type="dxa" w:w="42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New York -&gt; Vancouver</w:t>
            </w:r>
          </w:p>
        </w:tc>
        <w:tc>
          <w:tcPr>
            <w:tcW w:type="dxa" w:w="20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42.3%</w:t>
            </w:r>
          </w:p>
        </w:tc>
        <w:tc>
          <w:tcPr>
            <w:tcW w:type="dxa" w:w="16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52</w:t>
            </w:r>
          </w:p>
        </w:tc>
        <w:tc>
          <w:tcPr>
            <w:tcW w:type="dxa" w:w="155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$42,648</w:t>
            </w:r>
          </w:p>
        </w:tc>
      </w:tr>
    </w:tbl>
    <w:p>
      <w:pPr>
        <w:spacing w:after="160"/>
      </w:pPr>
    </w:p>
    <w:p>
      <w:pPr>
        <w:spacing w:after="160"/>
      </w:pPr>
      <w:r>
        <w:t xml:space="preserve">These five long-haul, cross-border lanes account for a disproportionate share of excursions relative to their shipment volume, suggesting equipment or handoff issues at origin/destination transfer points rather than random variation.</w:t>
      </w:r>
    </w:p>
    <w:p>
      <w:pPr>
        <w:pStyle w:val="Heading1"/>
        <w:spacing w:after="150" w:before="300"/>
      </w:pPr>
      <w:r>
        <w:t xml:space="preserve">4. Which Products Contribute Most to Potential Losses?</w:t>
      </w:r>
    </w:p>
    <w:p>
      <w:pPr>
        <w:spacing w:after="160"/>
      </w:pPr>
      <w:r>
        <w:t xml:space="preserve">At the category level, Vegetables ($404,171), Dairy ($348,321), and Meat ($293,433) drive the largest shares of total estimated loss. At the individual product level: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700"/>
        <w:gridCol w:w="2650"/>
      </w:tblGrid>
      <w:tr>
        <w:trPr>
          <w:tblHeader/>
        </w:trPr>
        <w:tc>
          <w:tcPr>
            <w:tcW w:type="dxa" w:w="6700"/>
            <w:shd w:fill="1D9E7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Product</w:t>
            </w:r>
          </w:p>
        </w:tc>
        <w:tc>
          <w:tcPr>
            <w:tcW w:type="dxa" w:w="2650"/>
            <w:shd w:fill="1D9E7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Estimated loss</w:t>
            </w:r>
          </w:p>
        </w:tc>
      </w:tr>
      <w:tr>
        <w:tc>
          <w:tcPr>
            <w:tcW w:type="dxa" w:w="67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Cheddar Cheese</w:t>
            </w:r>
          </w:p>
        </w:tc>
        <w:tc>
          <w:tcPr>
            <w:tcW w:type="dxa" w:w="265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$133,883</w:t>
            </w:r>
          </w:p>
        </w:tc>
      </w:tr>
      <w:tr>
        <w:tc>
          <w:tcPr>
            <w:tcW w:type="dxa" w:w="6700"/>
            <w:shd w:fill="F7F7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Tuna Steaks</w:t>
            </w:r>
          </w:p>
        </w:tc>
        <w:tc>
          <w:tcPr>
            <w:tcW w:type="dxa" w:w="2650"/>
            <w:shd w:fill="F7F7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$127,963</w:t>
            </w:r>
          </w:p>
        </w:tc>
      </w:tr>
      <w:tr>
        <w:tc>
          <w:tcPr>
            <w:tcW w:type="dxa" w:w="67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Mushrooms</w:t>
            </w:r>
          </w:p>
        </w:tc>
        <w:tc>
          <w:tcPr>
            <w:tcW w:type="dxa" w:w="265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$113,718</w:t>
            </w:r>
          </w:p>
        </w:tc>
      </w:tr>
      <w:tr>
        <w:tc>
          <w:tcPr>
            <w:tcW w:type="dxa" w:w="6700"/>
            <w:shd w:fill="F7F7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Whole Milk 1L</w:t>
            </w:r>
          </w:p>
        </w:tc>
        <w:tc>
          <w:tcPr>
            <w:tcW w:type="dxa" w:w="2650"/>
            <w:shd w:fill="F7F7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$108,139</w:t>
            </w:r>
          </w:p>
        </w:tc>
      </w:tr>
      <w:tr>
        <w:tc>
          <w:tcPr>
            <w:tcW w:type="dxa" w:w="67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Broccoli</w:t>
            </w:r>
          </w:p>
        </w:tc>
        <w:tc>
          <w:tcPr>
            <w:tcW w:type="dxa" w:w="265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$96,799</w:t>
            </w:r>
          </w:p>
        </w:tc>
      </w:tr>
    </w:tbl>
    <w:p>
      <w:pPr>
        <w:spacing w:after="160"/>
      </w:pPr>
    </w:p>
    <w:p>
      <w:pPr>
        <w:spacing w:after="160"/>
      </w:pPr>
      <w:r>
        <w:t xml:space="preserve">Dairy and Seafood items carry an additional built-in risk weighting in the scoring model (spoilage-sensitive categories), which is reflected in Cheddar Cheese and Tuna Steaks topping the product-level loss ranking despite moderate shipment volumes.</w:t>
      </w:r>
    </w:p>
    <w:p>
      <w:pPr>
        <w:pStyle w:val="Heading1"/>
        <w:spacing w:after="150" w:before="300"/>
      </w:pPr>
      <w:r>
        <w:t xml:space="preserve">5. How Much Loss Is Tied to Temperature Excursions?</w:t>
      </w:r>
    </w:p>
    <w:p>
      <w:pPr>
        <w:spacing w:after="160"/>
      </w:pPr>
      <w:r>
        <w:t xml:space="preserve">Shipments with a severe temperature excursion (5C+ beyond the required range) account for $543,681 of the $1,439,269 total estimated loss — 37.8% of all financial exposure comes from this single failure mode, even though severe excursions represent a minority of shipments.</w:t>
      </w:r>
    </w:p>
    <w:p>
      <w:pPr>
        <w:pStyle w:val="Heading1"/>
        <w:spacing w:after="150" w:before="300"/>
      </w:pPr>
      <w:r>
        <w:t xml:space="preserve">6. How Strongly Do Delays Contribute to Spoilage Risk?</w:t>
      </w:r>
    </w:p>
    <w:p>
      <w:pPr>
        <w:spacing w:after="160"/>
      </w:pPr>
      <w:r>
        <w:t xml:space="preserve">58.9% of delayed shipments fall into the High or Critical spoilage-risk category, compared with 29.5% of on-time shipments — delayed shipments are roughly 2.0x as likely to be high-risk. Shipments that were both delayed and experienced a temperature excursion account for 77.7% of total estimated financial loss ($1,118,114), confirming that delay is not just an efficiency issue but a direct spoilage-risk multiplier, especially once a delay exceeds 24 hours.</w:t>
      </w:r>
    </w:p>
    <w:p>
      <w:pPr>
        <w:pStyle w:val="Heading1"/>
        <w:spacing w:after="150" w:before="300"/>
      </w:pPr>
      <w:r>
        <w:t xml:space="preserve">7. Where Should Management Prioritize Corrective Action?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Cold-chain equipment audit on the five highest-excursion routes (Section 3), starting with Mexico City -&gt; Los Angeles and Rotterdam -&gt; Dallas.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Supplier corrective-action reviews for Prime Cut Meats Co, Highland Dairy Group, and Coastal Catch Exports, whose violation rates exceed the fleet average alongside high absolute losses.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Transit-time buffers or expedited handling for Dairy and Seafood shipments, given their built-in spoilage sensitivity and outsized contribution to per-unit loss.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Delay-reduction initiatives targeting shipments already showing early delay signals, since delay is the strongest amplifier of spoilage risk once it crosses the 24-hour threshold.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Sensor/IoT quality review: a measurable share of raw temperature readings were physically implausible (sensor error) and had to be excluded from analysis — improving sensor reliability will improve the accuracy of every KPI in this report.</w:t>
      </w:r>
    </w:p>
    <w:p>
      <w:pPr>
        <w:pStyle w:val="Heading1"/>
        <w:spacing w:after="150" w:before="300"/>
      </w:pPr>
      <w:r>
        <w:t xml:space="preserve">8. Methodology Note</w:t>
      </w:r>
    </w:p>
    <w:p>
      <w:pPr>
        <w:spacing w:after="160"/>
      </w:pPr>
      <w:r>
        <w:rPr>
          <w:i/>
          <w:iCs/>
          <w:color w:val="666666"/>
          <w:sz w:val="18"/>
          <w:szCs w:val="18"/>
        </w:rPr>
        <w:t xml:space="preserve">All figures in this report are produced by a fully transparent, rule-based pipeline: Python/Pandas for cleaning and feature engineering, MySQL for aggregate business-question queries, and Power BI for interactive exploration. The spoilage-risk classification is a documented point-scoring system (see clean_data.py) based on temperature excursion severity, excursion duration relative to transit time, delivery delay severity, and product category sensitivity — no machine learning or predictive modeling was used, per project scope.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2026-08-24T09:59:45.862Z</dcterms:created>
  <dcterms:modified xsi:type="dcterms:W3CDTF">2026-08-24T09:59:45.863Z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