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Shear Stress-Shear Strain Error prediction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begin by importing the libraries and reading the stress-strain dataset using regex.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relationship of shear stress and shear strain follows the equation :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τ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= τ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c0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+( τ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τ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c0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) (1 - exp((1- θ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* γ)/τ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)) + θ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  <w:vertAlign w:val="subscript"/>
          <w:rtl w:val="0"/>
        </w:rPr>
        <w:t xml:space="preserve">∞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γ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40"/>
          <w:szCs w:val="40"/>
          <w:vertAlign w:val="subscript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 τ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c0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critical resolved shear stress, τ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saturation stress, θ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initial hardening modulus, θ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∞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is a remaining hardening modulus and γ is shear strain.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curve obtained from plotting the the data points given in text file is as follows: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72138" cy="36004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range within which we generated values of the parameters are as follows: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θ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∞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11.557064283718576 to 99.84729348962728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τc0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8.761240303245543e-05 to 89.55513609453024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τs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52.432747351600  to  148.10915629466336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θ</w:t>
      </w:r>
      <w:r w:rsidDel="00000000" w:rsidR="00000000" w:rsidRPr="00000000">
        <w:rPr>
          <w:rFonts w:ascii="Calibri" w:cs="Calibri" w:eastAsia="Calibri" w:hAnsi="Calibri"/>
          <w:sz w:val="40"/>
          <w:szCs w:val="40"/>
          <w:vertAlign w:val="sub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51.215570416641405 to 927.0565385810537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generated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τ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c0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,τ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,θ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θ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∞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calculated MAE for each case. Then we trained our ML model on these parameters such that for a given set of parameters it outputs the expected MAE.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142875</wp:posOffset>
            </wp:positionV>
            <wp:extent cx="3024188" cy="228600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180975</wp:posOffset>
            </wp:positionV>
            <wp:extent cx="2971800" cy="2247106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47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167537</wp:posOffset>
            </wp:positionV>
            <wp:extent cx="2924175" cy="2243237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43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171450</wp:posOffset>
            </wp:positionV>
            <wp:extent cx="2986088" cy="212407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the set of parameters with least MAE is selected whose curve when plotted against the plotted data points is as shown: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5900" cy="4114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the parameters for the given best fitting curve are as follows: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05088" cy="14668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we split our dataset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into train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test set,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 standard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scaler for normalization and apply different machine learning models on our train dataset.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14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