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A2DF6A" w14:textId="77777777" w:rsidR="009B3738" w:rsidRDefault="00000000">
      <w:pPr>
        <w:spacing w:after="200"/>
        <w:jc w:val="center"/>
      </w:pPr>
      <w:r>
        <w:rPr>
          <w:color w:val="7F7F7F"/>
          <w:sz w:val="28"/>
          <w:szCs w:val="28"/>
        </w:rPr>
        <w:t>Week 6 Report</w:t>
      </w:r>
    </w:p>
    <w:p w14:paraId="1C61CCC3" w14:textId="77777777" w:rsidR="009B3738" w:rsidRDefault="00000000">
      <w:pPr>
        <w:pBdr>
          <w:top w:val="single" w:sz="12" w:space="12" w:color="1F4E79"/>
          <w:bottom w:val="single" w:sz="12" w:space="12" w:color="1F4E79"/>
        </w:pBdr>
        <w:spacing w:before="400" w:after="300"/>
        <w:jc w:val="center"/>
      </w:pPr>
      <w:r>
        <w:rPr>
          <w:b/>
          <w:bCs/>
          <w:color w:val="1F4E79"/>
          <w:sz w:val="48"/>
          <w:szCs w:val="48"/>
        </w:rPr>
        <w:t>Performance Evaluation and Improvement Recommendations</w:t>
      </w:r>
    </w:p>
    <w:p w14:paraId="6EF91400" w14:textId="77777777" w:rsidR="009B3738" w:rsidRDefault="00000000">
      <w:pPr>
        <w:spacing w:after="120"/>
        <w:jc w:val="center"/>
      </w:pPr>
      <w:r>
        <w:rPr>
          <w:i/>
          <w:iCs/>
          <w:sz w:val="26"/>
          <w:szCs w:val="26"/>
        </w:rPr>
        <w:t>A Data-Driven Assessment of a Hypothetical Distribution Supply Chain</w:t>
      </w:r>
    </w:p>
    <w:p w14:paraId="648148EC" w14:textId="710C6BE1" w:rsidR="009B3738" w:rsidRDefault="00000000">
      <w:pPr>
        <w:spacing w:before="1800" w:after="80"/>
        <w:jc w:val="center"/>
      </w:pPr>
      <w:r>
        <w:rPr>
          <w:sz w:val="24"/>
          <w:szCs w:val="24"/>
        </w:rPr>
        <w:t>Submitted by: [Your Name</w:t>
      </w:r>
      <w:r w:rsidR="007C4B36">
        <w:rPr>
          <w:sz w:val="24"/>
          <w:szCs w:val="24"/>
        </w:rPr>
        <w:t xml:space="preserve"> Tushar charavande</w:t>
      </w:r>
      <w:r>
        <w:rPr>
          <w:sz w:val="24"/>
          <w:szCs w:val="24"/>
        </w:rPr>
        <w:t>]</w:t>
      </w:r>
    </w:p>
    <w:p w14:paraId="4ED76890" w14:textId="77777777" w:rsidR="009B3738" w:rsidRDefault="00000000">
      <w:pPr>
        <w:spacing w:after="80"/>
        <w:jc w:val="center"/>
      </w:pPr>
      <w:r>
        <w:rPr>
          <w:sz w:val="24"/>
          <w:szCs w:val="24"/>
        </w:rPr>
        <w:t>Internship Domain: Supply Chain Analytics</w:t>
      </w:r>
    </w:p>
    <w:p w14:paraId="38D34C8E" w14:textId="77777777" w:rsidR="009B3738" w:rsidRDefault="00000000">
      <w:pPr>
        <w:jc w:val="center"/>
      </w:pPr>
      <w:r>
        <w:rPr>
          <w:sz w:val="24"/>
          <w:szCs w:val="24"/>
        </w:rPr>
        <w:t>October 2026</w:t>
      </w:r>
    </w:p>
    <w:p w14:paraId="1D2CC12C" w14:textId="77777777" w:rsidR="009B3738" w:rsidRDefault="00000000">
      <w:r>
        <w:br w:type="page"/>
      </w:r>
    </w:p>
    <w:p w14:paraId="58FB89CD" w14:textId="77777777" w:rsidR="009B3738" w:rsidRDefault="00000000">
      <w:pPr>
        <w:pStyle w:val="Heading1"/>
      </w:pPr>
      <w:r>
        <w:lastRenderedPageBreak/>
        <w:t>Contents</w:t>
      </w:r>
    </w:p>
    <w:p w14:paraId="44E26EFD" w14:textId="77777777" w:rsidR="009B3738" w:rsidRDefault="00000000">
      <w:pPr>
        <w:spacing w:after="80"/>
      </w:pPr>
      <w:r>
        <w:t>1. Introduction</w:t>
      </w:r>
    </w:p>
    <w:p w14:paraId="3DC8C0DE" w14:textId="77777777" w:rsidR="009B3738" w:rsidRDefault="00000000">
      <w:pPr>
        <w:spacing w:after="80"/>
      </w:pPr>
      <w:r>
        <w:t>2. Methodology</w:t>
      </w:r>
    </w:p>
    <w:p w14:paraId="599BE022" w14:textId="77777777" w:rsidR="009B3738" w:rsidRDefault="00000000">
      <w:pPr>
        <w:spacing w:after="80"/>
      </w:pPr>
      <w:r>
        <w:t>3. The Hypothetical Supply Chain Scenario</w:t>
      </w:r>
    </w:p>
    <w:p w14:paraId="4BF2703D" w14:textId="77777777" w:rsidR="009B3738" w:rsidRDefault="00000000">
      <w:pPr>
        <w:spacing w:after="80"/>
      </w:pPr>
      <w:r>
        <w:t>4. Performance Metrics Review</w:t>
      </w:r>
    </w:p>
    <w:p w14:paraId="2EC89F9D" w14:textId="77777777" w:rsidR="009B3738" w:rsidRDefault="00000000">
      <w:pPr>
        <w:spacing w:after="80"/>
      </w:pPr>
      <w:r>
        <w:t>5. Critical Analysis: Strengths, Bottlenecks and Gaps</w:t>
      </w:r>
    </w:p>
    <w:p w14:paraId="61A02080" w14:textId="77777777" w:rsidR="009B3738" w:rsidRDefault="00000000">
      <w:pPr>
        <w:spacing w:after="80"/>
      </w:pPr>
      <w:r>
        <w:t>6. Strategic Recommendations</w:t>
      </w:r>
    </w:p>
    <w:p w14:paraId="570BBFDE" w14:textId="77777777" w:rsidR="009B3738" w:rsidRDefault="00000000">
      <w:pPr>
        <w:spacing w:after="80"/>
      </w:pPr>
      <w:r>
        <w:t>7. Implementation Roadmap, Risks and Expected Impact</w:t>
      </w:r>
    </w:p>
    <w:p w14:paraId="78CC7AAA" w14:textId="77777777" w:rsidR="009B3738" w:rsidRDefault="00000000">
      <w:pPr>
        <w:spacing w:after="80"/>
      </w:pPr>
      <w:r>
        <w:t>8. Conclusion</w:t>
      </w:r>
    </w:p>
    <w:p w14:paraId="578AD5D9" w14:textId="77777777" w:rsidR="009B3738" w:rsidRDefault="00000000">
      <w:pPr>
        <w:spacing w:after="80"/>
      </w:pPr>
      <w:r>
        <w:t>References and Assumptions</w:t>
      </w:r>
    </w:p>
    <w:p w14:paraId="043ADD0C" w14:textId="77777777" w:rsidR="009B3738" w:rsidRDefault="00000000">
      <w:r>
        <w:br w:type="page"/>
      </w:r>
    </w:p>
    <w:p w14:paraId="613EC875" w14:textId="77777777" w:rsidR="009B3738" w:rsidRDefault="00000000">
      <w:pPr>
        <w:pStyle w:val="Heading1"/>
      </w:pPr>
      <w:r>
        <w:lastRenderedPageBreak/>
        <w:t>1. Introduction</w:t>
      </w:r>
    </w:p>
    <w:p w14:paraId="409D2C10" w14:textId="77777777" w:rsidR="009B3738" w:rsidRDefault="00000000">
      <w:pPr>
        <w:spacing w:after="120" w:line="300" w:lineRule="auto"/>
        <w:jc w:val="both"/>
      </w:pPr>
      <w:r>
        <w:t xml:space="preserve">A supply chain is only as strong as the evidence used to manage it. Over the previous weeks of this </w:t>
      </w:r>
      <w:proofErr w:type="gramStart"/>
      <w:r>
        <w:t>internship</w:t>
      </w:r>
      <w:proofErr w:type="gramEnd"/>
      <w:r>
        <w:t xml:space="preserve"> I collected and cleaned supply chain data (Week 1), identified and analysed key performance indicators (Week 2), mapped processes (Week 3), explored demand forecasting (Week 4) and designed reporting dashboards (Week 5). This final report brings those strands together. It evaluates the performance of a supply chain using a defined set of metrics, interprets what those metrics say about operational efficiency, and proposes practical, justified improvements.</w:t>
      </w:r>
    </w:p>
    <w:p w14:paraId="68B02971" w14:textId="77777777" w:rsidR="009B3738" w:rsidRDefault="00000000">
      <w:pPr>
        <w:spacing w:after="120" w:line="300" w:lineRule="auto"/>
        <w:jc w:val="both"/>
      </w:pPr>
      <w:r>
        <w:t>Because internal company data is not available to an intern, the report is built on a hypothetical but realistic scenario: a mid-sized consumer-goods distributor operating in India. The scenario figures are illustrative and were set to reflect trends commonly reported in publicly available industry material (such as the SCOR framework, logistics cost studies and published inventory and service benchmarks). The goal is not to claim facts about a real firm, but to demonstrate a repeatable method of turning metrics into decisions.</w:t>
      </w:r>
    </w:p>
    <w:p w14:paraId="4932C6C4" w14:textId="77777777" w:rsidR="009B3738" w:rsidRDefault="00000000">
      <w:pPr>
        <w:pStyle w:val="Heading2"/>
      </w:pPr>
      <w:r>
        <w:t>1.1 Objectives</w:t>
      </w:r>
    </w:p>
    <w:p w14:paraId="3C002A90" w14:textId="77777777" w:rsidR="009B3738" w:rsidRDefault="00000000">
      <w:pPr>
        <w:pStyle w:val="ListParagraph"/>
        <w:numPr>
          <w:ilvl w:val="0"/>
          <w:numId w:val="2"/>
        </w:numPr>
        <w:spacing w:after="80" w:line="290" w:lineRule="auto"/>
      </w:pPr>
      <w:r>
        <w:t>Identify and define the KPIs that best describe supply chain health.</w:t>
      </w:r>
    </w:p>
    <w:p w14:paraId="6D6DBC96" w14:textId="77777777" w:rsidR="009B3738" w:rsidRDefault="00000000">
      <w:pPr>
        <w:pStyle w:val="ListParagraph"/>
        <w:numPr>
          <w:ilvl w:val="0"/>
          <w:numId w:val="2"/>
        </w:numPr>
        <w:spacing w:after="80" w:line="290" w:lineRule="auto"/>
      </w:pPr>
      <w:r>
        <w:t>Evaluate how each KPI reflects operational efficiency, cost, service and working capital.</w:t>
      </w:r>
    </w:p>
    <w:p w14:paraId="25E8C460" w14:textId="77777777" w:rsidR="009B3738" w:rsidRDefault="00000000">
      <w:pPr>
        <w:pStyle w:val="ListParagraph"/>
        <w:numPr>
          <w:ilvl w:val="0"/>
          <w:numId w:val="2"/>
        </w:numPr>
        <w:spacing w:after="80" w:line="290" w:lineRule="auto"/>
      </w:pPr>
      <w:r>
        <w:t>Diagnose bottlenecks, gaps and strengths and trace them to root causes.</w:t>
      </w:r>
    </w:p>
    <w:p w14:paraId="6DC25058" w14:textId="77777777" w:rsidR="009B3738" w:rsidRDefault="00000000">
      <w:pPr>
        <w:pStyle w:val="ListParagraph"/>
        <w:numPr>
          <w:ilvl w:val="0"/>
          <w:numId w:val="2"/>
        </w:numPr>
        <w:spacing w:after="80" w:line="290" w:lineRule="auto"/>
      </w:pPr>
      <w:r>
        <w:t>Recommend prioritised improvements, each justified directly by the analysis.</w:t>
      </w:r>
    </w:p>
    <w:p w14:paraId="52912605" w14:textId="77777777" w:rsidR="009B3738" w:rsidRDefault="00000000">
      <w:pPr>
        <w:pStyle w:val="ListParagraph"/>
        <w:numPr>
          <w:ilvl w:val="0"/>
          <w:numId w:val="2"/>
        </w:numPr>
        <w:spacing w:after="80" w:line="290" w:lineRule="auto"/>
      </w:pPr>
      <w:r>
        <w:t>Present a roadmap, risks and expected financial and service impact.</w:t>
      </w:r>
    </w:p>
    <w:p w14:paraId="256C76F1" w14:textId="77777777" w:rsidR="009B3738" w:rsidRDefault="00000000">
      <w:pPr>
        <w:pStyle w:val="Heading2"/>
      </w:pPr>
      <w:r>
        <w:t>1.2 Scope and Limitations</w:t>
      </w:r>
    </w:p>
    <w:p w14:paraId="4D1BCF52" w14:textId="77777777" w:rsidR="009B3738" w:rsidRDefault="00000000">
      <w:pPr>
        <w:spacing w:after="120" w:line="300" w:lineRule="auto"/>
        <w:jc w:val="both"/>
      </w:pPr>
      <w:r>
        <w:t>The analysis covers the order-to-delivery flow: planning, sourcing, warehousing, transportation and returns. All numbers are hypothetical, rounded and internally consistent. Benchmarks are indicative ranges drawn from general industry practice rather than from a single cited survey, and should be replaced with company-specific or sector-specific values when real data is available.</w:t>
      </w:r>
    </w:p>
    <w:p w14:paraId="3EED597A" w14:textId="77777777" w:rsidR="009B3738" w:rsidRDefault="00000000">
      <w:pPr>
        <w:pStyle w:val="Heading1"/>
      </w:pPr>
      <w:r>
        <w:t>2. Methodology</w:t>
      </w:r>
    </w:p>
    <w:p w14:paraId="328E6B3F" w14:textId="77777777" w:rsidR="009B3738" w:rsidRDefault="00000000">
      <w:pPr>
        <w:spacing w:after="120" w:line="300" w:lineRule="auto"/>
        <w:jc w:val="both"/>
      </w:pPr>
      <w:r>
        <w:t>The evaluation followed a five-step, data-driven approach that mirrors common practice in supply chain analytics.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2600"/>
        <w:gridCol w:w="5326"/>
      </w:tblGrid>
      <w:tr w:rsidR="009B3738" w14:paraId="6C4F5293" w14:textId="77777777">
        <w:tblPrEx>
          <w:tblCellMar>
            <w:top w:w="0" w:type="dxa"/>
            <w:bottom w:w="0" w:type="dxa"/>
          </w:tblCellMar>
        </w:tblPrEx>
        <w:trPr>
          <w:tblHeader/>
        </w:trPr>
        <w:tc>
          <w:tcPr>
            <w:tcW w:w="1100" w:type="dxa"/>
            <w:tcBorders>
              <w:top w:val="single" w:sz="4" w:space="0" w:color="A6A6A6"/>
              <w:left w:val="single" w:sz="4" w:space="0" w:color="A6A6A6"/>
              <w:bottom w:val="single" w:sz="4" w:space="0" w:color="A6A6A6"/>
              <w:right w:val="single" w:sz="4" w:space="0" w:color="A6A6A6"/>
            </w:tcBorders>
            <w:shd w:val="clear" w:color="auto" w:fill="1F4E79"/>
            <w:tcMar>
              <w:top w:w="60" w:type="dxa"/>
              <w:left w:w="90" w:type="dxa"/>
              <w:bottom w:w="60" w:type="dxa"/>
              <w:right w:w="90" w:type="dxa"/>
            </w:tcMar>
          </w:tcPr>
          <w:p w14:paraId="1CB52622" w14:textId="77777777" w:rsidR="009B3738" w:rsidRDefault="00000000">
            <w:r>
              <w:rPr>
                <w:b/>
                <w:bCs/>
                <w:color w:val="FFFFFF"/>
                <w:sz w:val="19"/>
                <w:szCs w:val="19"/>
              </w:rPr>
              <w:t>Step</w:t>
            </w:r>
          </w:p>
        </w:tc>
        <w:tc>
          <w:tcPr>
            <w:tcW w:w="2600" w:type="dxa"/>
            <w:tcBorders>
              <w:top w:val="single" w:sz="4" w:space="0" w:color="A6A6A6"/>
              <w:left w:val="single" w:sz="4" w:space="0" w:color="A6A6A6"/>
              <w:bottom w:val="single" w:sz="4" w:space="0" w:color="A6A6A6"/>
              <w:right w:val="single" w:sz="4" w:space="0" w:color="A6A6A6"/>
            </w:tcBorders>
            <w:shd w:val="clear" w:color="auto" w:fill="1F4E79"/>
            <w:tcMar>
              <w:top w:w="60" w:type="dxa"/>
              <w:left w:w="90" w:type="dxa"/>
              <w:bottom w:w="60" w:type="dxa"/>
              <w:right w:w="90" w:type="dxa"/>
            </w:tcMar>
          </w:tcPr>
          <w:p w14:paraId="6C849C73" w14:textId="77777777" w:rsidR="009B3738" w:rsidRDefault="00000000">
            <w:r>
              <w:rPr>
                <w:b/>
                <w:bCs/>
                <w:color w:val="FFFFFF"/>
                <w:sz w:val="19"/>
                <w:szCs w:val="19"/>
              </w:rPr>
              <w:t>Activity</w:t>
            </w:r>
          </w:p>
        </w:tc>
        <w:tc>
          <w:tcPr>
            <w:tcW w:w="5326" w:type="dxa"/>
            <w:tcBorders>
              <w:top w:val="single" w:sz="4" w:space="0" w:color="A6A6A6"/>
              <w:left w:val="single" w:sz="4" w:space="0" w:color="A6A6A6"/>
              <w:bottom w:val="single" w:sz="4" w:space="0" w:color="A6A6A6"/>
              <w:right w:val="single" w:sz="4" w:space="0" w:color="A6A6A6"/>
            </w:tcBorders>
            <w:shd w:val="clear" w:color="auto" w:fill="1F4E79"/>
            <w:tcMar>
              <w:top w:w="60" w:type="dxa"/>
              <w:left w:w="90" w:type="dxa"/>
              <w:bottom w:w="60" w:type="dxa"/>
              <w:right w:w="90" w:type="dxa"/>
            </w:tcMar>
          </w:tcPr>
          <w:p w14:paraId="3672C729" w14:textId="77777777" w:rsidR="009B3738" w:rsidRDefault="00000000">
            <w:r>
              <w:rPr>
                <w:b/>
                <w:bCs/>
                <w:color w:val="FFFFFF"/>
                <w:sz w:val="19"/>
                <w:szCs w:val="19"/>
              </w:rPr>
              <w:t>Output</w:t>
            </w:r>
          </w:p>
        </w:tc>
      </w:tr>
      <w:tr w:rsidR="009B3738" w14:paraId="375D6AE0" w14:textId="77777777">
        <w:tblPrEx>
          <w:tblCellMar>
            <w:top w:w="0" w:type="dxa"/>
            <w:bottom w:w="0" w:type="dxa"/>
          </w:tblCellMar>
        </w:tblPrEx>
        <w:tc>
          <w:tcPr>
            <w:tcW w:w="1100" w:type="dxa"/>
            <w:tcBorders>
              <w:top w:val="single" w:sz="4" w:space="0" w:color="A6A6A6"/>
              <w:left w:val="single" w:sz="4" w:space="0" w:color="A6A6A6"/>
              <w:bottom w:val="single" w:sz="4" w:space="0" w:color="A6A6A6"/>
              <w:right w:val="single" w:sz="4" w:space="0" w:color="A6A6A6"/>
            </w:tcBorders>
            <w:shd w:val="clear" w:color="auto" w:fill="FFFFFF"/>
            <w:tcMar>
              <w:top w:w="60" w:type="dxa"/>
              <w:left w:w="90" w:type="dxa"/>
              <w:bottom w:w="60" w:type="dxa"/>
              <w:right w:w="90" w:type="dxa"/>
            </w:tcMar>
          </w:tcPr>
          <w:p w14:paraId="3A1FB3B5" w14:textId="77777777" w:rsidR="009B3738" w:rsidRDefault="00000000">
            <w:r>
              <w:rPr>
                <w:color w:val="000000"/>
                <w:sz w:val="19"/>
                <w:szCs w:val="19"/>
              </w:rPr>
              <w:t>1</w:t>
            </w:r>
          </w:p>
        </w:tc>
        <w:tc>
          <w:tcPr>
            <w:tcW w:w="2600" w:type="dxa"/>
            <w:tcBorders>
              <w:top w:val="single" w:sz="4" w:space="0" w:color="A6A6A6"/>
              <w:left w:val="single" w:sz="4" w:space="0" w:color="A6A6A6"/>
              <w:bottom w:val="single" w:sz="4" w:space="0" w:color="A6A6A6"/>
              <w:right w:val="single" w:sz="4" w:space="0" w:color="A6A6A6"/>
            </w:tcBorders>
            <w:shd w:val="clear" w:color="auto" w:fill="FFFFFF"/>
            <w:tcMar>
              <w:top w:w="60" w:type="dxa"/>
              <w:left w:w="90" w:type="dxa"/>
              <w:bottom w:w="60" w:type="dxa"/>
              <w:right w:w="90" w:type="dxa"/>
            </w:tcMar>
          </w:tcPr>
          <w:p w14:paraId="6D3E0C94" w14:textId="77777777" w:rsidR="009B3738" w:rsidRDefault="00000000">
            <w:r>
              <w:rPr>
                <w:color w:val="000000"/>
                <w:sz w:val="19"/>
                <w:szCs w:val="19"/>
              </w:rPr>
              <w:t>KPI selection (SCOR-aligned)</w:t>
            </w:r>
          </w:p>
        </w:tc>
        <w:tc>
          <w:tcPr>
            <w:tcW w:w="5326" w:type="dxa"/>
            <w:tcBorders>
              <w:top w:val="single" w:sz="4" w:space="0" w:color="A6A6A6"/>
              <w:left w:val="single" w:sz="4" w:space="0" w:color="A6A6A6"/>
              <w:bottom w:val="single" w:sz="4" w:space="0" w:color="A6A6A6"/>
              <w:right w:val="single" w:sz="4" w:space="0" w:color="A6A6A6"/>
            </w:tcBorders>
            <w:shd w:val="clear" w:color="auto" w:fill="FFFFFF"/>
            <w:tcMar>
              <w:top w:w="60" w:type="dxa"/>
              <w:left w:w="90" w:type="dxa"/>
              <w:bottom w:w="60" w:type="dxa"/>
              <w:right w:w="90" w:type="dxa"/>
            </w:tcMar>
          </w:tcPr>
          <w:p w14:paraId="00758434" w14:textId="77777777" w:rsidR="009B3738" w:rsidRDefault="00000000">
            <w:r>
              <w:rPr>
                <w:color w:val="000000"/>
                <w:sz w:val="19"/>
                <w:szCs w:val="19"/>
              </w:rPr>
              <w:t>Twelve KPIs across five SCOR attributes: reliability, responsiveness, agility/planning, cost and asset management.</w:t>
            </w:r>
          </w:p>
        </w:tc>
      </w:tr>
      <w:tr w:rsidR="009B3738" w14:paraId="08A3A7D1" w14:textId="77777777">
        <w:tblPrEx>
          <w:tblCellMar>
            <w:top w:w="0" w:type="dxa"/>
            <w:bottom w:w="0" w:type="dxa"/>
          </w:tblCellMar>
        </w:tblPrEx>
        <w:tc>
          <w:tcPr>
            <w:tcW w:w="1100" w:type="dxa"/>
            <w:tcBorders>
              <w:top w:val="single" w:sz="4" w:space="0" w:color="A6A6A6"/>
              <w:left w:val="single" w:sz="4" w:space="0" w:color="A6A6A6"/>
              <w:bottom w:val="single" w:sz="4" w:space="0" w:color="A6A6A6"/>
              <w:right w:val="single" w:sz="4" w:space="0" w:color="A6A6A6"/>
            </w:tcBorders>
            <w:shd w:val="clear" w:color="auto" w:fill="F2F7FB"/>
            <w:tcMar>
              <w:top w:w="60" w:type="dxa"/>
              <w:left w:w="90" w:type="dxa"/>
              <w:bottom w:w="60" w:type="dxa"/>
              <w:right w:w="90" w:type="dxa"/>
            </w:tcMar>
          </w:tcPr>
          <w:p w14:paraId="15D9DEC2" w14:textId="77777777" w:rsidR="009B3738" w:rsidRDefault="00000000">
            <w:r>
              <w:rPr>
                <w:color w:val="000000"/>
                <w:sz w:val="19"/>
                <w:szCs w:val="19"/>
              </w:rPr>
              <w:t>2</w:t>
            </w:r>
          </w:p>
        </w:tc>
        <w:tc>
          <w:tcPr>
            <w:tcW w:w="2600" w:type="dxa"/>
            <w:tcBorders>
              <w:top w:val="single" w:sz="4" w:space="0" w:color="A6A6A6"/>
              <w:left w:val="single" w:sz="4" w:space="0" w:color="A6A6A6"/>
              <w:bottom w:val="single" w:sz="4" w:space="0" w:color="A6A6A6"/>
              <w:right w:val="single" w:sz="4" w:space="0" w:color="A6A6A6"/>
            </w:tcBorders>
            <w:shd w:val="clear" w:color="auto" w:fill="F2F7FB"/>
            <w:tcMar>
              <w:top w:w="60" w:type="dxa"/>
              <w:left w:w="90" w:type="dxa"/>
              <w:bottom w:w="60" w:type="dxa"/>
              <w:right w:w="90" w:type="dxa"/>
            </w:tcMar>
          </w:tcPr>
          <w:p w14:paraId="62436D13" w14:textId="77777777" w:rsidR="009B3738" w:rsidRDefault="00000000">
            <w:r>
              <w:rPr>
                <w:color w:val="000000"/>
                <w:sz w:val="19"/>
                <w:szCs w:val="19"/>
              </w:rPr>
              <w:t>Baseline construction</w:t>
            </w:r>
          </w:p>
        </w:tc>
        <w:tc>
          <w:tcPr>
            <w:tcW w:w="5326" w:type="dxa"/>
            <w:tcBorders>
              <w:top w:val="single" w:sz="4" w:space="0" w:color="A6A6A6"/>
              <w:left w:val="single" w:sz="4" w:space="0" w:color="A6A6A6"/>
              <w:bottom w:val="single" w:sz="4" w:space="0" w:color="A6A6A6"/>
              <w:right w:val="single" w:sz="4" w:space="0" w:color="A6A6A6"/>
            </w:tcBorders>
            <w:shd w:val="clear" w:color="auto" w:fill="F2F7FB"/>
            <w:tcMar>
              <w:top w:w="60" w:type="dxa"/>
              <w:left w:w="90" w:type="dxa"/>
              <w:bottom w:w="60" w:type="dxa"/>
              <w:right w:w="90" w:type="dxa"/>
            </w:tcMar>
          </w:tcPr>
          <w:p w14:paraId="4FBC5F5F" w14:textId="77777777" w:rsidR="009B3738" w:rsidRDefault="00000000">
            <w:r>
              <w:rPr>
                <w:color w:val="000000"/>
                <w:sz w:val="19"/>
                <w:szCs w:val="19"/>
              </w:rPr>
              <w:t>Hypothetical 12-month averages for each KPI, built from trends in public industry data.</w:t>
            </w:r>
          </w:p>
        </w:tc>
      </w:tr>
      <w:tr w:rsidR="009B3738" w14:paraId="481A1564" w14:textId="77777777">
        <w:tblPrEx>
          <w:tblCellMar>
            <w:top w:w="0" w:type="dxa"/>
            <w:bottom w:w="0" w:type="dxa"/>
          </w:tblCellMar>
        </w:tblPrEx>
        <w:tc>
          <w:tcPr>
            <w:tcW w:w="1100" w:type="dxa"/>
            <w:tcBorders>
              <w:top w:val="single" w:sz="4" w:space="0" w:color="A6A6A6"/>
              <w:left w:val="single" w:sz="4" w:space="0" w:color="A6A6A6"/>
              <w:bottom w:val="single" w:sz="4" w:space="0" w:color="A6A6A6"/>
              <w:right w:val="single" w:sz="4" w:space="0" w:color="A6A6A6"/>
            </w:tcBorders>
            <w:shd w:val="clear" w:color="auto" w:fill="FFFFFF"/>
            <w:tcMar>
              <w:top w:w="60" w:type="dxa"/>
              <w:left w:w="90" w:type="dxa"/>
              <w:bottom w:w="60" w:type="dxa"/>
              <w:right w:w="90" w:type="dxa"/>
            </w:tcMar>
          </w:tcPr>
          <w:p w14:paraId="0969AA69" w14:textId="77777777" w:rsidR="009B3738" w:rsidRDefault="00000000">
            <w:r>
              <w:rPr>
                <w:color w:val="000000"/>
                <w:sz w:val="19"/>
                <w:szCs w:val="19"/>
              </w:rPr>
              <w:t>3</w:t>
            </w:r>
          </w:p>
        </w:tc>
        <w:tc>
          <w:tcPr>
            <w:tcW w:w="2600" w:type="dxa"/>
            <w:tcBorders>
              <w:top w:val="single" w:sz="4" w:space="0" w:color="A6A6A6"/>
              <w:left w:val="single" w:sz="4" w:space="0" w:color="A6A6A6"/>
              <w:bottom w:val="single" w:sz="4" w:space="0" w:color="A6A6A6"/>
              <w:right w:val="single" w:sz="4" w:space="0" w:color="A6A6A6"/>
            </w:tcBorders>
            <w:shd w:val="clear" w:color="auto" w:fill="FFFFFF"/>
            <w:tcMar>
              <w:top w:w="60" w:type="dxa"/>
              <w:left w:w="90" w:type="dxa"/>
              <w:bottom w:w="60" w:type="dxa"/>
              <w:right w:w="90" w:type="dxa"/>
            </w:tcMar>
          </w:tcPr>
          <w:p w14:paraId="35BB3B70" w14:textId="77777777" w:rsidR="009B3738" w:rsidRDefault="00000000">
            <w:r>
              <w:rPr>
                <w:color w:val="000000"/>
                <w:sz w:val="19"/>
                <w:szCs w:val="19"/>
              </w:rPr>
              <w:t>Benchmarking and gap analysis</w:t>
            </w:r>
          </w:p>
        </w:tc>
        <w:tc>
          <w:tcPr>
            <w:tcW w:w="5326" w:type="dxa"/>
            <w:tcBorders>
              <w:top w:val="single" w:sz="4" w:space="0" w:color="A6A6A6"/>
              <w:left w:val="single" w:sz="4" w:space="0" w:color="A6A6A6"/>
              <w:bottom w:val="single" w:sz="4" w:space="0" w:color="A6A6A6"/>
              <w:right w:val="single" w:sz="4" w:space="0" w:color="A6A6A6"/>
            </w:tcBorders>
            <w:shd w:val="clear" w:color="auto" w:fill="FFFFFF"/>
            <w:tcMar>
              <w:top w:w="60" w:type="dxa"/>
              <w:left w:w="90" w:type="dxa"/>
              <w:bottom w:w="60" w:type="dxa"/>
              <w:right w:w="90" w:type="dxa"/>
            </w:tcMar>
          </w:tcPr>
          <w:p w14:paraId="6AE4017D" w14:textId="77777777" w:rsidR="009B3738" w:rsidRDefault="00000000">
            <w:r>
              <w:rPr>
                <w:color w:val="000000"/>
                <w:sz w:val="19"/>
                <w:szCs w:val="19"/>
              </w:rPr>
              <w:t>Gap = benchmark minus current value; status rated Strong, Watch or Critical.</w:t>
            </w:r>
          </w:p>
        </w:tc>
      </w:tr>
      <w:tr w:rsidR="009B3738" w14:paraId="7AA56501" w14:textId="77777777">
        <w:tblPrEx>
          <w:tblCellMar>
            <w:top w:w="0" w:type="dxa"/>
            <w:bottom w:w="0" w:type="dxa"/>
          </w:tblCellMar>
        </w:tblPrEx>
        <w:tc>
          <w:tcPr>
            <w:tcW w:w="1100" w:type="dxa"/>
            <w:tcBorders>
              <w:top w:val="single" w:sz="4" w:space="0" w:color="A6A6A6"/>
              <w:left w:val="single" w:sz="4" w:space="0" w:color="A6A6A6"/>
              <w:bottom w:val="single" w:sz="4" w:space="0" w:color="A6A6A6"/>
              <w:right w:val="single" w:sz="4" w:space="0" w:color="A6A6A6"/>
            </w:tcBorders>
            <w:shd w:val="clear" w:color="auto" w:fill="F2F7FB"/>
            <w:tcMar>
              <w:top w:w="60" w:type="dxa"/>
              <w:left w:w="90" w:type="dxa"/>
              <w:bottom w:w="60" w:type="dxa"/>
              <w:right w:w="90" w:type="dxa"/>
            </w:tcMar>
          </w:tcPr>
          <w:p w14:paraId="2BB37645" w14:textId="77777777" w:rsidR="009B3738" w:rsidRDefault="00000000">
            <w:r>
              <w:rPr>
                <w:color w:val="000000"/>
                <w:sz w:val="19"/>
                <w:szCs w:val="19"/>
              </w:rPr>
              <w:t>4</w:t>
            </w:r>
          </w:p>
        </w:tc>
        <w:tc>
          <w:tcPr>
            <w:tcW w:w="2600" w:type="dxa"/>
            <w:tcBorders>
              <w:top w:val="single" w:sz="4" w:space="0" w:color="A6A6A6"/>
              <w:left w:val="single" w:sz="4" w:space="0" w:color="A6A6A6"/>
              <w:bottom w:val="single" w:sz="4" w:space="0" w:color="A6A6A6"/>
              <w:right w:val="single" w:sz="4" w:space="0" w:color="A6A6A6"/>
            </w:tcBorders>
            <w:shd w:val="clear" w:color="auto" w:fill="F2F7FB"/>
            <w:tcMar>
              <w:top w:w="60" w:type="dxa"/>
              <w:left w:w="90" w:type="dxa"/>
              <w:bottom w:w="60" w:type="dxa"/>
              <w:right w:w="90" w:type="dxa"/>
            </w:tcMar>
          </w:tcPr>
          <w:p w14:paraId="1ECCFFD9" w14:textId="77777777" w:rsidR="009B3738" w:rsidRDefault="00000000">
            <w:r>
              <w:rPr>
                <w:color w:val="000000"/>
                <w:sz w:val="19"/>
                <w:szCs w:val="19"/>
              </w:rPr>
              <w:t>Root-cause analysis</w:t>
            </w:r>
          </w:p>
        </w:tc>
        <w:tc>
          <w:tcPr>
            <w:tcW w:w="5326" w:type="dxa"/>
            <w:tcBorders>
              <w:top w:val="single" w:sz="4" w:space="0" w:color="A6A6A6"/>
              <w:left w:val="single" w:sz="4" w:space="0" w:color="A6A6A6"/>
              <w:bottom w:val="single" w:sz="4" w:space="0" w:color="A6A6A6"/>
              <w:right w:val="single" w:sz="4" w:space="0" w:color="A6A6A6"/>
            </w:tcBorders>
            <w:shd w:val="clear" w:color="auto" w:fill="F2F7FB"/>
            <w:tcMar>
              <w:top w:w="60" w:type="dxa"/>
              <w:left w:w="90" w:type="dxa"/>
              <w:bottom w:w="60" w:type="dxa"/>
              <w:right w:w="90" w:type="dxa"/>
            </w:tcMar>
          </w:tcPr>
          <w:p w14:paraId="397FE5F3" w14:textId="77777777" w:rsidR="009B3738" w:rsidRDefault="00000000">
            <w:r>
              <w:rPr>
                <w:color w:val="000000"/>
                <w:sz w:val="19"/>
                <w:szCs w:val="19"/>
              </w:rPr>
              <w:t>Cause-and-effect (fishbone) reasoning and the 5-Whys technique to link metric gaps to process causes.</w:t>
            </w:r>
          </w:p>
        </w:tc>
      </w:tr>
      <w:tr w:rsidR="009B3738" w14:paraId="337987BF" w14:textId="77777777">
        <w:tblPrEx>
          <w:tblCellMar>
            <w:top w:w="0" w:type="dxa"/>
            <w:bottom w:w="0" w:type="dxa"/>
          </w:tblCellMar>
        </w:tblPrEx>
        <w:tc>
          <w:tcPr>
            <w:tcW w:w="1100" w:type="dxa"/>
            <w:tcBorders>
              <w:top w:val="single" w:sz="4" w:space="0" w:color="A6A6A6"/>
              <w:left w:val="single" w:sz="4" w:space="0" w:color="A6A6A6"/>
              <w:bottom w:val="single" w:sz="4" w:space="0" w:color="A6A6A6"/>
              <w:right w:val="single" w:sz="4" w:space="0" w:color="A6A6A6"/>
            </w:tcBorders>
            <w:shd w:val="clear" w:color="auto" w:fill="FFFFFF"/>
            <w:tcMar>
              <w:top w:w="60" w:type="dxa"/>
              <w:left w:w="90" w:type="dxa"/>
              <w:bottom w:w="60" w:type="dxa"/>
              <w:right w:w="90" w:type="dxa"/>
            </w:tcMar>
          </w:tcPr>
          <w:p w14:paraId="3620CD60" w14:textId="77777777" w:rsidR="009B3738" w:rsidRDefault="00000000">
            <w:r>
              <w:rPr>
                <w:color w:val="000000"/>
                <w:sz w:val="19"/>
                <w:szCs w:val="19"/>
              </w:rPr>
              <w:lastRenderedPageBreak/>
              <w:t>5</w:t>
            </w:r>
          </w:p>
        </w:tc>
        <w:tc>
          <w:tcPr>
            <w:tcW w:w="2600" w:type="dxa"/>
            <w:tcBorders>
              <w:top w:val="single" w:sz="4" w:space="0" w:color="A6A6A6"/>
              <w:left w:val="single" w:sz="4" w:space="0" w:color="A6A6A6"/>
              <w:bottom w:val="single" w:sz="4" w:space="0" w:color="A6A6A6"/>
              <w:right w:val="single" w:sz="4" w:space="0" w:color="A6A6A6"/>
            </w:tcBorders>
            <w:shd w:val="clear" w:color="auto" w:fill="FFFFFF"/>
            <w:tcMar>
              <w:top w:w="60" w:type="dxa"/>
              <w:left w:w="90" w:type="dxa"/>
              <w:bottom w:w="60" w:type="dxa"/>
              <w:right w:w="90" w:type="dxa"/>
            </w:tcMar>
          </w:tcPr>
          <w:p w14:paraId="2373B903" w14:textId="77777777" w:rsidR="009B3738" w:rsidRDefault="00000000">
            <w:r>
              <w:rPr>
                <w:color w:val="000000"/>
                <w:sz w:val="19"/>
                <w:szCs w:val="19"/>
              </w:rPr>
              <w:t>Recommendation design and prioritisation</w:t>
            </w:r>
          </w:p>
        </w:tc>
        <w:tc>
          <w:tcPr>
            <w:tcW w:w="5326" w:type="dxa"/>
            <w:tcBorders>
              <w:top w:val="single" w:sz="4" w:space="0" w:color="A6A6A6"/>
              <w:left w:val="single" w:sz="4" w:space="0" w:color="A6A6A6"/>
              <w:bottom w:val="single" w:sz="4" w:space="0" w:color="A6A6A6"/>
              <w:right w:val="single" w:sz="4" w:space="0" w:color="A6A6A6"/>
            </w:tcBorders>
            <w:shd w:val="clear" w:color="auto" w:fill="FFFFFF"/>
            <w:tcMar>
              <w:top w:w="60" w:type="dxa"/>
              <w:left w:w="90" w:type="dxa"/>
              <w:bottom w:w="60" w:type="dxa"/>
              <w:right w:w="90" w:type="dxa"/>
            </w:tcMar>
          </w:tcPr>
          <w:p w14:paraId="298D7977" w14:textId="77777777" w:rsidR="009B3738" w:rsidRDefault="00000000">
            <w:r>
              <w:rPr>
                <w:color w:val="000000"/>
                <w:sz w:val="19"/>
                <w:szCs w:val="19"/>
              </w:rPr>
              <w:t>Impact versus effort scoring; targets, roadmap and risk assessment.</w:t>
            </w:r>
          </w:p>
        </w:tc>
      </w:tr>
    </w:tbl>
    <w:p w14:paraId="58598918" w14:textId="77777777" w:rsidR="009B3738" w:rsidRDefault="00000000">
      <w:pPr>
        <w:spacing w:before="60" w:after="200"/>
        <w:jc w:val="center"/>
      </w:pPr>
      <w:r>
        <w:rPr>
          <w:i/>
          <w:iCs/>
          <w:color w:val="595959"/>
          <w:sz w:val="19"/>
          <w:szCs w:val="19"/>
        </w:rPr>
        <w:t>Table 1: Evaluation methodology</w:t>
      </w:r>
    </w:p>
    <w:p w14:paraId="7DED4E55" w14:textId="77777777" w:rsidR="009B3738" w:rsidRDefault="00000000">
      <w:pPr>
        <w:pStyle w:val="Heading2"/>
      </w:pPr>
      <w:r>
        <w:t>2.1 Rating Rules</w:t>
      </w:r>
    </w:p>
    <w:p w14:paraId="13E3134F" w14:textId="77777777" w:rsidR="009B3738" w:rsidRDefault="00000000">
      <w:pPr>
        <w:pStyle w:val="ListParagraph"/>
        <w:numPr>
          <w:ilvl w:val="0"/>
          <w:numId w:val="2"/>
        </w:numPr>
        <w:spacing w:after="80" w:line="290" w:lineRule="auto"/>
      </w:pPr>
      <w:r>
        <w:rPr>
          <w:b/>
          <w:bCs/>
        </w:rPr>
        <w:t xml:space="preserve">Strong: </w:t>
      </w:r>
      <w:r>
        <w:t>within 3% of benchmark (or better).</w:t>
      </w:r>
    </w:p>
    <w:p w14:paraId="09687E11" w14:textId="77777777" w:rsidR="009B3738" w:rsidRDefault="00000000">
      <w:pPr>
        <w:pStyle w:val="ListParagraph"/>
        <w:numPr>
          <w:ilvl w:val="0"/>
          <w:numId w:val="2"/>
        </w:numPr>
        <w:spacing w:after="80" w:line="290" w:lineRule="auto"/>
      </w:pPr>
      <w:r>
        <w:rPr>
          <w:b/>
          <w:bCs/>
        </w:rPr>
        <w:t xml:space="preserve">Watch: </w:t>
      </w:r>
      <w:r>
        <w:t>between 3% and 10% behind benchmark.</w:t>
      </w:r>
    </w:p>
    <w:p w14:paraId="08B906C7" w14:textId="77777777" w:rsidR="009B3738" w:rsidRDefault="00000000">
      <w:pPr>
        <w:pStyle w:val="ListParagraph"/>
        <w:numPr>
          <w:ilvl w:val="0"/>
          <w:numId w:val="2"/>
        </w:numPr>
        <w:spacing w:after="80" w:line="290" w:lineRule="auto"/>
      </w:pPr>
      <w:r>
        <w:rPr>
          <w:b/>
          <w:bCs/>
        </w:rPr>
        <w:t xml:space="preserve">Critical: </w:t>
      </w:r>
      <w:r>
        <w:t>more than 10% behind benchmark, or a gap that directly drives cost or lost sales.</w:t>
      </w:r>
    </w:p>
    <w:p w14:paraId="3D45C767" w14:textId="77777777" w:rsidR="009B3738" w:rsidRDefault="00000000">
      <w:pPr>
        <w:pStyle w:val="Heading2"/>
      </w:pPr>
      <w:r>
        <w:t>2.2 Key Formulas Used</w:t>
      </w:r>
    </w:p>
    <w:p w14:paraId="38FF7C5B" w14:textId="77777777" w:rsidR="009B3738" w:rsidRDefault="00000000">
      <w:pPr>
        <w:pStyle w:val="ListParagraph"/>
        <w:numPr>
          <w:ilvl w:val="0"/>
          <w:numId w:val="2"/>
        </w:numPr>
        <w:spacing w:after="80" w:line="290" w:lineRule="auto"/>
      </w:pPr>
      <w:r>
        <w:rPr>
          <w:b/>
          <w:bCs/>
        </w:rPr>
        <w:t xml:space="preserve">Perfect Order Rate: </w:t>
      </w:r>
      <w:r>
        <w:t>(orders delivered on time, in full, undamaged, with correct documents) / total orders</w:t>
      </w:r>
    </w:p>
    <w:p w14:paraId="3C5282E7" w14:textId="77777777" w:rsidR="009B3738" w:rsidRDefault="00000000">
      <w:pPr>
        <w:pStyle w:val="ListParagraph"/>
        <w:numPr>
          <w:ilvl w:val="0"/>
          <w:numId w:val="2"/>
        </w:numPr>
        <w:spacing w:after="80" w:line="290" w:lineRule="auto"/>
      </w:pPr>
      <w:r>
        <w:rPr>
          <w:b/>
          <w:bCs/>
        </w:rPr>
        <w:t xml:space="preserve">OTIF: </w:t>
      </w:r>
      <w:r>
        <w:t>orders delivered on time and in full / total orders</w:t>
      </w:r>
    </w:p>
    <w:p w14:paraId="4474BB93" w14:textId="77777777" w:rsidR="009B3738" w:rsidRDefault="00000000">
      <w:pPr>
        <w:pStyle w:val="ListParagraph"/>
        <w:numPr>
          <w:ilvl w:val="0"/>
          <w:numId w:val="2"/>
        </w:numPr>
        <w:spacing w:after="80" w:line="290" w:lineRule="auto"/>
      </w:pPr>
      <w:r>
        <w:rPr>
          <w:b/>
          <w:bCs/>
        </w:rPr>
        <w:t xml:space="preserve">Fill Rate: </w:t>
      </w:r>
      <w:r>
        <w:t>units shipped immediately from stock / units ordered</w:t>
      </w:r>
    </w:p>
    <w:p w14:paraId="4D4CC035" w14:textId="77777777" w:rsidR="009B3738" w:rsidRDefault="00000000">
      <w:pPr>
        <w:pStyle w:val="ListParagraph"/>
        <w:numPr>
          <w:ilvl w:val="0"/>
          <w:numId w:val="2"/>
        </w:numPr>
        <w:spacing w:after="80" w:line="290" w:lineRule="auto"/>
      </w:pPr>
      <w:r>
        <w:rPr>
          <w:b/>
          <w:bCs/>
        </w:rPr>
        <w:t xml:space="preserve">Inventory Turnover: </w:t>
      </w:r>
      <w:r>
        <w:t>cost of goods sold / average inventory value</w:t>
      </w:r>
    </w:p>
    <w:p w14:paraId="147687E0" w14:textId="77777777" w:rsidR="009B3738" w:rsidRDefault="00000000">
      <w:pPr>
        <w:pStyle w:val="ListParagraph"/>
        <w:numPr>
          <w:ilvl w:val="0"/>
          <w:numId w:val="2"/>
        </w:numPr>
        <w:spacing w:after="80" w:line="290" w:lineRule="auto"/>
      </w:pPr>
      <w:r>
        <w:rPr>
          <w:b/>
          <w:bCs/>
        </w:rPr>
        <w:t xml:space="preserve">Days of Inventory: </w:t>
      </w:r>
      <w:r>
        <w:t>365 / inventory turnover</w:t>
      </w:r>
    </w:p>
    <w:p w14:paraId="22474EF4" w14:textId="77777777" w:rsidR="009B3738" w:rsidRDefault="00000000">
      <w:pPr>
        <w:pStyle w:val="ListParagraph"/>
        <w:numPr>
          <w:ilvl w:val="0"/>
          <w:numId w:val="2"/>
        </w:numPr>
        <w:spacing w:after="80" w:line="290" w:lineRule="auto"/>
      </w:pPr>
      <w:r>
        <w:rPr>
          <w:b/>
          <w:bCs/>
        </w:rPr>
        <w:t xml:space="preserve">Forecast Accuracy: </w:t>
      </w:r>
      <w:r>
        <w:t>1 - MAPE, where MAPE = average of |actual - forecast| / actual</w:t>
      </w:r>
    </w:p>
    <w:p w14:paraId="24ACB16C" w14:textId="77777777" w:rsidR="009B3738" w:rsidRDefault="00000000">
      <w:pPr>
        <w:pStyle w:val="ListParagraph"/>
        <w:numPr>
          <w:ilvl w:val="0"/>
          <w:numId w:val="2"/>
        </w:numPr>
        <w:spacing w:after="80" w:line="290" w:lineRule="auto"/>
      </w:pPr>
      <w:r>
        <w:rPr>
          <w:b/>
          <w:bCs/>
        </w:rPr>
        <w:t xml:space="preserve">Cash-to-Cash Cycle: </w:t>
      </w:r>
      <w:r>
        <w:t>days of inventory + days sales outstanding - days payables outstanding</w:t>
      </w:r>
    </w:p>
    <w:p w14:paraId="101F3A5A" w14:textId="77777777" w:rsidR="009B3738" w:rsidRDefault="00000000">
      <w:pPr>
        <w:pStyle w:val="ListParagraph"/>
        <w:numPr>
          <w:ilvl w:val="0"/>
          <w:numId w:val="2"/>
        </w:numPr>
        <w:spacing w:after="80" w:line="290" w:lineRule="auto"/>
      </w:pPr>
      <w:r>
        <w:rPr>
          <w:b/>
          <w:bCs/>
        </w:rPr>
        <w:t xml:space="preserve">Logistics Cost %: </w:t>
      </w:r>
      <w:r>
        <w:t>total logistics cost / net sales</w:t>
      </w:r>
    </w:p>
    <w:p w14:paraId="190E586D" w14:textId="77777777" w:rsidR="009B3738" w:rsidRDefault="00000000">
      <w:pPr>
        <w:pStyle w:val="Heading1"/>
      </w:pPr>
      <w:r>
        <w:t>3. The Hypothetical Supply Chain Scenario</w:t>
      </w:r>
    </w:p>
    <w:p w14:paraId="56631D3F" w14:textId="77777777" w:rsidR="009B3738" w:rsidRDefault="00000000">
      <w:pPr>
        <w:spacing w:after="120" w:line="300" w:lineRule="auto"/>
        <w:jc w:val="both"/>
      </w:pPr>
      <w:proofErr w:type="spellStart"/>
      <w:r>
        <w:t>NovaCart</w:t>
      </w:r>
      <w:proofErr w:type="spellEnd"/>
      <w:r>
        <w:t xml:space="preserve"> Distribution </w:t>
      </w:r>
      <w:proofErr w:type="spellStart"/>
      <w:r>
        <w:t>Pvt.</w:t>
      </w:r>
      <w:proofErr w:type="spellEnd"/>
      <w:r>
        <w:t xml:space="preserve"> Ltd. is an imaginary mid-sized distributor of packaged consumer goods (personal care, household and packaged foods) based in Maharashtra, India. </w:t>
      </w:r>
      <w:proofErr w:type="gramStart"/>
      <w:r>
        <w:t>It</w:t>
      </w:r>
      <w:proofErr w:type="gramEnd"/>
      <w:r>
        <w:t xml:space="preserve"> sources from about 60 manufacturers, operates two regional warehouses and one cross-dock, and serves roughly 4,500 retail outlets and several e-commerce partners.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5426"/>
      </w:tblGrid>
      <w:tr w:rsidR="009B3738" w14:paraId="7DB1E535" w14:textId="77777777">
        <w:tblPrEx>
          <w:tblCellMar>
            <w:top w:w="0" w:type="dxa"/>
            <w:bottom w:w="0" w:type="dxa"/>
          </w:tblCellMar>
        </w:tblPrEx>
        <w:trPr>
          <w:tblHeader/>
        </w:trPr>
        <w:tc>
          <w:tcPr>
            <w:tcW w:w="3600" w:type="dxa"/>
            <w:tcBorders>
              <w:top w:val="single" w:sz="4" w:space="0" w:color="A6A6A6"/>
              <w:left w:val="single" w:sz="4" w:space="0" w:color="A6A6A6"/>
              <w:bottom w:val="single" w:sz="4" w:space="0" w:color="A6A6A6"/>
              <w:right w:val="single" w:sz="4" w:space="0" w:color="A6A6A6"/>
            </w:tcBorders>
            <w:shd w:val="clear" w:color="auto" w:fill="1F4E79"/>
            <w:tcMar>
              <w:top w:w="60" w:type="dxa"/>
              <w:left w:w="90" w:type="dxa"/>
              <w:bottom w:w="60" w:type="dxa"/>
              <w:right w:w="90" w:type="dxa"/>
            </w:tcMar>
          </w:tcPr>
          <w:p w14:paraId="3365D6F3" w14:textId="77777777" w:rsidR="009B3738" w:rsidRDefault="00000000">
            <w:r>
              <w:rPr>
                <w:b/>
                <w:bCs/>
                <w:color w:val="FFFFFF"/>
                <w:sz w:val="19"/>
                <w:szCs w:val="19"/>
              </w:rPr>
              <w:t>Parameter</w:t>
            </w:r>
          </w:p>
        </w:tc>
        <w:tc>
          <w:tcPr>
            <w:tcW w:w="5426" w:type="dxa"/>
            <w:tcBorders>
              <w:top w:val="single" w:sz="4" w:space="0" w:color="A6A6A6"/>
              <w:left w:val="single" w:sz="4" w:space="0" w:color="A6A6A6"/>
              <w:bottom w:val="single" w:sz="4" w:space="0" w:color="A6A6A6"/>
              <w:right w:val="single" w:sz="4" w:space="0" w:color="A6A6A6"/>
            </w:tcBorders>
            <w:shd w:val="clear" w:color="auto" w:fill="1F4E79"/>
            <w:tcMar>
              <w:top w:w="60" w:type="dxa"/>
              <w:left w:w="90" w:type="dxa"/>
              <w:bottom w:w="60" w:type="dxa"/>
              <w:right w:w="90" w:type="dxa"/>
            </w:tcMar>
          </w:tcPr>
          <w:p w14:paraId="64F3F2AE" w14:textId="77777777" w:rsidR="009B3738" w:rsidRDefault="00000000">
            <w:r>
              <w:rPr>
                <w:b/>
                <w:bCs/>
                <w:color w:val="FFFFFF"/>
                <w:sz w:val="19"/>
                <w:szCs w:val="19"/>
              </w:rPr>
              <w:t>Value (illustrative)</w:t>
            </w:r>
          </w:p>
        </w:tc>
      </w:tr>
      <w:tr w:rsidR="009B3738" w14:paraId="05B9AD0D" w14:textId="77777777">
        <w:tblPrEx>
          <w:tblCellMar>
            <w:top w:w="0" w:type="dxa"/>
            <w:bottom w:w="0" w:type="dxa"/>
          </w:tblCellMar>
        </w:tblPrEx>
        <w:tc>
          <w:tcPr>
            <w:tcW w:w="3600" w:type="dxa"/>
            <w:tcBorders>
              <w:top w:val="single" w:sz="4" w:space="0" w:color="A6A6A6"/>
              <w:left w:val="single" w:sz="4" w:space="0" w:color="A6A6A6"/>
              <w:bottom w:val="single" w:sz="4" w:space="0" w:color="A6A6A6"/>
              <w:right w:val="single" w:sz="4" w:space="0" w:color="A6A6A6"/>
            </w:tcBorders>
            <w:shd w:val="clear" w:color="auto" w:fill="FFFFFF"/>
            <w:tcMar>
              <w:top w:w="60" w:type="dxa"/>
              <w:left w:w="90" w:type="dxa"/>
              <w:bottom w:w="60" w:type="dxa"/>
              <w:right w:w="90" w:type="dxa"/>
            </w:tcMar>
          </w:tcPr>
          <w:p w14:paraId="2CB326F4" w14:textId="77777777" w:rsidR="009B3738" w:rsidRDefault="00000000">
            <w:r>
              <w:rPr>
                <w:color w:val="000000"/>
                <w:sz w:val="19"/>
                <w:szCs w:val="19"/>
              </w:rPr>
              <w:t>Annual net sales</w:t>
            </w:r>
          </w:p>
        </w:tc>
        <w:tc>
          <w:tcPr>
            <w:tcW w:w="5426" w:type="dxa"/>
            <w:tcBorders>
              <w:top w:val="single" w:sz="4" w:space="0" w:color="A6A6A6"/>
              <w:left w:val="single" w:sz="4" w:space="0" w:color="A6A6A6"/>
              <w:bottom w:val="single" w:sz="4" w:space="0" w:color="A6A6A6"/>
              <w:right w:val="single" w:sz="4" w:space="0" w:color="A6A6A6"/>
            </w:tcBorders>
            <w:shd w:val="clear" w:color="auto" w:fill="FFFFFF"/>
            <w:tcMar>
              <w:top w:w="60" w:type="dxa"/>
              <w:left w:w="90" w:type="dxa"/>
              <w:bottom w:w="60" w:type="dxa"/>
              <w:right w:w="90" w:type="dxa"/>
            </w:tcMar>
          </w:tcPr>
          <w:p w14:paraId="6FEA2C7D" w14:textId="77777777" w:rsidR="009B3738" w:rsidRDefault="00000000">
            <w:r>
              <w:rPr>
                <w:color w:val="000000"/>
                <w:sz w:val="19"/>
                <w:szCs w:val="19"/>
              </w:rPr>
              <w:t>INR 850 crore</w:t>
            </w:r>
          </w:p>
        </w:tc>
      </w:tr>
      <w:tr w:rsidR="009B3738" w14:paraId="482C20DC" w14:textId="77777777">
        <w:tblPrEx>
          <w:tblCellMar>
            <w:top w:w="0" w:type="dxa"/>
            <w:bottom w:w="0" w:type="dxa"/>
          </w:tblCellMar>
        </w:tblPrEx>
        <w:tc>
          <w:tcPr>
            <w:tcW w:w="3600" w:type="dxa"/>
            <w:tcBorders>
              <w:top w:val="single" w:sz="4" w:space="0" w:color="A6A6A6"/>
              <w:left w:val="single" w:sz="4" w:space="0" w:color="A6A6A6"/>
              <w:bottom w:val="single" w:sz="4" w:space="0" w:color="A6A6A6"/>
              <w:right w:val="single" w:sz="4" w:space="0" w:color="A6A6A6"/>
            </w:tcBorders>
            <w:shd w:val="clear" w:color="auto" w:fill="F2F7FB"/>
            <w:tcMar>
              <w:top w:w="60" w:type="dxa"/>
              <w:left w:w="90" w:type="dxa"/>
              <w:bottom w:w="60" w:type="dxa"/>
              <w:right w:w="90" w:type="dxa"/>
            </w:tcMar>
          </w:tcPr>
          <w:p w14:paraId="3F308618" w14:textId="77777777" w:rsidR="009B3738" w:rsidRDefault="00000000">
            <w:r>
              <w:rPr>
                <w:color w:val="000000"/>
                <w:sz w:val="19"/>
                <w:szCs w:val="19"/>
              </w:rPr>
              <w:t>Cost of goods sold (COGS)</w:t>
            </w:r>
          </w:p>
        </w:tc>
        <w:tc>
          <w:tcPr>
            <w:tcW w:w="5426" w:type="dxa"/>
            <w:tcBorders>
              <w:top w:val="single" w:sz="4" w:space="0" w:color="A6A6A6"/>
              <w:left w:val="single" w:sz="4" w:space="0" w:color="A6A6A6"/>
              <w:bottom w:val="single" w:sz="4" w:space="0" w:color="A6A6A6"/>
              <w:right w:val="single" w:sz="4" w:space="0" w:color="A6A6A6"/>
            </w:tcBorders>
            <w:shd w:val="clear" w:color="auto" w:fill="F2F7FB"/>
            <w:tcMar>
              <w:top w:w="60" w:type="dxa"/>
              <w:left w:w="90" w:type="dxa"/>
              <w:bottom w:w="60" w:type="dxa"/>
              <w:right w:w="90" w:type="dxa"/>
            </w:tcMar>
          </w:tcPr>
          <w:p w14:paraId="43950D4D" w14:textId="77777777" w:rsidR="009B3738" w:rsidRDefault="00000000">
            <w:r>
              <w:rPr>
                <w:color w:val="000000"/>
                <w:sz w:val="19"/>
                <w:szCs w:val="19"/>
              </w:rPr>
              <w:t>INR 680 crore</w:t>
            </w:r>
          </w:p>
        </w:tc>
      </w:tr>
      <w:tr w:rsidR="009B3738" w14:paraId="6715369C" w14:textId="77777777">
        <w:tblPrEx>
          <w:tblCellMar>
            <w:top w:w="0" w:type="dxa"/>
            <w:bottom w:w="0" w:type="dxa"/>
          </w:tblCellMar>
        </w:tblPrEx>
        <w:tc>
          <w:tcPr>
            <w:tcW w:w="3600" w:type="dxa"/>
            <w:tcBorders>
              <w:top w:val="single" w:sz="4" w:space="0" w:color="A6A6A6"/>
              <w:left w:val="single" w:sz="4" w:space="0" w:color="A6A6A6"/>
              <w:bottom w:val="single" w:sz="4" w:space="0" w:color="A6A6A6"/>
              <w:right w:val="single" w:sz="4" w:space="0" w:color="A6A6A6"/>
            </w:tcBorders>
            <w:shd w:val="clear" w:color="auto" w:fill="FFFFFF"/>
            <w:tcMar>
              <w:top w:w="60" w:type="dxa"/>
              <w:left w:w="90" w:type="dxa"/>
              <w:bottom w:w="60" w:type="dxa"/>
              <w:right w:w="90" w:type="dxa"/>
            </w:tcMar>
          </w:tcPr>
          <w:p w14:paraId="5FF56240" w14:textId="77777777" w:rsidR="009B3738" w:rsidRDefault="00000000">
            <w:r>
              <w:rPr>
                <w:color w:val="000000"/>
                <w:sz w:val="19"/>
                <w:szCs w:val="19"/>
              </w:rPr>
              <w:t>Active SKUs</w:t>
            </w:r>
          </w:p>
        </w:tc>
        <w:tc>
          <w:tcPr>
            <w:tcW w:w="5426" w:type="dxa"/>
            <w:tcBorders>
              <w:top w:val="single" w:sz="4" w:space="0" w:color="A6A6A6"/>
              <w:left w:val="single" w:sz="4" w:space="0" w:color="A6A6A6"/>
              <w:bottom w:val="single" w:sz="4" w:space="0" w:color="A6A6A6"/>
              <w:right w:val="single" w:sz="4" w:space="0" w:color="A6A6A6"/>
            </w:tcBorders>
            <w:shd w:val="clear" w:color="auto" w:fill="FFFFFF"/>
            <w:tcMar>
              <w:top w:w="60" w:type="dxa"/>
              <w:left w:w="90" w:type="dxa"/>
              <w:bottom w:w="60" w:type="dxa"/>
              <w:right w:w="90" w:type="dxa"/>
            </w:tcMar>
          </w:tcPr>
          <w:p w14:paraId="63C71248" w14:textId="77777777" w:rsidR="009B3738" w:rsidRDefault="00000000">
            <w:r>
              <w:rPr>
                <w:color w:val="000000"/>
                <w:sz w:val="19"/>
                <w:szCs w:val="19"/>
              </w:rPr>
              <w:t>About 3,200</w:t>
            </w:r>
          </w:p>
        </w:tc>
      </w:tr>
      <w:tr w:rsidR="009B3738" w14:paraId="3DFB60E6" w14:textId="77777777">
        <w:tblPrEx>
          <w:tblCellMar>
            <w:top w:w="0" w:type="dxa"/>
            <w:bottom w:w="0" w:type="dxa"/>
          </w:tblCellMar>
        </w:tblPrEx>
        <w:tc>
          <w:tcPr>
            <w:tcW w:w="3600" w:type="dxa"/>
            <w:tcBorders>
              <w:top w:val="single" w:sz="4" w:space="0" w:color="A6A6A6"/>
              <w:left w:val="single" w:sz="4" w:space="0" w:color="A6A6A6"/>
              <w:bottom w:val="single" w:sz="4" w:space="0" w:color="A6A6A6"/>
              <w:right w:val="single" w:sz="4" w:space="0" w:color="A6A6A6"/>
            </w:tcBorders>
            <w:shd w:val="clear" w:color="auto" w:fill="F2F7FB"/>
            <w:tcMar>
              <w:top w:w="60" w:type="dxa"/>
              <w:left w:w="90" w:type="dxa"/>
              <w:bottom w:w="60" w:type="dxa"/>
              <w:right w:w="90" w:type="dxa"/>
            </w:tcMar>
          </w:tcPr>
          <w:p w14:paraId="33DCF270" w14:textId="77777777" w:rsidR="009B3738" w:rsidRDefault="00000000">
            <w:r>
              <w:rPr>
                <w:color w:val="000000"/>
                <w:sz w:val="19"/>
                <w:szCs w:val="19"/>
              </w:rPr>
              <w:t>Suppliers</w:t>
            </w:r>
          </w:p>
        </w:tc>
        <w:tc>
          <w:tcPr>
            <w:tcW w:w="5426" w:type="dxa"/>
            <w:tcBorders>
              <w:top w:val="single" w:sz="4" w:space="0" w:color="A6A6A6"/>
              <w:left w:val="single" w:sz="4" w:space="0" w:color="A6A6A6"/>
              <w:bottom w:val="single" w:sz="4" w:space="0" w:color="A6A6A6"/>
              <w:right w:val="single" w:sz="4" w:space="0" w:color="A6A6A6"/>
            </w:tcBorders>
            <w:shd w:val="clear" w:color="auto" w:fill="F2F7FB"/>
            <w:tcMar>
              <w:top w:w="60" w:type="dxa"/>
              <w:left w:w="90" w:type="dxa"/>
              <w:bottom w:w="60" w:type="dxa"/>
              <w:right w:w="90" w:type="dxa"/>
            </w:tcMar>
          </w:tcPr>
          <w:p w14:paraId="3E4D7E84" w14:textId="77777777" w:rsidR="009B3738" w:rsidRDefault="00000000">
            <w:r>
              <w:rPr>
                <w:color w:val="000000"/>
                <w:sz w:val="19"/>
                <w:szCs w:val="19"/>
              </w:rPr>
              <w:t>About 60 (top 10 supply about 65% of volume)</w:t>
            </w:r>
          </w:p>
        </w:tc>
      </w:tr>
      <w:tr w:rsidR="009B3738" w14:paraId="561107FC" w14:textId="77777777">
        <w:tblPrEx>
          <w:tblCellMar>
            <w:top w:w="0" w:type="dxa"/>
            <w:bottom w:w="0" w:type="dxa"/>
          </w:tblCellMar>
        </w:tblPrEx>
        <w:tc>
          <w:tcPr>
            <w:tcW w:w="3600" w:type="dxa"/>
            <w:tcBorders>
              <w:top w:val="single" w:sz="4" w:space="0" w:color="A6A6A6"/>
              <w:left w:val="single" w:sz="4" w:space="0" w:color="A6A6A6"/>
              <w:bottom w:val="single" w:sz="4" w:space="0" w:color="A6A6A6"/>
              <w:right w:val="single" w:sz="4" w:space="0" w:color="A6A6A6"/>
            </w:tcBorders>
            <w:shd w:val="clear" w:color="auto" w:fill="FFFFFF"/>
            <w:tcMar>
              <w:top w:w="60" w:type="dxa"/>
              <w:left w:w="90" w:type="dxa"/>
              <w:bottom w:w="60" w:type="dxa"/>
              <w:right w:w="90" w:type="dxa"/>
            </w:tcMar>
          </w:tcPr>
          <w:p w14:paraId="6FC13450" w14:textId="77777777" w:rsidR="009B3738" w:rsidRDefault="00000000">
            <w:r>
              <w:rPr>
                <w:color w:val="000000"/>
                <w:sz w:val="19"/>
                <w:szCs w:val="19"/>
              </w:rPr>
              <w:t>Facilities</w:t>
            </w:r>
          </w:p>
        </w:tc>
        <w:tc>
          <w:tcPr>
            <w:tcW w:w="5426" w:type="dxa"/>
            <w:tcBorders>
              <w:top w:val="single" w:sz="4" w:space="0" w:color="A6A6A6"/>
              <w:left w:val="single" w:sz="4" w:space="0" w:color="A6A6A6"/>
              <w:bottom w:val="single" w:sz="4" w:space="0" w:color="A6A6A6"/>
              <w:right w:val="single" w:sz="4" w:space="0" w:color="A6A6A6"/>
            </w:tcBorders>
            <w:shd w:val="clear" w:color="auto" w:fill="FFFFFF"/>
            <w:tcMar>
              <w:top w:w="60" w:type="dxa"/>
              <w:left w:w="90" w:type="dxa"/>
              <w:bottom w:w="60" w:type="dxa"/>
              <w:right w:w="90" w:type="dxa"/>
            </w:tcMar>
          </w:tcPr>
          <w:p w14:paraId="6200DC51" w14:textId="77777777" w:rsidR="009B3738" w:rsidRDefault="00000000">
            <w:r>
              <w:rPr>
                <w:color w:val="000000"/>
                <w:sz w:val="19"/>
                <w:szCs w:val="19"/>
              </w:rPr>
              <w:t>2 regional warehouses, 1 cross-dock</w:t>
            </w:r>
          </w:p>
        </w:tc>
      </w:tr>
      <w:tr w:rsidR="009B3738" w14:paraId="76035D0F" w14:textId="77777777">
        <w:tblPrEx>
          <w:tblCellMar>
            <w:top w:w="0" w:type="dxa"/>
            <w:bottom w:w="0" w:type="dxa"/>
          </w:tblCellMar>
        </w:tblPrEx>
        <w:tc>
          <w:tcPr>
            <w:tcW w:w="3600" w:type="dxa"/>
            <w:tcBorders>
              <w:top w:val="single" w:sz="4" w:space="0" w:color="A6A6A6"/>
              <w:left w:val="single" w:sz="4" w:space="0" w:color="A6A6A6"/>
              <w:bottom w:val="single" w:sz="4" w:space="0" w:color="A6A6A6"/>
              <w:right w:val="single" w:sz="4" w:space="0" w:color="A6A6A6"/>
            </w:tcBorders>
            <w:shd w:val="clear" w:color="auto" w:fill="F2F7FB"/>
            <w:tcMar>
              <w:top w:w="60" w:type="dxa"/>
              <w:left w:w="90" w:type="dxa"/>
              <w:bottom w:w="60" w:type="dxa"/>
              <w:right w:w="90" w:type="dxa"/>
            </w:tcMar>
          </w:tcPr>
          <w:p w14:paraId="666C3259" w14:textId="77777777" w:rsidR="009B3738" w:rsidRDefault="00000000">
            <w:r>
              <w:rPr>
                <w:color w:val="000000"/>
                <w:sz w:val="19"/>
                <w:szCs w:val="19"/>
              </w:rPr>
              <w:t>Transport</w:t>
            </w:r>
          </w:p>
        </w:tc>
        <w:tc>
          <w:tcPr>
            <w:tcW w:w="5426" w:type="dxa"/>
            <w:tcBorders>
              <w:top w:val="single" w:sz="4" w:space="0" w:color="A6A6A6"/>
              <w:left w:val="single" w:sz="4" w:space="0" w:color="A6A6A6"/>
              <w:bottom w:val="single" w:sz="4" w:space="0" w:color="A6A6A6"/>
              <w:right w:val="single" w:sz="4" w:space="0" w:color="A6A6A6"/>
            </w:tcBorders>
            <w:shd w:val="clear" w:color="auto" w:fill="F2F7FB"/>
            <w:tcMar>
              <w:top w:w="60" w:type="dxa"/>
              <w:left w:w="90" w:type="dxa"/>
              <w:bottom w:w="60" w:type="dxa"/>
              <w:right w:w="90" w:type="dxa"/>
            </w:tcMar>
          </w:tcPr>
          <w:p w14:paraId="5FD47E6F" w14:textId="77777777" w:rsidR="009B3738" w:rsidRDefault="00000000">
            <w:r>
              <w:rPr>
                <w:color w:val="000000"/>
                <w:sz w:val="19"/>
                <w:szCs w:val="19"/>
              </w:rPr>
              <w:t>Mostly outsourced road freight; about 140 delivery routes</w:t>
            </w:r>
          </w:p>
        </w:tc>
      </w:tr>
      <w:tr w:rsidR="009B3738" w14:paraId="5093AF29" w14:textId="77777777">
        <w:tblPrEx>
          <w:tblCellMar>
            <w:top w:w="0" w:type="dxa"/>
            <w:bottom w:w="0" w:type="dxa"/>
          </w:tblCellMar>
        </w:tblPrEx>
        <w:tc>
          <w:tcPr>
            <w:tcW w:w="3600" w:type="dxa"/>
            <w:tcBorders>
              <w:top w:val="single" w:sz="4" w:space="0" w:color="A6A6A6"/>
              <w:left w:val="single" w:sz="4" w:space="0" w:color="A6A6A6"/>
              <w:bottom w:val="single" w:sz="4" w:space="0" w:color="A6A6A6"/>
              <w:right w:val="single" w:sz="4" w:space="0" w:color="A6A6A6"/>
            </w:tcBorders>
            <w:shd w:val="clear" w:color="auto" w:fill="FFFFFF"/>
            <w:tcMar>
              <w:top w:w="60" w:type="dxa"/>
              <w:left w:w="90" w:type="dxa"/>
              <w:bottom w:w="60" w:type="dxa"/>
              <w:right w:w="90" w:type="dxa"/>
            </w:tcMar>
          </w:tcPr>
          <w:p w14:paraId="7A160880" w14:textId="77777777" w:rsidR="009B3738" w:rsidRDefault="00000000">
            <w:r>
              <w:rPr>
                <w:color w:val="000000"/>
                <w:sz w:val="19"/>
                <w:szCs w:val="19"/>
              </w:rPr>
              <w:t>Planning approach</w:t>
            </w:r>
          </w:p>
        </w:tc>
        <w:tc>
          <w:tcPr>
            <w:tcW w:w="5426" w:type="dxa"/>
            <w:tcBorders>
              <w:top w:val="single" w:sz="4" w:space="0" w:color="A6A6A6"/>
              <w:left w:val="single" w:sz="4" w:space="0" w:color="A6A6A6"/>
              <w:bottom w:val="single" w:sz="4" w:space="0" w:color="A6A6A6"/>
              <w:right w:val="single" w:sz="4" w:space="0" w:color="A6A6A6"/>
            </w:tcBorders>
            <w:shd w:val="clear" w:color="auto" w:fill="FFFFFF"/>
            <w:tcMar>
              <w:top w:w="60" w:type="dxa"/>
              <w:left w:w="90" w:type="dxa"/>
              <w:bottom w:w="60" w:type="dxa"/>
              <w:right w:w="90" w:type="dxa"/>
            </w:tcMar>
          </w:tcPr>
          <w:p w14:paraId="3A5100AD" w14:textId="77777777" w:rsidR="009B3738" w:rsidRDefault="00000000">
            <w:r>
              <w:rPr>
                <w:color w:val="000000"/>
                <w:sz w:val="19"/>
                <w:szCs w:val="19"/>
              </w:rPr>
              <w:t>Monthly spreadsheet-based forecast; limited cross-functional planning</w:t>
            </w:r>
          </w:p>
        </w:tc>
      </w:tr>
      <w:tr w:rsidR="009B3738" w14:paraId="53BF3D5E" w14:textId="77777777">
        <w:tblPrEx>
          <w:tblCellMar>
            <w:top w:w="0" w:type="dxa"/>
            <w:bottom w:w="0" w:type="dxa"/>
          </w:tblCellMar>
        </w:tblPrEx>
        <w:tc>
          <w:tcPr>
            <w:tcW w:w="3600" w:type="dxa"/>
            <w:tcBorders>
              <w:top w:val="single" w:sz="4" w:space="0" w:color="A6A6A6"/>
              <w:left w:val="single" w:sz="4" w:space="0" w:color="A6A6A6"/>
              <w:bottom w:val="single" w:sz="4" w:space="0" w:color="A6A6A6"/>
              <w:right w:val="single" w:sz="4" w:space="0" w:color="A6A6A6"/>
            </w:tcBorders>
            <w:shd w:val="clear" w:color="auto" w:fill="F2F7FB"/>
            <w:tcMar>
              <w:top w:w="60" w:type="dxa"/>
              <w:left w:w="90" w:type="dxa"/>
              <w:bottom w:w="60" w:type="dxa"/>
              <w:right w:w="90" w:type="dxa"/>
            </w:tcMar>
          </w:tcPr>
          <w:p w14:paraId="4CB38838" w14:textId="77777777" w:rsidR="009B3738" w:rsidRDefault="00000000">
            <w:r>
              <w:rPr>
                <w:color w:val="000000"/>
                <w:sz w:val="19"/>
                <w:szCs w:val="19"/>
              </w:rPr>
              <w:t>Systems</w:t>
            </w:r>
          </w:p>
        </w:tc>
        <w:tc>
          <w:tcPr>
            <w:tcW w:w="5426" w:type="dxa"/>
            <w:tcBorders>
              <w:top w:val="single" w:sz="4" w:space="0" w:color="A6A6A6"/>
              <w:left w:val="single" w:sz="4" w:space="0" w:color="A6A6A6"/>
              <w:bottom w:val="single" w:sz="4" w:space="0" w:color="A6A6A6"/>
              <w:right w:val="single" w:sz="4" w:space="0" w:color="A6A6A6"/>
            </w:tcBorders>
            <w:shd w:val="clear" w:color="auto" w:fill="F2F7FB"/>
            <w:tcMar>
              <w:top w:w="60" w:type="dxa"/>
              <w:left w:w="90" w:type="dxa"/>
              <w:bottom w:w="60" w:type="dxa"/>
              <w:right w:w="90" w:type="dxa"/>
            </w:tcMar>
          </w:tcPr>
          <w:p w14:paraId="1E7D9B65" w14:textId="77777777" w:rsidR="009B3738" w:rsidRDefault="00000000">
            <w:r>
              <w:rPr>
                <w:color w:val="000000"/>
                <w:sz w:val="19"/>
                <w:szCs w:val="19"/>
              </w:rPr>
              <w:t>Basic ERP, no integrated transport management or planning system</w:t>
            </w:r>
          </w:p>
        </w:tc>
      </w:tr>
    </w:tbl>
    <w:p w14:paraId="6AA22A85" w14:textId="77777777" w:rsidR="009B3738" w:rsidRDefault="00000000">
      <w:pPr>
        <w:spacing w:before="60" w:after="200"/>
        <w:jc w:val="center"/>
      </w:pPr>
      <w:r>
        <w:rPr>
          <w:i/>
          <w:iCs/>
          <w:color w:val="595959"/>
          <w:sz w:val="19"/>
          <w:szCs w:val="19"/>
        </w:rPr>
        <w:t xml:space="preserve">Table 2: Scenario profile of </w:t>
      </w:r>
      <w:proofErr w:type="spellStart"/>
      <w:r>
        <w:rPr>
          <w:i/>
          <w:iCs/>
          <w:color w:val="595959"/>
          <w:sz w:val="19"/>
          <w:szCs w:val="19"/>
        </w:rPr>
        <w:t>NovaCart</w:t>
      </w:r>
      <w:proofErr w:type="spellEnd"/>
      <w:r>
        <w:rPr>
          <w:i/>
          <w:iCs/>
          <w:color w:val="595959"/>
          <w:sz w:val="19"/>
          <w:szCs w:val="19"/>
        </w:rPr>
        <w:t xml:space="preserve"> Distribution</w:t>
      </w:r>
    </w:p>
    <w:p w14:paraId="6A461551" w14:textId="77777777" w:rsidR="009B3738" w:rsidRDefault="00000000">
      <w:pPr>
        <w:spacing w:after="120" w:line="300" w:lineRule="auto"/>
        <w:jc w:val="both"/>
      </w:pPr>
      <w:r>
        <w:lastRenderedPageBreak/>
        <w:t>The company has grown quickly through new retail and online channels, but its processes, systems and planning discipline have not scaled at the same pace. This is a very common situation in growing distributors and makes it a good case for performance evaluation.</w:t>
      </w:r>
    </w:p>
    <w:p w14:paraId="1DACBEF0" w14:textId="77777777" w:rsidR="009B3738" w:rsidRDefault="00000000">
      <w:pPr>
        <w:pStyle w:val="Heading1"/>
      </w:pPr>
      <w:r>
        <w:t>4. Performance Metrics Review</w:t>
      </w:r>
    </w:p>
    <w:p w14:paraId="0725AFFE" w14:textId="77777777" w:rsidR="009B3738" w:rsidRDefault="00000000">
      <w:pPr>
        <w:spacing w:after="120" w:line="300" w:lineRule="auto"/>
        <w:jc w:val="both"/>
      </w:pPr>
      <w:r>
        <w:t>Table 3 presents the baseline values, benchmarks and ratings. Each metric is then discussed in terms of what it measures and why it matters to overall supply chain health.</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150"/>
        <w:gridCol w:w="1200"/>
        <w:gridCol w:w="1150"/>
        <w:gridCol w:w="3326"/>
      </w:tblGrid>
      <w:tr w:rsidR="009B3738" w14:paraId="6AA2A774" w14:textId="77777777">
        <w:tblPrEx>
          <w:tblCellMar>
            <w:top w:w="0" w:type="dxa"/>
            <w:bottom w:w="0" w:type="dxa"/>
          </w:tblCellMar>
        </w:tblPrEx>
        <w:trPr>
          <w:tblHeader/>
        </w:trPr>
        <w:tc>
          <w:tcPr>
            <w:tcW w:w="2200" w:type="dxa"/>
            <w:tcBorders>
              <w:top w:val="single" w:sz="4" w:space="0" w:color="A6A6A6"/>
              <w:left w:val="single" w:sz="4" w:space="0" w:color="A6A6A6"/>
              <w:bottom w:val="single" w:sz="4" w:space="0" w:color="A6A6A6"/>
              <w:right w:val="single" w:sz="4" w:space="0" w:color="A6A6A6"/>
            </w:tcBorders>
            <w:shd w:val="clear" w:color="auto" w:fill="1F4E79"/>
            <w:tcMar>
              <w:top w:w="60" w:type="dxa"/>
              <w:left w:w="90" w:type="dxa"/>
              <w:bottom w:w="60" w:type="dxa"/>
              <w:right w:w="90" w:type="dxa"/>
            </w:tcMar>
          </w:tcPr>
          <w:p w14:paraId="4BDD5C98" w14:textId="77777777" w:rsidR="009B3738" w:rsidRDefault="00000000">
            <w:r>
              <w:rPr>
                <w:b/>
                <w:bCs/>
                <w:color w:val="FFFFFF"/>
                <w:sz w:val="18"/>
                <w:szCs w:val="18"/>
              </w:rPr>
              <w:t>KPI</w:t>
            </w:r>
          </w:p>
        </w:tc>
        <w:tc>
          <w:tcPr>
            <w:tcW w:w="1150" w:type="dxa"/>
            <w:tcBorders>
              <w:top w:val="single" w:sz="4" w:space="0" w:color="A6A6A6"/>
              <w:left w:val="single" w:sz="4" w:space="0" w:color="A6A6A6"/>
              <w:bottom w:val="single" w:sz="4" w:space="0" w:color="A6A6A6"/>
              <w:right w:val="single" w:sz="4" w:space="0" w:color="A6A6A6"/>
            </w:tcBorders>
            <w:shd w:val="clear" w:color="auto" w:fill="1F4E79"/>
            <w:tcMar>
              <w:top w:w="60" w:type="dxa"/>
              <w:left w:w="90" w:type="dxa"/>
              <w:bottom w:w="60" w:type="dxa"/>
              <w:right w:w="90" w:type="dxa"/>
            </w:tcMar>
          </w:tcPr>
          <w:p w14:paraId="06360B57" w14:textId="77777777" w:rsidR="009B3738" w:rsidRDefault="00000000">
            <w:r>
              <w:rPr>
                <w:b/>
                <w:bCs/>
                <w:color w:val="FFFFFF"/>
                <w:sz w:val="18"/>
                <w:szCs w:val="18"/>
              </w:rPr>
              <w:t>Current</w:t>
            </w:r>
          </w:p>
        </w:tc>
        <w:tc>
          <w:tcPr>
            <w:tcW w:w="1200" w:type="dxa"/>
            <w:tcBorders>
              <w:top w:val="single" w:sz="4" w:space="0" w:color="A6A6A6"/>
              <w:left w:val="single" w:sz="4" w:space="0" w:color="A6A6A6"/>
              <w:bottom w:val="single" w:sz="4" w:space="0" w:color="A6A6A6"/>
              <w:right w:val="single" w:sz="4" w:space="0" w:color="A6A6A6"/>
            </w:tcBorders>
            <w:shd w:val="clear" w:color="auto" w:fill="1F4E79"/>
            <w:tcMar>
              <w:top w:w="60" w:type="dxa"/>
              <w:left w:w="90" w:type="dxa"/>
              <w:bottom w:w="60" w:type="dxa"/>
              <w:right w:w="90" w:type="dxa"/>
            </w:tcMar>
          </w:tcPr>
          <w:p w14:paraId="625DAD18" w14:textId="77777777" w:rsidR="009B3738" w:rsidRDefault="00000000">
            <w:r>
              <w:rPr>
                <w:b/>
                <w:bCs/>
                <w:color w:val="FFFFFF"/>
                <w:sz w:val="18"/>
                <w:szCs w:val="18"/>
              </w:rPr>
              <w:t>Benchmark</w:t>
            </w:r>
          </w:p>
        </w:tc>
        <w:tc>
          <w:tcPr>
            <w:tcW w:w="1150" w:type="dxa"/>
            <w:tcBorders>
              <w:top w:val="single" w:sz="4" w:space="0" w:color="A6A6A6"/>
              <w:left w:val="single" w:sz="4" w:space="0" w:color="A6A6A6"/>
              <w:bottom w:val="single" w:sz="4" w:space="0" w:color="A6A6A6"/>
              <w:right w:val="single" w:sz="4" w:space="0" w:color="A6A6A6"/>
            </w:tcBorders>
            <w:shd w:val="clear" w:color="auto" w:fill="1F4E79"/>
            <w:tcMar>
              <w:top w:w="60" w:type="dxa"/>
              <w:left w:w="90" w:type="dxa"/>
              <w:bottom w:w="60" w:type="dxa"/>
              <w:right w:w="90" w:type="dxa"/>
            </w:tcMar>
          </w:tcPr>
          <w:p w14:paraId="3EC65D2B" w14:textId="77777777" w:rsidR="009B3738" w:rsidRDefault="00000000">
            <w:r>
              <w:rPr>
                <w:b/>
                <w:bCs/>
                <w:color w:val="FFFFFF"/>
                <w:sz w:val="18"/>
                <w:szCs w:val="18"/>
              </w:rPr>
              <w:t>Status</w:t>
            </w:r>
          </w:p>
        </w:tc>
        <w:tc>
          <w:tcPr>
            <w:tcW w:w="3326" w:type="dxa"/>
            <w:tcBorders>
              <w:top w:val="single" w:sz="4" w:space="0" w:color="A6A6A6"/>
              <w:left w:val="single" w:sz="4" w:space="0" w:color="A6A6A6"/>
              <w:bottom w:val="single" w:sz="4" w:space="0" w:color="A6A6A6"/>
              <w:right w:val="single" w:sz="4" w:space="0" w:color="A6A6A6"/>
            </w:tcBorders>
            <w:shd w:val="clear" w:color="auto" w:fill="1F4E79"/>
            <w:tcMar>
              <w:top w:w="60" w:type="dxa"/>
              <w:left w:w="90" w:type="dxa"/>
              <w:bottom w:w="60" w:type="dxa"/>
              <w:right w:w="90" w:type="dxa"/>
            </w:tcMar>
          </w:tcPr>
          <w:p w14:paraId="5AF1003A" w14:textId="77777777" w:rsidR="009B3738" w:rsidRDefault="00000000">
            <w:r>
              <w:rPr>
                <w:b/>
                <w:bCs/>
                <w:color w:val="FFFFFF"/>
                <w:sz w:val="18"/>
                <w:szCs w:val="18"/>
              </w:rPr>
              <w:t>Significance</w:t>
            </w:r>
          </w:p>
        </w:tc>
      </w:tr>
      <w:tr w:rsidR="009B3738" w14:paraId="32178441" w14:textId="77777777">
        <w:tblPrEx>
          <w:tblCellMar>
            <w:top w:w="0" w:type="dxa"/>
            <w:bottom w:w="0" w:type="dxa"/>
          </w:tblCellMar>
        </w:tblPrEx>
        <w:tc>
          <w:tcPr>
            <w:tcW w:w="2200" w:type="dxa"/>
            <w:tcBorders>
              <w:top w:val="single" w:sz="4" w:space="0" w:color="A6A6A6"/>
              <w:left w:val="single" w:sz="4" w:space="0" w:color="A6A6A6"/>
              <w:bottom w:val="single" w:sz="4" w:space="0" w:color="A6A6A6"/>
              <w:right w:val="single" w:sz="4" w:space="0" w:color="A6A6A6"/>
            </w:tcBorders>
            <w:shd w:val="clear" w:color="auto" w:fill="FFFFFF"/>
            <w:tcMar>
              <w:top w:w="60" w:type="dxa"/>
              <w:left w:w="90" w:type="dxa"/>
              <w:bottom w:w="60" w:type="dxa"/>
              <w:right w:w="90" w:type="dxa"/>
            </w:tcMar>
          </w:tcPr>
          <w:p w14:paraId="7CFF0D0A" w14:textId="77777777" w:rsidR="009B3738" w:rsidRDefault="00000000">
            <w:r>
              <w:rPr>
                <w:color w:val="000000"/>
                <w:sz w:val="18"/>
                <w:szCs w:val="18"/>
              </w:rPr>
              <w:t>Perfect Order Rate</w:t>
            </w:r>
          </w:p>
        </w:tc>
        <w:tc>
          <w:tcPr>
            <w:tcW w:w="1150" w:type="dxa"/>
            <w:tcBorders>
              <w:top w:val="single" w:sz="4" w:space="0" w:color="A6A6A6"/>
              <w:left w:val="single" w:sz="4" w:space="0" w:color="A6A6A6"/>
              <w:bottom w:val="single" w:sz="4" w:space="0" w:color="A6A6A6"/>
              <w:right w:val="single" w:sz="4" w:space="0" w:color="A6A6A6"/>
            </w:tcBorders>
            <w:shd w:val="clear" w:color="auto" w:fill="FFFFFF"/>
            <w:tcMar>
              <w:top w:w="60" w:type="dxa"/>
              <w:left w:w="90" w:type="dxa"/>
              <w:bottom w:w="60" w:type="dxa"/>
              <w:right w:w="90" w:type="dxa"/>
            </w:tcMar>
          </w:tcPr>
          <w:p w14:paraId="5FA43B28" w14:textId="77777777" w:rsidR="009B3738" w:rsidRDefault="00000000">
            <w:r>
              <w:rPr>
                <w:color w:val="000000"/>
                <w:sz w:val="18"/>
                <w:szCs w:val="18"/>
              </w:rPr>
              <w:t>87%</w:t>
            </w:r>
          </w:p>
        </w:tc>
        <w:tc>
          <w:tcPr>
            <w:tcW w:w="1200" w:type="dxa"/>
            <w:tcBorders>
              <w:top w:val="single" w:sz="4" w:space="0" w:color="A6A6A6"/>
              <w:left w:val="single" w:sz="4" w:space="0" w:color="A6A6A6"/>
              <w:bottom w:val="single" w:sz="4" w:space="0" w:color="A6A6A6"/>
              <w:right w:val="single" w:sz="4" w:space="0" w:color="A6A6A6"/>
            </w:tcBorders>
            <w:shd w:val="clear" w:color="auto" w:fill="FFFFFF"/>
            <w:tcMar>
              <w:top w:w="60" w:type="dxa"/>
              <w:left w:w="90" w:type="dxa"/>
              <w:bottom w:w="60" w:type="dxa"/>
              <w:right w:w="90" w:type="dxa"/>
            </w:tcMar>
          </w:tcPr>
          <w:p w14:paraId="3A7E578E" w14:textId="77777777" w:rsidR="009B3738" w:rsidRDefault="00000000">
            <w:r>
              <w:rPr>
                <w:color w:val="000000"/>
                <w:sz w:val="18"/>
                <w:szCs w:val="18"/>
              </w:rPr>
              <w:t>95%</w:t>
            </w:r>
          </w:p>
        </w:tc>
        <w:tc>
          <w:tcPr>
            <w:tcW w:w="1150" w:type="dxa"/>
            <w:tcBorders>
              <w:top w:val="single" w:sz="4" w:space="0" w:color="A6A6A6"/>
              <w:left w:val="single" w:sz="4" w:space="0" w:color="A6A6A6"/>
              <w:bottom w:val="single" w:sz="4" w:space="0" w:color="A6A6A6"/>
              <w:right w:val="single" w:sz="4" w:space="0" w:color="A6A6A6"/>
            </w:tcBorders>
            <w:shd w:val="clear" w:color="auto" w:fill="FFFFFF"/>
            <w:tcMar>
              <w:top w:w="60" w:type="dxa"/>
              <w:left w:w="90" w:type="dxa"/>
              <w:bottom w:w="60" w:type="dxa"/>
              <w:right w:w="90" w:type="dxa"/>
            </w:tcMar>
          </w:tcPr>
          <w:p w14:paraId="1BF1BD40" w14:textId="77777777" w:rsidR="009B3738" w:rsidRDefault="00000000">
            <w:r>
              <w:rPr>
                <w:color w:val="000000"/>
                <w:sz w:val="18"/>
                <w:szCs w:val="18"/>
              </w:rPr>
              <w:t>Critical</w:t>
            </w:r>
          </w:p>
        </w:tc>
        <w:tc>
          <w:tcPr>
            <w:tcW w:w="3326" w:type="dxa"/>
            <w:tcBorders>
              <w:top w:val="single" w:sz="4" w:space="0" w:color="A6A6A6"/>
              <w:left w:val="single" w:sz="4" w:space="0" w:color="A6A6A6"/>
              <w:bottom w:val="single" w:sz="4" w:space="0" w:color="A6A6A6"/>
              <w:right w:val="single" w:sz="4" w:space="0" w:color="A6A6A6"/>
            </w:tcBorders>
            <w:shd w:val="clear" w:color="auto" w:fill="FFFFFF"/>
            <w:tcMar>
              <w:top w:w="60" w:type="dxa"/>
              <w:left w:w="90" w:type="dxa"/>
              <w:bottom w:w="60" w:type="dxa"/>
              <w:right w:w="90" w:type="dxa"/>
            </w:tcMar>
          </w:tcPr>
          <w:p w14:paraId="23F611D9" w14:textId="77777777" w:rsidR="009B3738" w:rsidRDefault="00000000">
            <w:r>
              <w:rPr>
                <w:color w:val="000000"/>
                <w:sz w:val="18"/>
                <w:szCs w:val="18"/>
              </w:rPr>
              <w:t>Overall reliability; one failure in any order dimension breaks the order.</w:t>
            </w:r>
          </w:p>
        </w:tc>
      </w:tr>
      <w:tr w:rsidR="009B3738" w14:paraId="273786A5" w14:textId="77777777">
        <w:tblPrEx>
          <w:tblCellMar>
            <w:top w:w="0" w:type="dxa"/>
            <w:bottom w:w="0" w:type="dxa"/>
          </w:tblCellMar>
        </w:tblPrEx>
        <w:tc>
          <w:tcPr>
            <w:tcW w:w="2200" w:type="dxa"/>
            <w:tcBorders>
              <w:top w:val="single" w:sz="4" w:space="0" w:color="A6A6A6"/>
              <w:left w:val="single" w:sz="4" w:space="0" w:color="A6A6A6"/>
              <w:bottom w:val="single" w:sz="4" w:space="0" w:color="A6A6A6"/>
              <w:right w:val="single" w:sz="4" w:space="0" w:color="A6A6A6"/>
            </w:tcBorders>
            <w:shd w:val="clear" w:color="auto" w:fill="F2F7FB"/>
            <w:tcMar>
              <w:top w:w="60" w:type="dxa"/>
              <w:left w:w="90" w:type="dxa"/>
              <w:bottom w:w="60" w:type="dxa"/>
              <w:right w:w="90" w:type="dxa"/>
            </w:tcMar>
          </w:tcPr>
          <w:p w14:paraId="4B3983F6" w14:textId="77777777" w:rsidR="009B3738" w:rsidRDefault="00000000">
            <w:r>
              <w:rPr>
                <w:color w:val="000000"/>
                <w:sz w:val="18"/>
                <w:szCs w:val="18"/>
              </w:rPr>
              <w:t>OTIF</w:t>
            </w:r>
          </w:p>
        </w:tc>
        <w:tc>
          <w:tcPr>
            <w:tcW w:w="1150" w:type="dxa"/>
            <w:tcBorders>
              <w:top w:val="single" w:sz="4" w:space="0" w:color="A6A6A6"/>
              <w:left w:val="single" w:sz="4" w:space="0" w:color="A6A6A6"/>
              <w:bottom w:val="single" w:sz="4" w:space="0" w:color="A6A6A6"/>
              <w:right w:val="single" w:sz="4" w:space="0" w:color="A6A6A6"/>
            </w:tcBorders>
            <w:shd w:val="clear" w:color="auto" w:fill="F2F7FB"/>
            <w:tcMar>
              <w:top w:w="60" w:type="dxa"/>
              <w:left w:w="90" w:type="dxa"/>
              <w:bottom w:w="60" w:type="dxa"/>
              <w:right w:w="90" w:type="dxa"/>
            </w:tcMar>
          </w:tcPr>
          <w:p w14:paraId="78883FBE" w14:textId="77777777" w:rsidR="009B3738" w:rsidRDefault="00000000">
            <w:r>
              <w:rPr>
                <w:color w:val="000000"/>
                <w:sz w:val="18"/>
                <w:szCs w:val="18"/>
              </w:rPr>
              <w:t>84%</w:t>
            </w:r>
          </w:p>
        </w:tc>
        <w:tc>
          <w:tcPr>
            <w:tcW w:w="1200" w:type="dxa"/>
            <w:tcBorders>
              <w:top w:val="single" w:sz="4" w:space="0" w:color="A6A6A6"/>
              <w:left w:val="single" w:sz="4" w:space="0" w:color="A6A6A6"/>
              <w:bottom w:val="single" w:sz="4" w:space="0" w:color="A6A6A6"/>
              <w:right w:val="single" w:sz="4" w:space="0" w:color="A6A6A6"/>
            </w:tcBorders>
            <w:shd w:val="clear" w:color="auto" w:fill="F2F7FB"/>
            <w:tcMar>
              <w:top w:w="60" w:type="dxa"/>
              <w:left w:w="90" w:type="dxa"/>
              <w:bottom w:w="60" w:type="dxa"/>
              <w:right w:w="90" w:type="dxa"/>
            </w:tcMar>
          </w:tcPr>
          <w:p w14:paraId="1E0251E3" w14:textId="77777777" w:rsidR="009B3738" w:rsidRDefault="00000000">
            <w:r>
              <w:rPr>
                <w:color w:val="000000"/>
                <w:sz w:val="18"/>
                <w:szCs w:val="18"/>
              </w:rPr>
              <w:t>95%</w:t>
            </w:r>
          </w:p>
        </w:tc>
        <w:tc>
          <w:tcPr>
            <w:tcW w:w="1150" w:type="dxa"/>
            <w:tcBorders>
              <w:top w:val="single" w:sz="4" w:space="0" w:color="A6A6A6"/>
              <w:left w:val="single" w:sz="4" w:space="0" w:color="A6A6A6"/>
              <w:bottom w:val="single" w:sz="4" w:space="0" w:color="A6A6A6"/>
              <w:right w:val="single" w:sz="4" w:space="0" w:color="A6A6A6"/>
            </w:tcBorders>
            <w:shd w:val="clear" w:color="auto" w:fill="F2F7FB"/>
            <w:tcMar>
              <w:top w:w="60" w:type="dxa"/>
              <w:left w:w="90" w:type="dxa"/>
              <w:bottom w:w="60" w:type="dxa"/>
              <w:right w:w="90" w:type="dxa"/>
            </w:tcMar>
          </w:tcPr>
          <w:p w14:paraId="5A0C40AA" w14:textId="77777777" w:rsidR="009B3738" w:rsidRDefault="00000000">
            <w:r>
              <w:rPr>
                <w:color w:val="000000"/>
                <w:sz w:val="18"/>
                <w:szCs w:val="18"/>
              </w:rPr>
              <w:t>Critical</w:t>
            </w:r>
          </w:p>
        </w:tc>
        <w:tc>
          <w:tcPr>
            <w:tcW w:w="3326" w:type="dxa"/>
            <w:tcBorders>
              <w:top w:val="single" w:sz="4" w:space="0" w:color="A6A6A6"/>
              <w:left w:val="single" w:sz="4" w:space="0" w:color="A6A6A6"/>
              <w:bottom w:val="single" w:sz="4" w:space="0" w:color="A6A6A6"/>
              <w:right w:val="single" w:sz="4" w:space="0" w:color="A6A6A6"/>
            </w:tcBorders>
            <w:shd w:val="clear" w:color="auto" w:fill="F2F7FB"/>
            <w:tcMar>
              <w:top w:w="60" w:type="dxa"/>
              <w:left w:w="90" w:type="dxa"/>
              <w:bottom w:w="60" w:type="dxa"/>
              <w:right w:w="90" w:type="dxa"/>
            </w:tcMar>
          </w:tcPr>
          <w:p w14:paraId="23199360" w14:textId="77777777" w:rsidR="009B3738" w:rsidRDefault="00000000">
            <w:r>
              <w:rPr>
                <w:color w:val="000000"/>
                <w:sz w:val="18"/>
                <w:szCs w:val="18"/>
              </w:rPr>
              <w:t>Retailers penalise misses; links directly to customer retention.</w:t>
            </w:r>
          </w:p>
        </w:tc>
      </w:tr>
      <w:tr w:rsidR="009B3738" w14:paraId="0BE67957" w14:textId="77777777">
        <w:tblPrEx>
          <w:tblCellMar>
            <w:top w:w="0" w:type="dxa"/>
            <w:bottom w:w="0" w:type="dxa"/>
          </w:tblCellMar>
        </w:tblPrEx>
        <w:tc>
          <w:tcPr>
            <w:tcW w:w="2200" w:type="dxa"/>
            <w:tcBorders>
              <w:top w:val="single" w:sz="4" w:space="0" w:color="A6A6A6"/>
              <w:left w:val="single" w:sz="4" w:space="0" w:color="A6A6A6"/>
              <w:bottom w:val="single" w:sz="4" w:space="0" w:color="A6A6A6"/>
              <w:right w:val="single" w:sz="4" w:space="0" w:color="A6A6A6"/>
            </w:tcBorders>
            <w:shd w:val="clear" w:color="auto" w:fill="FFFFFF"/>
            <w:tcMar>
              <w:top w:w="60" w:type="dxa"/>
              <w:left w:w="90" w:type="dxa"/>
              <w:bottom w:w="60" w:type="dxa"/>
              <w:right w:w="90" w:type="dxa"/>
            </w:tcMar>
          </w:tcPr>
          <w:p w14:paraId="18352755" w14:textId="77777777" w:rsidR="009B3738" w:rsidRDefault="00000000">
            <w:r>
              <w:rPr>
                <w:color w:val="000000"/>
                <w:sz w:val="18"/>
                <w:szCs w:val="18"/>
              </w:rPr>
              <w:t>Fill Rate</w:t>
            </w:r>
          </w:p>
        </w:tc>
        <w:tc>
          <w:tcPr>
            <w:tcW w:w="1150" w:type="dxa"/>
            <w:tcBorders>
              <w:top w:val="single" w:sz="4" w:space="0" w:color="A6A6A6"/>
              <w:left w:val="single" w:sz="4" w:space="0" w:color="A6A6A6"/>
              <w:bottom w:val="single" w:sz="4" w:space="0" w:color="A6A6A6"/>
              <w:right w:val="single" w:sz="4" w:space="0" w:color="A6A6A6"/>
            </w:tcBorders>
            <w:shd w:val="clear" w:color="auto" w:fill="FFFFFF"/>
            <w:tcMar>
              <w:top w:w="60" w:type="dxa"/>
              <w:left w:w="90" w:type="dxa"/>
              <w:bottom w:w="60" w:type="dxa"/>
              <w:right w:w="90" w:type="dxa"/>
            </w:tcMar>
          </w:tcPr>
          <w:p w14:paraId="4A32B4FB" w14:textId="77777777" w:rsidR="009B3738" w:rsidRDefault="00000000">
            <w:r>
              <w:rPr>
                <w:color w:val="000000"/>
                <w:sz w:val="18"/>
                <w:szCs w:val="18"/>
              </w:rPr>
              <w:t>93%</w:t>
            </w:r>
          </w:p>
        </w:tc>
        <w:tc>
          <w:tcPr>
            <w:tcW w:w="1200" w:type="dxa"/>
            <w:tcBorders>
              <w:top w:val="single" w:sz="4" w:space="0" w:color="A6A6A6"/>
              <w:left w:val="single" w:sz="4" w:space="0" w:color="A6A6A6"/>
              <w:bottom w:val="single" w:sz="4" w:space="0" w:color="A6A6A6"/>
              <w:right w:val="single" w:sz="4" w:space="0" w:color="A6A6A6"/>
            </w:tcBorders>
            <w:shd w:val="clear" w:color="auto" w:fill="FFFFFF"/>
            <w:tcMar>
              <w:top w:w="60" w:type="dxa"/>
              <w:left w:w="90" w:type="dxa"/>
              <w:bottom w:w="60" w:type="dxa"/>
              <w:right w:w="90" w:type="dxa"/>
            </w:tcMar>
          </w:tcPr>
          <w:p w14:paraId="1655D781" w14:textId="77777777" w:rsidR="009B3738" w:rsidRDefault="00000000">
            <w:r>
              <w:rPr>
                <w:color w:val="000000"/>
                <w:sz w:val="18"/>
                <w:szCs w:val="18"/>
              </w:rPr>
              <w:t>97%</w:t>
            </w:r>
          </w:p>
        </w:tc>
        <w:tc>
          <w:tcPr>
            <w:tcW w:w="1150" w:type="dxa"/>
            <w:tcBorders>
              <w:top w:val="single" w:sz="4" w:space="0" w:color="A6A6A6"/>
              <w:left w:val="single" w:sz="4" w:space="0" w:color="A6A6A6"/>
              <w:bottom w:val="single" w:sz="4" w:space="0" w:color="A6A6A6"/>
              <w:right w:val="single" w:sz="4" w:space="0" w:color="A6A6A6"/>
            </w:tcBorders>
            <w:shd w:val="clear" w:color="auto" w:fill="FFFFFF"/>
            <w:tcMar>
              <w:top w:w="60" w:type="dxa"/>
              <w:left w:w="90" w:type="dxa"/>
              <w:bottom w:w="60" w:type="dxa"/>
              <w:right w:w="90" w:type="dxa"/>
            </w:tcMar>
          </w:tcPr>
          <w:p w14:paraId="76392CED" w14:textId="77777777" w:rsidR="009B3738" w:rsidRDefault="00000000">
            <w:r>
              <w:rPr>
                <w:color w:val="000000"/>
                <w:sz w:val="18"/>
                <w:szCs w:val="18"/>
              </w:rPr>
              <w:t>Watch</w:t>
            </w:r>
          </w:p>
        </w:tc>
        <w:tc>
          <w:tcPr>
            <w:tcW w:w="3326" w:type="dxa"/>
            <w:tcBorders>
              <w:top w:val="single" w:sz="4" w:space="0" w:color="A6A6A6"/>
              <w:left w:val="single" w:sz="4" w:space="0" w:color="A6A6A6"/>
              <w:bottom w:val="single" w:sz="4" w:space="0" w:color="A6A6A6"/>
              <w:right w:val="single" w:sz="4" w:space="0" w:color="A6A6A6"/>
            </w:tcBorders>
            <w:shd w:val="clear" w:color="auto" w:fill="FFFFFF"/>
            <w:tcMar>
              <w:top w:w="60" w:type="dxa"/>
              <w:left w:w="90" w:type="dxa"/>
              <w:bottom w:w="60" w:type="dxa"/>
              <w:right w:w="90" w:type="dxa"/>
            </w:tcMar>
          </w:tcPr>
          <w:p w14:paraId="0A7D81BA" w14:textId="77777777" w:rsidR="009B3738" w:rsidRDefault="00000000">
            <w:r>
              <w:rPr>
                <w:color w:val="000000"/>
                <w:sz w:val="18"/>
                <w:szCs w:val="18"/>
              </w:rPr>
              <w:t>Indicates lost sales and stock availability.</w:t>
            </w:r>
          </w:p>
        </w:tc>
      </w:tr>
      <w:tr w:rsidR="009B3738" w14:paraId="74A6CCB8" w14:textId="77777777">
        <w:tblPrEx>
          <w:tblCellMar>
            <w:top w:w="0" w:type="dxa"/>
            <w:bottom w:w="0" w:type="dxa"/>
          </w:tblCellMar>
        </w:tblPrEx>
        <w:tc>
          <w:tcPr>
            <w:tcW w:w="2200" w:type="dxa"/>
            <w:tcBorders>
              <w:top w:val="single" w:sz="4" w:space="0" w:color="A6A6A6"/>
              <w:left w:val="single" w:sz="4" w:space="0" w:color="A6A6A6"/>
              <w:bottom w:val="single" w:sz="4" w:space="0" w:color="A6A6A6"/>
              <w:right w:val="single" w:sz="4" w:space="0" w:color="A6A6A6"/>
            </w:tcBorders>
            <w:shd w:val="clear" w:color="auto" w:fill="F2F7FB"/>
            <w:tcMar>
              <w:top w:w="60" w:type="dxa"/>
              <w:left w:w="90" w:type="dxa"/>
              <w:bottom w:w="60" w:type="dxa"/>
              <w:right w:w="90" w:type="dxa"/>
            </w:tcMar>
          </w:tcPr>
          <w:p w14:paraId="23C9BDFF" w14:textId="77777777" w:rsidR="009B3738" w:rsidRDefault="00000000">
            <w:r>
              <w:rPr>
                <w:color w:val="000000"/>
                <w:sz w:val="18"/>
                <w:szCs w:val="18"/>
              </w:rPr>
              <w:t>Forecast Accuracy</w:t>
            </w:r>
          </w:p>
        </w:tc>
        <w:tc>
          <w:tcPr>
            <w:tcW w:w="1150" w:type="dxa"/>
            <w:tcBorders>
              <w:top w:val="single" w:sz="4" w:space="0" w:color="A6A6A6"/>
              <w:left w:val="single" w:sz="4" w:space="0" w:color="A6A6A6"/>
              <w:bottom w:val="single" w:sz="4" w:space="0" w:color="A6A6A6"/>
              <w:right w:val="single" w:sz="4" w:space="0" w:color="A6A6A6"/>
            </w:tcBorders>
            <w:shd w:val="clear" w:color="auto" w:fill="F2F7FB"/>
            <w:tcMar>
              <w:top w:w="60" w:type="dxa"/>
              <w:left w:w="90" w:type="dxa"/>
              <w:bottom w:w="60" w:type="dxa"/>
              <w:right w:w="90" w:type="dxa"/>
            </w:tcMar>
          </w:tcPr>
          <w:p w14:paraId="0D8AACBE" w14:textId="77777777" w:rsidR="009B3738" w:rsidRDefault="00000000">
            <w:r>
              <w:rPr>
                <w:color w:val="000000"/>
                <w:sz w:val="18"/>
                <w:szCs w:val="18"/>
              </w:rPr>
              <w:t>68%</w:t>
            </w:r>
          </w:p>
        </w:tc>
        <w:tc>
          <w:tcPr>
            <w:tcW w:w="1200" w:type="dxa"/>
            <w:tcBorders>
              <w:top w:val="single" w:sz="4" w:space="0" w:color="A6A6A6"/>
              <w:left w:val="single" w:sz="4" w:space="0" w:color="A6A6A6"/>
              <w:bottom w:val="single" w:sz="4" w:space="0" w:color="A6A6A6"/>
              <w:right w:val="single" w:sz="4" w:space="0" w:color="A6A6A6"/>
            </w:tcBorders>
            <w:shd w:val="clear" w:color="auto" w:fill="F2F7FB"/>
            <w:tcMar>
              <w:top w:w="60" w:type="dxa"/>
              <w:left w:w="90" w:type="dxa"/>
              <w:bottom w:w="60" w:type="dxa"/>
              <w:right w:w="90" w:type="dxa"/>
            </w:tcMar>
          </w:tcPr>
          <w:p w14:paraId="1C11A4FB" w14:textId="77777777" w:rsidR="009B3738" w:rsidRDefault="00000000">
            <w:r>
              <w:rPr>
                <w:color w:val="000000"/>
                <w:sz w:val="18"/>
                <w:szCs w:val="18"/>
              </w:rPr>
              <w:t>80%</w:t>
            </w:r>
          </w:p>
        </w:tc>
        <w:tc>
          <w:tcPr>
            <w:tcW w:w="1150" w:type="dxa"/>
            <w:tcBorders>
              <w:top w:val="single" w:sz="4" w:space="0" w:color="A6A6A6"/>
              <w:left w:val="single" w:sz="4" w:space="0" w:color="A6A6A6"/>
              <w:bottom w:val="single" w:sz="4" w:space="0" w:color="A6A6A6"/>
              <w:right w:val="single" w:sz="4" w:space="0" w:color="A6A6A6"/>
            </w:tcBorders>
            <w:shd w:val="clear" w:color="auto" w:fill="F2F7FB"/>
            <w:tcMar>
              <w:top w:w="60" w:type="dxa"/>
              <w:left w:w="90" w:type="dxa"/>
              <w:bottom w:w="60" w:type="dxa"/>
              <w:right w:w="90" w:type="dxa"/>
            </w:tcMar>
          </w:tcPr>
          <w:p w14:paraId="6BF2EE3F" w14:textId="77777777" w:rsidR="009B3738" w:rsidRDefault="00000000">
            <w:r>
              <w:rPr>
                <w:color w:val="000000"/>
                <w:sz w:val="18"/>
                <w:szCs w:val="18"/>
              </w:rPr>
              <w:t>Critical</w:t>
            </w:r>
          </w:p>
        </w:tc>
        <w:tc>
          <w:tcPr>
            <w:tcW w:w="3326" w:type="dxa"/>
            <w:tcBorders>
              <w:top w:val="single" w:sz="4" w:space="0" w:color="A6A6A6"/>
              <w:left w:val="single" w:sz="4" w:space="0" w:color="A6A6A6"/>
              <w:bottom w:val="single" w:sz="4" w:space="0" w:color="A6A6A6"/>
              <w:right w:val="single" w:sz="4" w:space="0" w:color="A6A6A6"/>
            </w:tcBorders>
            <w:shd w:val="clear" w:color="auto" w:fill="F2F7FB"/>
            <w:tcMar>
              <w:top w:w="60" w:type="dxa"/>
              <w:left w:w="90" w:type="dxa"/>
              <w:bottom w:w="60" w:type="dxa"/>
              <w:right w:w="90" w:type="dxa"/>
            </w:tcMar>
          </w:tcPr>
          <w:p w14:paraId="61AAE883" w14:textId="77777777" w:rsidR="009B3738" w:rsidRDefault="00000000">
            <w:r>
              <w:rPr>
                <w:color w:val="000000"/>
                <w:sz w:val="18"/>
                <w:szCs w:val="18"/>
              </w:rPr>
              <w:t>Drives every downstream stocking and capacity decision.</w:t>
            </w:r>
          </w:p>
        </w:tc>
      </w:tr>
      <w:tr w:rsidR="009B3738" w14:paraId="6A5A3FE0" w14:textId="77777777">
        <w:tblPrEx>
          <w:tblCellMar>
            <w:top w:w="0" w:type="dxa"/>
            <w:bottom w:w="0" w:type="dxa"/>
          </w:tblCellMar>
        </w:tblPrEx>
        <w:tc>
          <w:tcPr>
            <w:tcW w:w="2200" w:type="dxa"/>
            <w:tcBorders>
              <w:top w:val="single" w:sz="4" w:space="0" w:color="A6A6A6"/>
              <w:left w:val="single" w:sz="4" w:space="0" w:color="A6A6A6"/>
              <w:bottom w:val="single" w:sz="4" w:space="0" w:color="A6A6A6"/>
              <w:right w:val="single" w:sz="4" w:space="0" w:color="A6A6A6"/>
            </w:tcBorders>
            <w:shd w:val="clear" w:color="auto" w:fill="FFFFFF"/>
            <w:tcMar>
              <w:top w:w="60" w:type="dxa"/>
              <w:left w:w="90" w:type="dxa"/>
              <w:bottom w:w="60" w:type="dxa"/>
              <w:right w:w="90" w:type="dxa"/>
            </w:tcMar>
          </w:tcPr>
          <w:p w14:paraId="3E089499" w14:textId="77777777" w:rsidR="009B3738" w:rsidRDefault="00000000">
            <w:r>
              <w:rPr>
                <w:color w:val="000000"/>
                <w:sz w:val="18"/>
                <w:szCs w:val="18"/>
              </w:rPr>
              <w:t>Supplier On-Time Delivery</w:t>
            </w:r>
          </w:p>
        </w:tc>
        <w:tc>
          <w:tcPr>
            <w:tcW w:w="1150" w:type="dxa"/>
            <w:tcBorders>
              <w:top w:val="single" w:sz="4" w:space="0" w:color="A6A6A6"/>
              <w:left w:val="single" w:sz="4" w:space="0" w:color="A6A6A6"/>
              <w:bottom w:val="single" w:sz="4" w:space="0" w:color="A6A6A6"/>
              <w:right w:val="single" w:sz="4" w:space="0" w:color="A6A6A6"/>
            </w:tcBorders>
            <w:shd w:val="clear" w:color="auto" w:fill="FFFFFF"/>
            <w:tcMar>
              <w:top w:w="60" w:type="dxa"/>
              <w:left w:w="90" w:type="dxa"/>
              <w:bottom w:w="60" w:type="dxa"/>
              <w:right w:w="90" w:type="dxa"/>
            </w:tcMar>
          </w:tcPr>
          <w:p w14:paraId="6A397ED5" w14:textId="77777777" w:rsidR="009B3738" w:rsidRDefault="00000000">
            <w:r>
              <w:rPr>
                <w:color w:val="000000"/>
                <w:sz w:val="18"/>
                <w:szCs w:val="18"/>
              </w:rPr>
              <w:t>82%</w:t>
            </w:r>
          </w:p>
        </w:tc>
        <w:tc>
          <w:tcPr>
            <w:tcW w:w="1200" w:type="dxa"/>
            <w:tcBorders>
              <w:top w:val="single" w:sz="4" w:space="0" w:color="A6A6A6"/>
              <w:left w:val="single" w:sz="4" w:space="0" w:color="A6A6A6"/>
              <w:bottom w:val="single" w:sz="4" w:space="0" w:color="A6A6A6"/>
              <w:right w:val="single" w:sz="4" w:space="0" w:color="A6A6A6"/>
            </w:tcBorders>
            <w:shd w:val="clear" w:color="auto" w:fill="FFFFFF"/>
            <w:tcMar>
              <w:top w:w="60" w:type="dxa"/>
              <w:left w:w="90" w:type="dxa"/>
              <w:bottom w:w="60" w:type="dxa"/>
              <w:right w:w="90" w:type="dxa"/>
            </w:tcMar>
          </w:tcPr>
          <w:p w14:paraId="3AC395A2" w14:textId="77777777" w:rsidR="009B3738" w:rsidRDefault="00000000">
            <w:r>
              <w:rPr>
                <w:color w:val="000000"/>
                <w:sz w:val="18"/>
                <w:szCs w:val="18"/>
              </w:rPr>
              <w:t>93%</w:t>
            </w:r>
          </w:p>
        </w:tc>
        <w:tc>
          <w:tcPr>
            <w:tcW w:w="1150" w:type="dxa"/>
            <w:tcBorders>
              <w:top w:val="single" w:sz="4" w:space="0" w:color="A6A6A6"/>
              <w:left w:val="single" w:sz="4" w:space="0" w:color="A6A6A6"/>
              <w:bottom w:val="single" w:sz="4" w:space="0" w:color="A6A6A6"/>
              <w:right w:val="single" w:sz="4" w:space="0" w:color="A6A6A6"/>
            </w:tcBorders>
            <w:shd w:val="clear" w:color="auto" w:fill="FFFFFF"/>
            <w:tcMar>
              <w:top w:w="60" w:type="dxa"/>
              <w:left w:w="90" w:type="dxa"/>
              <w:bottom w:w="60" w:type="dxa"/>
              <w:right w:w="90" w:type="dxa"/>
            </w:tcMar>
          </w:tcPr>
          <w:p w14:paraId="7C504309" w14:textId="77777777" w:rsidR="009B3738" w:rsidRDefault="00000000">
            <w:r>
              <w:rPr>
                <w:color w:val="000000"/>
                <w:sz w:val="18"/>
                <w:szCs w:val="18"/>
              </w:rPr>
              <w:t>Critical</w:t>
            </w:r>
          </w:p>
        </w:tc>
        <w:tc>
          <w:tcPr>
            <w:tcW w:w="3326" w:type="dxa"/>
            <w:tcBorders>
              <w:top w:val="single" w:sz="4" w:space="0" w:color="A6A6A6"/>
              <w:left w:val="single" w:sz="4" w:space="0" w:color="A6A6A6"/>
              <w:bottom w:val="single" w:sz="4" w:space="0" w:color="A6A6A6"/>
              <w:right w:val="single" w:sz="4" w:space="0" w:color="A6A6A6"/>
            </w:tcBorders>
            <w:shd w:val="clear" w:color="auto" w:fill="FFFFFF"/>
            <w:tcMar>
              <w:top w:w="60" w:type="dxa"/>
              <w:left w:w="90" w:type="dxa"/>
              <w:bottom w:w="60" w:type="dxa"/>
              <w:right w:w="90" w:type="dxa"/>
            </w:tcMar>
          </w:tcPr>
          <w:p w14:paraId="2E28B2A5" w14:textId="77777777" w:rsidR="009B3738" w:rsidRDefault="00000000">
            <w:r>
              <w:rPr>
                <w:color w:val="000000"/>
                <w:sz w:val="18"/>
                <w:szCs w:val="18"/>
              </w:rPr>
              <w:t>Upstream reliability; feeds stock-outs and expediting.</w:t>
            </w:r>
          </w:p>
        </w:tc>
      </w:tr>
      <w:tr w:rsidR="009B3738" w14:paraId="5002951A" w14:textId="77777777">
        <w:tblPrEx>
          <w:tblCellMar>
            <w:top w:w="0" w:type="dxa"/>
            <w:bottom w:w="0" w:type="dxa"/>
          </w:tblCellMar>
        </w:tblPrEx>
        <w:tc>
          <w:tcPr>
            <w:tcW w:w="2200" w:type="dxa"/>
            <w:tcBorders>
              <w:top w:val="single" w:sz="4" w:space="0" w:color="A6A6A6"/>
              <w:left w:val="single" w:sz="4" w:space="0" w:color="A6A6A6"/>
              <w:bottom w:val="single" w:sz="4" w:space="0" w:color="A6A6A6"/>
              <w:right w:val="single" w:sz="4" w:space="0" w:color="A6A6A6"/>
            </w:tcBorders>
            <w:shd w:val="clear" w:color="auto" w:fill="F2F7FB"/>
            <w:tcMar>
              <w:top w:w="60" w:type="dxa"/>
              <w:left w:w="90" w:type="dxa"/>
              <w:bottom w:w="60" w:type="dxa"/>
              <w:right w:w="90" w:type="dxa"/>
            </w:tcMar>
          </w:tcPr>
          <w:p w14:paraId="23516FB6" w14:textId="77777777" w:rsidR="009B3738" w:rsidRDefault="00000000">
            <w:r>
              <w:rPr>
                <w:color w:val="000000"/>
                <w:sz w:val="18"/>
                <w:szCs w:val="18"/>
              </w:rPr>
              <w:t>Order Cycle Time</w:t>
            </w:r>
          </w:p>
        </w:tc>
        <w:tc>
          <w:tcPr>
            <w:tcW w:w="1150" w:type="dxa"/>
            <w:tcBorders>
              <w:top w:val="single" w:sz="4" w:space="0" w:color="A6A6A6"/>
              <w:left w:val="single" w:sz="4" w:space="0" w:color="A6A6A6"/>
              <w:bottom w:val="single" w:sz="4" w:space="0" w:color="A6A6A6"/>
              <w:right w:val="single" w:sz="4" w:space="0" w:color="A6A6A6"/>
            </w:tcBorders>
            <w:shd w:val="clear" w:color="auto" w:fill="F2F7FB"/>
            <w:tcMar>
              <w:top w:w="60" w:type="dxa"/>
              <w:left w:w="90" w:type="dxa"/>
              <w:bottom w:w="60" w:type="dxa"/>
              <w:right w:w="90" w:type="dxa"/>
            </w:tcMar>
          </w:tcPr>
          <w:p w14:paraId="06374BD9" w14:textId="77777777" w:rsidR="009B3738" w:rsidRDefault="00000000">
            <w:r>
              <w:rPr>
                <w:color w:val="000000"/>
                <w:sz w:val="18"/>
                <w:szCs w:val="18"/>
              </w:rPr>
              <w:t>6.8 days</w:t>
            </w:r>
          </w:p>
        </w:tc>
        <w:tc>
          <w:tcPr>
            <w:tcW w:w="1200" w:type="dxa"/>
            <w:tcBorders>
              <w:top w:val="single" w:sz="4" w:space="0" w:color="A6A6A6"/>
              <w:left w:val="single" w:sz="4" w:space="0" w:color="A6A6A6"/>
              <w:bottom w:val="single" w:sz="4" w:space="0" w:color="A6A6A6"/>
              <w:right w:val="single" w:sz="4" w:space="0" w:color="A6A6A6"/>
            </w:tcBorders>
            <w:shd w:val="clear" w:color="auto" w:fill="F2F7FB"/>
            <w:tcMar>
              <w:top w:w="60" w:type="dxa"/>
              <w:left w:w="90" w:type="dxa"/>
              <w:bottom w:w="60" w:type="dxa"/>
              <w:right w:w="90" w:type="dxa"/>
            </w:tcMar>
          </w:tcPr>
          <w:p w14:paraId="12657630" w14:textId="77777777" w:rsidR="009B3738" w:rsidRDefault="00000000">
            <w:r>
              <w:rPr>
                <w:color w:val="000000"/>
                <w:sz w:val="18"/>
                <w:szCs w:val="18"/>
              </w:rPr>
              <w:t>4.0 days</w:t>
            </w:r>
          </w:p>
        </w:tc>
        <w:tc>
          <w:tcPr>
            <w:tcW w:w="1150" w:type="dxa"/>
            <w:tcBorders>
              <w:top w:val="single" w:sz="4" w:space="0" w:color="A6A6A6"/>
              <w:left w:val="single" w:sz="4" w:space="0" w:color="A6A6A6"/>
              <w:bottom w:val="single" w:sz="4" w:space="0" w:color="A6A6A6"/>
              <w:right w:val="single" w:sz="4" w:space="0" w:color="A6A6A6"/>
            </w:tcBorders>
            <w:shd w:val="clear" w:color="auto" w:fill="F2F7FB"/>
            <w:tcMar>
              <w:top w:w="60" w:type="dxa"/>
              <w:left w:w="90" w:type="dxa"/>
              <w:bottom w:w="60" w:type="dxa"/>
              <w:right w:w="90" w:type="dxa"/>
            </w:tcMar>
          </w:tcPr>
          <w:p w14:paraId="5973C54F" w14:textId="77777777" w:rsidR="009B3738" w:rsidRDefault="00000000">
            <w:r>
              <w:rPr>
                <w:color w:val="000000"/>
                <w:sz w:val="18"/>
                <w:szCs w:val="18"/>
              </w:rPr>
              <w:t>Critical</w:t>
            </w:r>
          </w:p>
        </w:tc>
        <w:tc>
          <w:tcPr>
            <w:tcW w:w="3326" w:type="dxa"/>
            <w:tcBorders>
              <w:top w:val="single" w:sz="4" w:space="0" w:color="A6A6A6"/>
              <w:left w:val="single" w:sz="4" w:space="0" w:color="A6A6A6"/>
              <w:bottom w:val="single" w:sz="4" w:space="0" w:color="A6A6A6"/>
              <w:right w:val="single" w:sz="4" w:space="0" w:color="A6A6A6"/>
            </w:tcBorders>
            <w:shd w:val="clear" w:color="auto" w:fill="F2F7FB"/>
            <w:tcMar>
              <w:top w:w="60" w:type="dxa"/>
              <w:left w:w="90" w:type="dxa"/>
              <w:bottom w:w="60" w:type="dxa"/>
              <w:right w:w="90" w:type="dxa"/>
            </w:tcMar>
          </w:tcPr>
          <w:p w14:paraId="4965588A" w14:textId="77777777" w:rsidR="009B3738" w:rsidRDefault="00000000">
            <w:r>
              <w:rPr>
                <w:color w:val="000000"/>
                <w:sz w:val="18"/>
                <w:szCs w:val="18"/>
              </w:rPr>
              <w:t>Responsiveness; speed from order to delivery.</w:t>
            </w:r>
          </w:p>
        </w:tc>
      </w:tr>
      <w:tr w:rsidR="009B3738" w14:paraId="0144831F" w14:textId="77777777">
        <w:tblPrEx>
          <w:tblCellMar>
            <w:top w:w="0" w:type="dxa"/>
            <w:bottom w:w="0" w:type="dxa"/>
          </w:tblCellMar>
        </w:tblPrEx>
        <w:tc>
          <w:tcPr>
            <w:tcW w:w="2200" w:type="dxa"/>
            <w:tcBorders>
              <w:top w:val="single" w:sz="4" w:space="0" w:color="A6A6A6"/>
              <w:left w:val="single" w:sz="4" w:space="0" w:color="A6A6A6"/>
              <w:bottom w:val="single" w:sz="4" w:space="0" w:color="A6A6A6"/>
              <w:right w:val="single" w:sz="4" w:space="0" w:color="A6A6A6"/>
            </w:tcBorders>
            <w:shd w:val="clear" w:color="auto" w:fill="FFFFFF"/>
            <w:tcMar>
              <w:top w:w="60" w:type="dxa"/>
              <w:left w:w="90" w:type="dxa"/>
              <w:bottom w:w="60" w:type="dxa"/>
              <w:right w:w="90" w:type="dxa"/>
            </w:tcMar>
          </w:tcPr>
          <w:p w14:paraId="0E1EE0AA" w14:textId="77777777" w:rsidR="009B3738" w:rsidRDefault="00000000">
            <w:r>
              <w:rPr>
                <w:color w:val="000000"/>
                <w:sz w:val="18"/>
                <w:szCs w:val="18"/>
              </w:rPr>
              <w:t>Inventory Turnover</w:t>
            </w:r>
          </w:p>
        </w:tc>
        <w:tc>
          <w:tcPr>
            <w:tcW w:w="1150" w:type="dxa"/>
            <w:tcBorders>
              <w:top w:val="single" w:sz="4" w:space="0" w:color="A6A6A6"/>
              <w:left w:val="single" w:sz="4" w:space="0" w:color="A6A6A6"/>
              <w:bottom w:val="single" w:sz="4" w:space="0" w:color="A6A6A6"/>
              <w:right w:val="single" w:sz="4" w:space="0" w:color="A6A6A6"/>
            </w:tcBorders>
            <w:shd w:val="clear" w:color="auto" w:fill="FFFFFF"/>
            <w:tcMar>
              <w:top w:w="60" w:type="dxa"/>
              <w:left w:w="90" w:type="dxa"/>
              <w:bottom w:w="60" w:type="dxa"/>
              <w:right w:w="90" w:type="dxa"/>
            </w:tcMar>
          </w:tcPr>
          <w:p w14:paraId="519D818B" w14:textId="77777777" w:rsidR="009B3738" w:rsidRDefault="00000000">
            <w:r>
              <w:rPr>
                <w:color w:val="000000"/>
                <w:sz w:val="18"/>
                <w:szCs w:val="18"/>
              </w:rPr>
              <w:t>5.2x</w:t>
            </w:r>
          </w:p>
        </w:tc>
        <w:tc>
          <w:tcPr>
            <w:tcW w:w="1200" w:type="dxa"/>
            <w:tcBorders>
              <w:top w:val="single" w:sz="4" w:space="0" w:color="A6A6A6"/>
              <w:left w:val="single" w:sz="4" w:space="0" w:color="A6A6A6"/>
              <w:bottom w:val="single" w:sz="4" w:space="0" w:color="A6A6A6"/>
              <w:right w:val="single" w:sz="4" w:space="0" w:color="A6A6A6"/>
            </w:tcBorders>
            <w:shd w:val="clear" w:color="auto" w:fill="FFFFFF"/>
            <w:tcMar>
              <w:top w:w="60" w:type="dxa"/>
              <w:left w:w="90" w:type="dxa"/>
              <w:bottom w:w="60" w:type="dxa"/>
              <w:right w:w="90" w:type="dxa"/>
            </w:tcMar>
          </w:tcPr>
          <w:p w14:paraId="227F9CA5" w14:textId="77777777" w:rsidR="009B3738" w:rsidRDefault="00000000">
            <w:r>
              <w:rPr>
                <w:color w:val="000000"/>
                <w:sz w:val="18"/>
                <w:szCs w:val="18"/>
              </w:rPr>
              <w:t>8.0x</w:t>
            </w:r>
          </w:p>
        </w:tc>
        <w:tc>
          <w:tcPr>
            <w:tcW w:w="1150" w:type="dxa"/>
            <w:tcBorders>
              <w:top w:val="single" w:sz="4" w:space="0" w:color="A6A6A6"/>
              <w:left w:val="single" w:sz="4" w:space="0" w:color="A6A6A6"/>
              <w:bottom w:val="single" w:sz="4" w:space="0" w:color="A6A6A6"/>
              <w:right w:val="single" w:sz="4" w:space="0" w:color="A6A6A6"/>
            </w:tcBorders>
            <w:shd w:val="clear" w:color="auto" w:fill="FFFFFF"/>
            <w:tcMar>
              <w:top w:w="60" w:type="dxa"/>
              <w:left w:w="90" w:type="dxa"/>
              <w:bottom w:w="60" w:type="dxa"/>
              <w:right w:w="90" w:type="dxa"/>
            </w:tcMar>
          </w:tcPr>
          <w:p w14:paraId="14A9360B" w14:textId="77777777" w:rsidR="009B3738" w:rsidRDefault="00000000">
            <w:r>
              <w:rPr>
                <w:color w:val="000000"/>
                <w:sz w:val="18"/>
                <w:szCs w:val="18"/>
              </w:rPr>
              <w:t>Critical</w:t>
            </w:r>
          </w:p>
        </w:tc>
        <w:tc>
          <w:tcPr>
            <w:tcW w:w="3326" w:type="dxa"/>
            <w:tcBorders>
              <w:top w:val="single" w:sz="4" w:space="0" w:color="A6A6A6"/>
              <w:left w:val="single" w:sz="4" w:space="0" w:color="A6A6A6"/>
              <w:bottom w:val="single" w:sz="4" w:space="0" w:color="A6A6A6"/>
              <w:right w:val="single" w:sz="4" w:space="0" w:color="A6A6A6"/>
            </w:tcBorders>
            <w:shd w:val="clear" w:color="auto" w:fill="FFFFFF"/>
            <w:tcMar>
              <w:top w:w="60" w:type="dxa"/>
              <w:left w:w="90" w:type="dxa"/>
              <w:bottom w:w="60" w:type="dxa"/>
              <w:right w:w="90" w:type="dxa"/>
            </w:tcMar>
          </w:tcPr>
          <w:p w14:paraId="3A8AFE24" w14:textId="77777777" w:rsidR="009B3738" w:rsidRDefault="00000000">
            <w:r>
              <w:rPr>
                <w:color w:val="000000"/>
                <w:sz w:val="18"/>
                <w:szCs w:val="18"/>
              </w:rPr>
              <w:t>Capital efficiency; low turns mean cash locked in stock.</w:t>
            </w:r>
          </w:p>
        </w:tc>
      </w:tr>
      <w:tr w:rsidR="009B3738" w14:paraId="3843DE83" w14:textId="77777777">
        <w:tblPrEx>
          <w:tblCellMar>
            <w:top w:w="0" w:type="dxa"/>
            <w:bottom w:w="0" w:type="dxa"/>
          </w:tblCellMar>
        </w:tblPrEx>
        <w:tc>
          <w:tcPr>
            <w:tcW w:w="2200" w:type="dxa"/>
            <w:tcBorders>
              <w:top w:val="single" w:sz="4" w:space="0" w:color="A6A6A6"/>
              <w:left w:val="single" w:sz="4" w:space="0" w:color="A6A6A6"/>
              <w:bottom w:val="single" w:sz="4" w:space="0" w:color="A6A6A6"/>
              <w:right w:val="single" w:sz="4" w:space="0" w:color="A6A6A6"/>
            </w:tcBorders>
            <w:shd w:val="clear" w:color="auto" w:fill="F2F7FB"/>
            <w:tcMar>
              <w:top w:w="60" w:type="dxa"/>
              <w:left w:w="90" w:type="dxa"/>
              <w:bottom w:w="60" w:type="dxa"/>
              <w:right w:w="90" w:type="dxa"/>
            </w:tcMar>
          </w:tcPr>
          <w:p w14:paraId="3C670026" w14:textId="77777777" w:rsidR="009B3738" w:rsidRDefault="00000000">
            <w:r>
              <w:rPr>
                <w:color w:val="000000"/>
                <w:sz w:val="18"/>
                <w:szCs w:val="18"/>
              </w:rPr>
              <w:t>Days of Inventory</w:t>
            </w:r>
          </w:p>
        </w:tc>
        <w:tc>
          <w:tcPr>
            <w:tcW w:w="1150" w:type="dxa"/>
            <w:tcBorders>
              <w:top w:val="single" w:sz="4" w:space="0" w:color="A6A6A6"/>
              <w:left w:val="single" w:sz="4" w:space="0" w:color="A6A6A6"/>
              <w:bottom w:val="single" w:sz="4" w:space="0" w:color="A6A6A6"/>
              <w:right w:val="single" w:sz="4" w:space="0" w:color="A6A6A6"/>
            </w:tcBorders>
            <w:shd w:val="clear" w:color="auto" w:fill="F2F7FB"/>
            <w:tcMar>
              <w:top w:w="60" w:type="dxa"/>
              <w:left w:w="90" w:type="dxa"/>
              <w:bottom w:w="60" w:type="dxa"/>
              <w:right w:w="90" w:type="dxa"/>
            </w:tcMar>
          </w:tcPr>
          <w:p w14:paraId="567D7B02" w14:textId="77777777" w:rsidR="009B3738" w:rsidRDefault="00000000">
            <w:r>
              <w:rPr>
                <w:color w:val="000000"/>
                <w:sz w:val="18"/>
                <w:szCs w:val="18"/>
              </w:rPr>
              <w:t>70 days</w:t>
            </w:r>
          </w:p>
        </w:tc>
        <w:tc>
          <w:tcPr>
            <w:tcW w:w="1200" w:type="dxa"/>
            <w:tcBorders>
              <w:top w:val="single" w:sz="4" w:space="0" w:color="A6A6A6"/>
              <w:left w:val="single" w:sz="4" w:space="0" w:color="A6A6A6"/>
              <w:bottom w:val="single" w:sz="4" w:space="0" w:color="A6A6A6"/>
              <w:right w:val="single" w:sz="4" w:space="0" w:color="A6A6A6"/>
            </w:tcBorders>
            <w:shd w:val="clear" w:color="auto" w:fill="F2F7FB"/>
            <w:tcMar>
              <w:top w:w="60" w:type="dxa"/>
              <w:left w:w="90" w:type="dxa"/>
              <w:bottom w:w="60" w:type="dxa"/>
              <w:right w:w="90" w:type="dxa"/>
            </w:tcMar>
          </w:tcPr>
          <w:p w14:paraId="26E4F2CA" w14:textId="77777777" w:rsidR="009B3738" w:rsidRDefault="00000000">
            <w:r>
              <w:rPr>
                <w:color w:val="000000"/>
                <w:sz w:val="18"/>
                <w:szCs w:val="18"/>
              </w:rPr>
              <w:t>46 days</w:t>
            </w:r>
          </w:p>
        </w:tc>
        <w:tc>
          <w:tcPr>
            <w:tcW w:w="1150" w:type="dxa"/>
            <w:tcBorders>
              <w:top w:val="single" w:sz="4" w:space="0" w:color="A6A6A6"/>
              <w:left w:val="single" w:sz="4" w:space="0" w:color="A6A6A6"/>
              <w:bottom w:val="single" w:sz="4" w:space="0" w:color="A6A6A6"/>
              <w:right w:val="single" w:sz="4" w:space="0" w:color="A6A6A6"/>
            </w:tcBorders>
            <w:shd w:val="clear" w:color="auto" w:fill="F2F7FB"/>
            <w:tcMar>
              <w:top w:w="60" w:type="dxa"/>
              <w:left w:w="90" w:type="dxa"/>
              <w:bottom w:w="60" w:type="dxa"/>
              <w:right w:w="90" w:type="dxa"/>
            </w:tcMar>
          </w:tcPr>
          <w:p w14:paraId="3842FAE9" w14:textId="77777777" w:rsidR="009B3738" w:rsidRDefault="00000000">
            <w:r>
              <w:rPr>
                <w:color w:val="000000"/>
                <w:sz w:val="18"/>
                <w:szCs w:val="18"/>
              </w:rPr>
              <w:t>Critical</w:t>
            </w:r>
          </w:p>
        </w:tc>
        <w:tc>
          <w:tcPr>
            <w:tcW w:w="3326" w:type="dxa"/>
            <w:tcBorders>
              <w:top w:val="single" w:sz="4" w:space="0" w:color="A6A6A6"/>
              <w:left w:val="single" w:sz="4" w:space="0" w:color="A6A6A6"/>
              <w:bottom w:val="single" w:sz="4" w:space="0" w:color="A6A6A6"/>
              <w:right w:val="single" w:sz="4" w:space="0" w:color="A6A6A6"/>
            </w:tcBorders>
            <w:shd w:val="clear" w:color="auto" w:fill="F2F7FB"/>
            <w:tcMar>
              <w:top w:w="60" w:type="dxa"/>
              <w:left w:w="90" w:type="dxa"/>
              <w:bottom w:w="60" w:type="dxa"/>
              <w:right w:w="90" w:type="dxa"/>
            </w:tcMar>
          </w:tcPr>
          <w:p w14:paraId="7CA09A14" w14:textId="77777777" w:rsidR="009B3738" w:rsidRDefault="00000000">
            <w:r>
              <w:rPr>
                <w:color w:val="000000"/>
                <w:sz w:val="18"/>
                <w:szCs w:val="18"/>
              </w:rPr>
              <w:t>Holding cost and obsolescence exposure.</w:t>
            </w:r>
          </w:p>
        </w:tc>
      </w:tr>
      <w:tr w:rsidR="009B3738" w14:paraId="5F49BBB3" w14:textId="77777777">
        <w:tblPrEx>
          <w:tblCellMar>
            <w:top w:w="0" w:type="dxa"/>
            <w:bottom w:w="0" w:type="dxa"/>
          </w:tblCellMar>
        </w:tblPrEx>
        <w:tc>
          <w:tcPr>
            <w:tcW w:w="2200" w:type="dxa"/>
            <w:tcBorders>
              <w:top w:val="single" w:sz="4" w:space="0" w:color="A6A6A6"/>
              <w:left w:val="single" w:sz="4" w:space="0" w:color="A6A6A6"/>
              <w:bottom w:val="single" w:sz="4" w:space="0" w:color="A6A6A6"/>
              <w:right w:val="single" w:sz="4" w:space="0" w:color="A6A6A6"/>
            </w:tcBorders>
            <w:shd w:val="clear" w:color="auto" w:fill="FFFFFF"/>
            <w:tcMar>
              <w:top w:w="60" w:type="dxa"/>
              <w:left w:w="90" w:type="dxa"/>
              <w:bottom w:w="60" w:type="dxa"/>
              <w:right w:w="90" w:type="dxa"/>
            </w:tcMar>
          </w:tcPr>
          <w:p w14:paraId="1EBC1B23" w14:textId="77777777" w:rsidR="009B3738" w:rsidRDefault="00000000">
            <w:r>
              <w:rPr>
                <w:color w:val="000000"/>
                <w:sz w:val="18"/>
                <w:szCs w:val="18"/>
              </w:rPr>
              <w:t>Cash-to-Cash Cycle</w:t>
            </w:r>
          </w:p>
        </w:tc>
        <w:tc>
          <w:tcPr>
            <w:tcW w:w="1150" w:type="dxa"/>
            <w:tcBorders>
              <w:top w:val="single" w:sz="4" w:space="0" w:color="A6A6A6"/>
              <w:left w:val="single" w:sz="4" w:space="0" w:color="A6A6A6"/>
              <w:bottom w:val="single" w:sz="4" w:space="0" w:color="A6A6A6"/>
              <w:right w:val="single" w:sz="4" w:space="0" w:color="A6A6A6"/>
            </w:tcBorders>
            <w:shd w:val="clear" w:color="auto" w:fill="FFFFFF"/>
            <w:tcMar>
              <w:top w:w="60" w:type="dxa"/>
              <w:left w:w="90" w:type="dxa"/>
              <w:bottom w:w="60" w:type="dxa"/>
              <w:right w:w="90" w:type="dxa"/>
            </w:tcMar>
          </w:tcPr>
          <w:p w14:paraId="3169D57F" w14:textId="77777777" w:rsidR="009B3738" w:rsidRDefault="00000000">
            <w:r>
              <w:rPr>
                <w:color w:val="000000"/>
                <w:sz w:val="18"/>
                <w:szCs w:val="18"/>
              </w:rPr>
              <w:t>62 days</w:t>
            </w:r>
          </w:p>
        </w:tc>
        <w:tc>
          <w:tcPr>
            <w:tcW w:w="1200" w:type="dxa"/>
            <w:tcBorders>
              <w:top w:val="single" w:sz="4" w:space="0" w:color="A6A6A6"/>
              <w:left w:val="single" w:sz="4" w:space="0" w:color="A6A6A6"/>
              <w:bottom w:val="single" w:sz="4" w:space="0" w:color="A6A6A6"/>
              <w:right w:val="single" w:sz="4" w:space="0" w:color="A6A6A6"/>
            </w:tcBorders>
            <w:shd w:val="clear" w:color="auto" w:fill="FFFFFF"/>
            <w:tcMar>
              <w:top w:w="60" w:type="dxa"/>
              <w:left w:w="90" w:type="dxa"/>
              <w:bottom w:w="60" w:type="dxa"/>
              <w:right w:w="90" w:type="dxa"/>
            </w:tcMar>
          </w:tcPr>
          <w:p w14:paraId="4430436D" w14:textId="77777777" w:rsidR="009B3738" w:rsidRDefault="00000000">
            <w:r>
              <w:rPr>
                <w:color w:val="000000"/>
                <w:sz w:val="18"/>
                <w:szCs w:val="18"/>
              </w:rPr>
              <w:t>40 days</w:t>
            </w:r>
          </w:p>
        </w:tc>
        <w:tc>
          <w:tcPr>
            <w:tcW w:w="1150" w:type="dxa"/>
            <w:tcBorders>
              <w:top w:val="single" w:sz="4" w:space="0" w:color="A6A6A6"/>
              <w:left w:val="single" w:sz="4" w:space="0" w:color="A6A6A6"/>
              <w:bottom w:val="single" w:sz="4" w:space="0" w:color="A6A6A6"/>
              <w:right w:val="single" w:sz="4" w:space="0" w:color="A6A6A6"/>
            </w:tcBorders>
            <w:shd w:val="clear" w:color="auto" w:fill="FFFFFF"/>
            <w:tcMar>
              <w:top w:w="60" w:type="dxa"/>
              <w:left w:w="90" w:type="dxa"/>
              <w:bottom w:w="60" w:type="dxa"/>
              <w:right w:w="90" w:type="dxa"/>
            </w:tcMar>
          </w:tcPr>
          <w:p w14:paraId="0A9781B8" w14:textId="77777777" w:rsidR="009B3738" w:rsidRDefault="00000000">
            <w:r>
              <w:rPr>
                <w:color w:val="000000"/>
                <w:sz w:val="18"/>
                <w:szCs w:val="18"/>
              </w:rPr>
              <w:t>Critical</w:t>
            </w:r>
          </w:p>
        </w:tc>
        <w:tc>
          <w:tcPr>
            <w:tcW w:w="3326" w:type="dxa"/>
            <w:tcBorders>
              <w:top w:val="single" w:sz="4" w:space="0" w:color="A6A6A6"/>
              <w:left w:val="single" w:sz="4" w:space="0" w:color="A6A6A6"/>
              <w:bottom w:val="single" w:sz="4" w:space="0" w:color="A6A6A6"/>
              <w:right w:val="single" w:sz="4" w:space="0" w:color="A6A6A6"/>
            </w:tcBorders>
            <w:shd w:val="clear" w:color="auto" w:fill="FFFFFF"/>
            <w:tcMar>
              <w:top w:w="60" w:type="dxa"/>
              <w:left w:w="90" w:type="dxa"/>
              <w:bottom w:w="60" w:type="dxa"/>
              <w:right w:w="90" w:type="dxa"/>
            </w:tcMar>
          </w:tcPr>
          <w:p w14:paraId="71583081" w14:textId="77777777" w:rsidR="009B3738" w:rsidRDefault="00000000">
            <w:r>
              <w:rPr>
                <w:color w:val="000000"/>
                <w:sz w:val="18"/>
                <w:szCs w:val="18"/>
              </w:rPr>
              <w:t>Working capital and financing cost.</w:t>
            </w:r>
          </w:p>
        </w:tc>
      </w:tr>
      <w:tr w:rsidR="009B3738" w14:paraId="4FA4C969" w14:textId="77777777">
        <w:tblPrEx>
          <w:tblCellMar>
            <w:top w:w="0" w:type="dxa"/>
            <w:bottom w:w="0" w:type="dxa"/>
          </w:tblCellMar>
        </w:tblPrEx>
        <w:tc>
          <w:tcPr>
            <w:tcW w:w="2200" w:type="dxa"/>
            <w:tcBorders>
              <w:top w:val="single" w:sz="4" w:space="0" w:color="A6A6A6"/>
              <w:left w:val="single" w:sz="4" w:space="0" w:color="A6A6A6"/>
              <w:bottom w:val="single" w:sz="4" w:space="0" w:color="A6A6A6"/>
              <w:right w:val="single" w:sz="4" w:space="0" w:color="A6A6A6"/>
            </w:tcBorders>
            <w:shd w:val="clear" w:color="auto" w:fill="F2F7FB"/>
            <w:tcMar>
              <w:top w:w="60" w:type="dxa"/>
              <w:left w:w="90" w:type="dxa"/>
              <w:bottom w:w="60" w:type="dxa"/>
              <w:right w:w="90" w:type="dxa"/>
            </w:tcMar>
          </w:tcPr>
          <w:p w14:paraId="2AB29F2A" w14:textId="77777777" w:rsidR="009B3738" w:rsidRDefault="00000000">
            <w:r>
              <w:rPr>
                <w:color w:val="000000"/>
                <w:sz w:val="18"/>
                <w:szCs w:val="18"/>
              </w:rPr>
              <w:t>Logistics Cost (% of sales)</w:t>
            </w:r>
          </w:p>
        </w:tc>
        <w:tc>
          <w:tcPr>
            <w:tcW w:w="1150" w:type="dxa"/>
            <w:tcBorders>
              <w:top w:val="single" w:sz="4" w:space="0" w:color="A6A6A6"/>
              <w:left w:val="single" w:sz="4" w:space="0" w:color="A6A6A6"/>
              <w:bottom w:val="single" w:sz="4" w:space="0" w:color="A6A6A6"/>
              <w:right w:val="single" w:sz="4" w:space="0" w:color="A6A6A6"/>
            </w:tcBorders>
            <w:shd w:val="clear" w:color="auto" w:fill="F2F7FB"/>
            <w:tcMar>
              <w:top w:w="60" w:type="dxa"/>
              <w:left w:w="90" w:type="dxa"/>
              <w:bottom w:w="60" w:type="dxa"/>
              <w:right w:w="90" w:type="dxa"/>
            </w:tcMar>
          </w:tcPr>
          <w:p w14:paraId="2190DFA2" w14:textId="77777777" w:rsidR="009B3738" w:rsidRDefault="00000000">
            <w:r>
              <w:rPr>
                <w:color w:val="000000"/>
                <w:sz w:val="18"/>
                <w:szCs w:val="18"/>
              </w:rPr>
              <w:t>11.5%</w:t>
            </w:r>
          </w:p>
        </w:tc>
        <w:tc>
          <w:tcPr>
            <w:tcW w:w="1200" w:type="dxa"/>
            <w:tcBorders>
              <w:top w:val="single" w:sz="4" w:space="0" w:color="A6A6A6"/>
              <w:left w:val="single" w:sz="4" w:space="0" w:color="A6A6A6"/>
              <w:bottom w:val="single" w:sz="4" w:space="0" w:color="A6A6A6"/>
              <w:right w:val="single" w:sz="4" w:space="0" w:color="A6A6A6"/>
            </w:tcBorders>
            <w:shd w:val="clear" w:color="auto" w:fill="F2F7FB"/>
            <w:tcMar>
              <w:top w:w="60" w:type="dxa"/>
              <w:left w:w="90" w:type="dxa"/>
              <w:bottom w:w="60" w:type="dxa"/>
              <w:right w:w="90" w:type="dxa"/>
            </w:tcMar>
          </w:tcPr>
          <w:p w14:paraId="4DE0075E" w14:textId="77777777" w:rsidR="009B3738" w:rsidRDefault="00000000">
            <w:r>
              <w:rPr>
                <w:color w:val="000000"/>
                <w:sz w:val="18"/>
                <w:szCs w:val="18"/>
              </w:rPr>
              <w:t>8.5%</w:t>
            </w:r>
          </w:p>
        </w:tc>
        <w:tc>
          <w:tcPr>
            <w:tcW w:w="1150" w:type="dxa"/>
            <w:tcBorders>
              <w:top w:val="single" w:sz="4" w:space="0" w:color="A6A6A6"/>
              <w:left w:val="single" w:sz="4" w:space="0" w:color="A6A6A6"/>
              <w:bottom w:val="single" w:sz="4" w:space="0" w:color="A6A6A6"/>
              <w:right w:val="single" w:sz="4" w:space="0" w:color="A6A6A6"/>
            </w:tcBorders>
            <w:shd w:val="clear" w:color="auto" w:fill="F2F7FB"/>
            <w:tcMar>
              <w:top w:w="60" w:type="dxa"/>
              <w:left w:w="90" w:type="dxa"/>
              <w:bottom w:w="60" w:type="dxa"/>
              <w:right w:w="90" w:type="dxa"/>
            </w:tcMar>
          </w:tcPr>
          <w:p w14:paraId="26877FDC" w14:textId="77777777" w:rsidR="009B3738" w:rsidRDefault="00000000">
            <w:r>
              <w:rPr>
                <w:color w:val="000000"/>
                <w:sz w:val="18"/>
                <w:szCs w:val="18"/>
              </w:rPr>
              <w:t>Critical</w:t>
            </w:r>
          </w:p>
        </w:tc>
        <w:tc>
          <w:tcPr>
            <w:tcW w:w="3326" w:type="dxa"/>
            <w:tcBorders>
              <w:top w:val="single" w:sz="4" w:space="0" w:color="A6A6A6"/>
              <w:left w:val="single" w:sz="4" w:space="0" w:color="A6A6A6"/>
              <w:bottom w:val="single" w:sz="4" w:space="0" w:color="A6A6A6"/>
              <w:right w:val="single" w:sz="4" w:space="0" w:color="A6A6A6"/>
            </w:tcBorders>
            <w:shd w:val="clear" w:color="auto" w:fill="F2F7FB"/>
            <w:tcMar>
              <w:top w:w="60" w:type="dxa"/>
              <w:left w:w="90" w:type="dxa"/>
              <w:bottom w:w="60" w:type="dxa"/>
              <w:right w:w="90" w:type="dxa"/>
            </w:tcMar>
          </w:tcPr>
          <w:p w14:paraId="3740E52D" w14:textId="77777777" w:rsidR="009B3738" w:rsidRDefault="00000000">
            <w:r>
              <w:rPr>
                <w:color w:val="000000"/>
                <w:sz w:val="18"/>
                <w:szCs w:val="18"/>
              </w:rPr>
              <w:t>Direct margin impact; reflects network and routing efficiency.</w:t>
            </w:r>
          </w:p>
        </w:tc>
      </w:tr>
      <w:tr w:rsidR="009B3738" w14:paraId="0D8FEE66" w14:textId="77777777">
        <w:tblPrEx>
          <w:tblCellMar>
            <w:top w:w="0" w:type="dxa"/>
            <w:bottom w:w="0" w:type="dxa"/>
          </w:tblCellMar>
        </w:tblPrEx>
        <w:tc>
          <w:tcPr>
            <w:tcW w:w="2200" w:type="dxa"/>
            <w:tcBorders>
              <w:top w:val="single" w:sz="4" w:space="0" w:color="A6A6A6"/>
              <w:left w:val="single" w:sz="4" w:space="0" w:color="A6A6A6"/>
              <w:bottom w:val="single" w:sz="4" w:space="0" w:color="A6A6A6"/>
              <w:right w:val="single" w:sz="4" w:space="0" w:color="A6A6A6"/>
            </w:tcBorders>
            <w:shd w:val="clear" w:color="auto" w:fill="FFFFFF"/>
            <w:tcMar>
              <w:top w:w="60" w:type="dxa"/>
              <w:left w:w="90" w:type="dxa"/>
              <w:bottom w:w="60" w:type="dxa"/>
              <w:right w:w="90" w:type="dxa"/>
            </w:tcMar>
          </w:tcPr>
          <w:p w14:paraId="7FCFA7B8" w14:textId="77777777" w:rsidR="009B3738" w:rsidRDefault="00000000">
            <w:r>
              <w:rPr>
                <w:color w:val="000000"/>
                <w:sz w:val="18"/>
                <w:szCs w:val="18"/>
              </w:rPr>
              <w:t>Order Picking Accuracy</w:t>
            </w:r>
          </w:p>
        </w:tc>
        <w:tc>
          <w:tcPr>
            <w:tcW w:w="1150" w:type="dxa"/>
            <w:tcBorders>
              <w:top w:val="single" w:sz="4" w:space="0" w:color="A6A6A6"/>
              <w:left w:val="single" w:sz="4" w:space="0" w:color="A6A6A6"/>
              <w:bottom w:val="single" w:sz="4" w:space="0" w:color="A6A6A6"/>
              <w:right w:val="single" w:sz="4" w:space="0" w:color="A6A6A6"/>
            </w:tcBorders>
            <w:shd w:val="clear" w:color="auto" w:fill="FFFFFF"/>
            <w:tcMar>
              <w:top w:w="60" w:type="dxa"/>
              <w:left w:w="90" w:type="dxa"/>
              <w:bottom w:w="60" w:type="dxa"/>
              <w:right w:w="90" w:type="dxa"/>
            </w:tcMar>
          </w:tcPr>
          <w:p w14:paraId="5C62313B" w14:textId="77777777" w:rsidR="009B3738" w:rsidRDefault="00000000">
            <w:r>
              <w:rPr>
                <w:color w:val="000000"/>
                <w:sz w:val="18"/>
                <w:szCs w:val="18"/>
              </w:rPr>
              <w:t>98.4%</w:t>
            </w:r>
          </w:p>
        </w:tc>
        <w:tc>
          <w:tcPr>
            <w:tcW w:w="1200" w:type="dxa"/>
            <w:tcBorders>
              <w:top w:val="single" w:sz="4" w:space="0" w:color="A6A6A6"/>
              <w:left w:val="single" w:sz="4" w:space="0" w:color="A6A6A6"/>
              <w:bottom w:val="single" w:sz="4" w:space="0" w:color="A6A6A6"/>
              <w:right w:val="single" w:sz="4" w:space="0" w:color="A6A6A6"/>
            </w:tcBorders>
            <w:shd w:val="clear" w:color="auto" w:fill="FFFFFF"/>
            <w:tcMar>
              <w:top w:w="60" w:type="dxa"/>
              <w:left w:w="90" w:type="dxa"/>
              <w:bottom w:w="60" w:type="dxa"/>
              <w:right w:w="90" w:type="dxa"/>
            </w:tcMar>
          </w:tcPr>
          <w:p w14:paraId="3E079A25" w14:textId="77777777" w:rsidR="009B3738" w:rsidRDefault="00000000">
            <w:r>
              <w:rPr>
                <w:color w:val="000000"/>
                <w:sz w:val="18"/>
                <w:szCs w:val="18"/>
              </w:rPr>
              <w:t>99.0%</w:t>
            </w:r>
          </w:p>
        </w:tc>
        <w:tc>
          <w:tcPr>
            <w:tcW w:w="1150" w:type="dxa"/>
            <w:tcBorders>
              <w:top w:val="single" w:sz="4" w:space="0" w:color="A6A6A6"/>
              <w:left w:val="single" w:sz="4" w:space="0" w:color="A6A6A6"/>
              <w:bottom w:val="single" w:sz="4" w:space="0" w:color="A6A6A6"/>
              <w:right w:val="single" w:sz="4" w:space="0" w:color="A6A6A6"/>
            </w:tcBorders>
            <w:shd w:val="clear" w:color="auto" w:fill="FFFFFF"/>
            <w:tcMar>
              <w:top w:w="60" w:type="dxa"/>
              <w:left w:w="90" w:type="dxa"/>
              <w:bottom w:w="60" w:type="dxa"/>
              <w:right w:w="90" w:type="dxa"/>
            </w:tcMar>
          </w:tcPr>
          <w:p w14:paraId="44B164FE" w14:textId="77777777" w:rsidR="009B3738" w:rsidRDefault="00000000">
            <w:r>
              <w:rPr>
                <w:color w:val="000000"/>
                <w:sz w:val="18"/>
                <w:szCs w:val="18"/>
              </w:rPr>
              <w:t>Strong</w:t>
            </w:r>
          </w:p>
        </w:tc>
        <w:tc>
          <w:tcPr>
            <w:tcW w:w="3326" w:type="dxa"/>
            <w:tcBorders>
              <w:top w:val="single" w:sz="4" w:space="0" w:color="A6A6A6"/>
              <w:left w:val="single" w:sz="4" w:space="0" w:color="A6A6A6"/>
              <w:bottom w:val="single" w:sz="4" w:space="0" w:color="A6A6A6"/>
              <w:right w:val="single" w:sz="4" w:space="0" w:color="A6A6A6"/>
            </w:tcBorders>
            <w:shd w:val="clear" w:color="auto" w:fill="FFFFFF"/>
            <w:tcMar>
              <w:top w:w="60" w:type="dxa"/>
              <w:left w:w="90" w:type="dxa"/>
              <w:bottom w:w="60" w:type="dxa"/>
              <w:right w:w="90" w:type="dxa"/>
            </w:tcMar>
          </w:tcPr>
          <w:p w14:paraId="647C3F29" w14:textId="77777777" w:rsidR="009B3738" w:rsidRDefault="00000000">
            <w:r>
              <w:rPr>
                <w:color w:val="000000"/>
                <w:sz w:val="18"/>
                <w:szCs w:val="18"/>
              </w:rPr>
              <w:t>Warehouse execution quality.</w:t>
            </w:r>
          </w:p>
        </w:tc>
      </w:tr>
      <w:tr w:rsidR="009B3738" w14:paraId="3DA7ADB5" w14:textId="77777777">
        <w:tblPrEx>
          <w:tblCellMar>
            <w:top w:w="0" w:type="dxa"/>
            <w:bottom w:w="0" w:type="dxa"/>
          </w:tblCellMar>
        </w:tblPrEx>
        <w:tc>
          <w:tcPr>
            <w:tcW w:w="2200" w:type="dxa"/>
            <w:tcBorders>
              <w:top w:val="single" w:sz="4" w:space="0" w:color="A6A6A6"/>
              <w:left w:val="single" w:sz="4" w:space="0" w:color="A6A6A6"/>
              <w:bottom w:val="single" w:sz="4" w:space="0" w:color="A6A6A6"/>
              <w:right w:val="single" w:sz="4" w:space="0" w:color="A6A6A6"/>
            </w:tcBorders>
            <w:shd w:val="clear" w:color="auto" w:fill="F2F7FB"/>
            <w:tcMar>
              <w:top w:w="60" w:type="dxa"/>
              <w:left w:w="90" w:type="dxa"/>
              <w:bottom w:w="60" w:type="dxa"/>
              <w:right w:w="90" w:type="dxa"/>
            </w:tcMar>
          </w:tcPr>
          <w:p w14:paraId="65B9851C" w14:textId="77777777" w:rsidR="009B3738" w:rsidRDefault="00000000">
            <w:r>
              <w:rPr>
                <w:color w:val="000000"/>
                <w:sz w:val="18"/>
                <w:szCs w:val="18"/>
              </w:rPr>
              <w:t>Return Rate</w:t>
            </w:r>
          </w:p>
        </w:tc>
        <w:tc>
          <w:tcPr>
            <w:tcW w:w="1150" w:type="dxa"/>
            <w:tcBorders>
              <w:top w:val="single" w:sz="4" w:space="0" w:color="A6A6A6"/>
              <w:left w:val="single" w:sz="4" w:space="0" w:color="A6A6A6"/>
              <w:bottom w:val="single" w:sz="4" w:space="0" w:color="A6A6A6"/>
              <w:right w:val="single" w:sz="4" w:space="0" w:color="A6A6A6"/>
            </w:tcBorders>
            <w:shd w:val="clear" w:color="auto" w:fill="F2F7FB"/>
            <w:tcMar>
              <w:top w:w="60" w:type="dxa"/>
              <w:left w:w="90" w:type="dxa"/>
              <w:bottom w:w="60" w:type="dxa"/>
              <w:right w:w="90" w:type="dxa"/>
            </w:tcMar>
          </w:tcPr>
          <w:p w14:paraId="19347D02" w14:textId="77777777" w:rsidR="009B3738" w:rsidRDefault="00000000">
            <w:r>
              <w:rPr>
                <w:color w:val="000000"/>
                <w:sz w:val="18"/>
                <w:szCs w:val="18"/>
              </w:rPr>
              <w:t>4.1%</w:t>
            </w:r>
          </w:p>
        </w:tc>
        <w:tc>
          <w:tcPr>
            <w:tcW w:w="1200" w:type="dxa"/>
            <w:tcBorders>
              <w:top w:val="single" w:sz="4" w:space="0" w:color="A6A6A6"/>
              <w:left w:val="single" w:sz="4" w:space="0" w:color="A6A6A6"/>
              <w:bottom w:val="single" w:sz="4" w:space="0" w:color="A6A6A6"/>
              <w:right w:val="single" w:sz="4" w:space="0" w:color="A6A6A6"/>
            </w:tcBorders>
            <w:shd w:val="clear" w:color="auto" w:fill="F2F7FB"/>
            <w:tcMar>
              <w:top w:w="60" w:type="dxa"/>
              <w:left w:w="90" w:type="dxa"/>
              <w:bottom w:w="60" w:type="dxa"/>
              <w:right w:w="90" w:type="dxa"/>
            </w:tcMar>
          </w:tcPr>
          <w:p w14:paraId="0DAC768B" w14:textId="77777777" w:rsidR="009B3738" w:rsidRDefault="00000000">
            <w:r>
              <w:rPr>
                <w:color w:val="000000"/>
                <w:sz w:val="18"/>
                <w:szCs w:val="18"/>
              </w:rPr>
              <w:t>3.0%</w:t>
            </w:r>
          </w:p>
        </w:tc>
        <w:tc>
          <w:tcPr>
            <w:tcW w:w="1150" w:type="dxa"/>
            <w:tcBorders>
              <w:top w:val="single" w:sz="4" w:space="0" w:color="A6A6A6"/>
              <w:left w:val="single" w:sz="4" w:space="0" w:color="A6A6A6"/>
              <w:bottom w:val="single" w:sz="4" w:space="0" w:color="A6A6A6"/>
              <w:right w:val="single" w:sz="4" w:space="0" w:color="A6A6A6"/>
            </w:tcBorders>
            <w:shd w:val="clear" w:color="auto" w:fill="F2F7FB"/>
            <w:tcMar>
              <w:top w:w="60" w:type="dxa"/>
              <w:left w:w="90" w:type="dxa"/>
              <w:bottom w:w="60" w:type="dxa"/>
              <w:right w:w="90" w:type="dxa"/>
            </w:tcMar>
          </w:tcPr>
          <w:p w14:paraId="2C4C6A8B" w14:textId="77777777" w:rsidR="009B3738" w:rsidRDefault="00000000">
            <w:r>
              <w:rPr>
                <w:color w:val="000000"/>
                <w:sz w:val="18"/>
                <w:szCs w:val="18"/>
              </w:rPr>
              <w:t>Watch</w:t>
            </w:r>
          </w:p>
        </w:tc>
        <w:tc>
          <w:tcPr>
            <w:tcW w:w="3326" w:type="dxa"/>
            <w:tcBorders>
              <w:top w:val="single" w:sz="4" w:space="0" w:color="A6A6A6"/>
              <w:left w:val="single" w:sz="4" w:space="0" w:color="A6A6A6"/>
              <w:bottom w:val="single" w:sz="4" w:space="0" w:color="A6A6A6"/>
              <w:right w:val="single" w:sz="4" w:space="0" w:color="A6A6A6"/>
            </w:tcBorders>
            <w:shd w:val="clear" w:color="auto" w:fill="F2F7FB"/>
            <w:tcMar>
              <w:top w:w="60" w:type="dxa"/>
              <w:left w:w="90" w:type="dxa"/>
              <w:bottom w:w="60" w:type="dxa"/>
              <w:right w:w="90" w:type="dxa"/>
            </w:tcMar>
          </w:tcPr>
          <w:p w14:paraId="0AA02B3E" w14:textId="77777777" w:rsidR="009B3738" w:rsidRDefault="00000000">
            <w:r>
              <w:rPr>
                <w:color w:val="000000"/>
                <w:sz w:val="18"/>
                <w:szCs w:val="18"/>
              </w:rPr>
              <w:t>Reverse logistics cost and customer experience.</w:t>
            </w:r>
          </w:p>
        </w:tc>
      </w:tr>
    </w:tbl>
    <w:p w14:paraId="64BFDDD5" w14:textId="77777777" w:rsidR="009B3738" w:rsidRDefault="00000000">
      <w:pPr>
        <w:spacing w:before="60" w:after="200"/>
        <w:jc w:val="center"/>
      </w:pPr>
      <w:r>
        <w:rPr>
          <w:i/>
          <w:iCs/>
          <w:color w:val="595959"/>
          <w:sz w:val="19"/>
          <w:szCs w:val="19"/>
        </w:rPr>
        <w:t>Table 3: KPI baseline versus benchmark</w:t>
      </w:r>
    </w:p>
    <w:p w14:paraId="2FAE0F7E" w14:textId="77777777" w:rsidR="009B3738" w:rsidRDefault="00000000">
      <w:pPr>
        <w:jc w:val="center"/>
      </w:pPr>
      <w:r>
        <w:rPr>
          <w:noProof/>
        </w:rPr>
        <w:drawing>
          <wp:inline distT="0" distB="0" distL="0" distR="0" wp14:anchorId="19DBF7F2" wp14:editId="26C3C845">
            <wp:extent cx="5334000" cy="2800350"/>
            <wp:effectExtent l="0" t="0" r="0" b="0"/>
            <wp:docPr id="1" name="kpi" descr="Current vs target vs benchmark for five service KPIs" title="KPI 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334000" cy="2800350"/>
                    </a:xfrm>
                    <a:prstGeom prst="rect">
                      <a:avLst/>
                    </a:prstGeom>
                  </pic:spPr>
                </pic:pic>
              </a:graphicData>
            </a:graphic>
          </wp:inline>
        </w:drawing>
      </w:r>
    </w:p>
    <w:p w14:paraId="439529D1" w14:textId="77777777" w:rsidR="009B3738" w:rsidRDefault="00000000">
      <w:pPr>
        <w:spacing w:before="60" w:after="200"/>
        <w:jc w:val="center"/>
      </w:pPr>
      <w:r>
        <w:rPr>
          <w:i/>
          <w:iCs/>
          <w:color w:val="595959"/>
          <w:sz w:val="19"/>
          <w:szCs w:val="19"/>
        </w:rPr>
        <w:lastRenderedPageBreak/>
        <w:t>Figure 1: Service and planning KPIs against 12-month targets and benchmarks</w:t>
      </w:r>
    </w:p>
    <w:p w14:paraId="4C7216FC" w14:textId="77777777" w:rsidR="009B3738" w:rsidRDefault="00000000">
      <w:pPr>
        <w:pStyle w:val="Heading2"/>
      </w:pPr>
      <w:r>
        <w:t>4.1 Reliability: Perfect Order, OTIF and Fill Rate</w:t>
      </w:r>
    </w:p>
    <w:p w14:paraId="4FE89624" w14:textId="77777777" w:rsidR="009B3738" w:rsidRDefault="00000000">
      <w:pPr>
        <w:spacing w:after="120" w:line="300" w:lineRule="auto"/>
        <w:jc w:val="both"/>
      </w:pPr>
      <w:r>
        <w:t xml:space="preserve">Reliability is the most visible dimension to customers. </w:t>
      </w:r>
      <w:proofErr w:type="spellStart"/>
      <w:r>
        <w:t>NovaCart's</w:t>
      </w:r>
      <w:proofErr w:type="spellEnd"/>
      <w:r>
        <w:t xml:space="preserve"> OTIF of 84% means roughly one order in six arrives late or incomplete. Because the perfect order rate (87%) is higher than OTIF, the data suggests that timing and quantity failures are the dominant problem, while documentation and damage errors are smaller contributors. A fill rate of 93% against a 97% benchmark confirms that stock availability is a measurable cause of incomplete deliveries.</w:t>
      </w:r>
    </w:p>
    <w:p w14:paraId="28D4BFB1" w14:textId="77777777" w:rsidR="009B3738" w:rsidRDefault="00000000">
      <w:pPr>
        <w:pStyle w:val="Heading2"/>
      </w:pPr>
      <w:r>
        <w:t>4.2 Responsiveness: Order Cycle Time</w:t>
      </w:r>
    </w:p>
    <w:p w14:paraId="04CAB043" w14:textId="77777777" w:rsidR="009B3738" w:rsidRDefault="00000000">
      <w:pPr>
        <w:spacing w:after="120" w:line="300" w:lineRule="auto"/>
        <w:jc w:val="both"/>
      </w:pPr>
      <w:r>
        <w:t>An order cycle of 6.8 days compared with a 4-day benchmark shows slow order processing, waiting for stock replenishment and multi-stop routes. Longer cycles force customers to order earlier and in larger lots, which in turn increases forecast noise: a bullwhip effect created in part by the company's own lead times.</w:t>
      </w:r>
    </w:p>
    <w:p w14:paraId="6ED8AE56" w14:textId="77777777" w:rsidR="009B3738" w:rsidRDefault="00000000">
      <w:pPr>
        <w:pStyle w:val="Heading2"/>
      </w:pPr>
      <w:r>
        <w:t>4.3 Planning: Forecast Accuracy</w:t>
      </w:r>
    </w:p>
    <w:p w14:paraId="09A51BB2" w14:textId="77777777" w:rsidR="009B3738" w:rsidRDefault="00000000">
      <w:pPr>
        <w:spacing w:after="120" w:line="300" w:lineRule="auto"/>
        <w:jc w:val="both"/>
      </w:pPr>
      <w:r>
        <w:t>Forecast accuracy of 68% is the single weakest planning indicator. Using spreadsheet-based monthly forecasting without promotion calendars, channel-level signals or exception management means the plan is wrong for roughly one-third of demand. Poor forecasts show up elsewhere in the table as simultaneous stock-outs on fast movers and excess stock on slow movers.</w:t>
      </w:r>
    </w:p>
    <w:p w14:paraId="1E243849" w14:textId="77777777" w:rsidR="009B3738" w:rsidRDefault="00000000">
      <w:pPr>
        <w:pStyle w:val="Heading2"/>
      </w:pPr>
      <w:r>
        <w:t>4.4 Asset Management: Inventory Turnover, Days of Inventory and Cash-to-Cash</w:t>
      </w:r>
    </w:p>
    <w:p w14:paraId="6E8FF9F8" w14:textId="77777777" w:rsidR="009B3738" w:rsidRDefault="00000000">
      <w:pPr>
        <w:spacing w:after="120" w:line="300" w:lineRule="auto"/>
        <w:jc w:val="both"/>
      </w:pPr>
      <w:r>
        <w:t>Inventory of INR 130.8 crore (COGS 680 / 5.2 turns) supports 70 days of cover. At the 8x benchmark the same sales would need only about INR 85 crore. The cash-to-cash cycle of 62 days includes 70 days of inventory, offset by credit terms, and is 22 days longer than the benchmark. Together these metrics show that the company is financing a large amount of stock that does not translate into better service, since OTIF is still low. High inventory with low availability is the classic symptom of misallocated stock rather than insufficient stock.</w:t>
      </w:r>
    </w:p>
    <w:p w14:paraId="24759ACD" w14:textId="77777777" w:rsidR="009B3738" w:rsidRDefault="00000000">
      <w:pPr>
        <w:pStyle w:val="Heading2"/>
      </w:pPr>
      <w:r>
        <w:t>4.5 Cost: Logistics Cost Percentage</w:t>
      </w:r>
    </w:p>
    <w:p w14:paraId="4EC0801D" w14:textId="77777777" w:rsidR="009B3738" w:rsidRDefault="00000000">
      <w:pPr>
        <w:spacing w:after="120" w:line="300" w:lineRule="auto"/>
        <w:jc w:val="both"/>
      </w:pPr>
      <w:r>
        <w:t>Logistics cost is 11.5% of sales (about INR 97.8 crore) against an 8.5% benchmark. The 3 percentage-point gap equals around INR 25.5 crore a year. Contributing factors include partially loaded trucks, many small drops, premium freight used to recover late supplier deliveries, and returns handling.</w:t>
      </w:r>
    </w:p>
    <w:p w14:paraId="49FFC9FA" w14:textId="77777777" w:rsidR="009B3738" w:rsidRDefault="00000000">
      <w:pPr>
        <w:pStyle w:val="Heading2"/>
      </w:pPr>
      <w:r>
        <w:t>4.6 Execution: Picking Accuracy and Returns</w:t>
      </w:r>
    </w:p>
    <w:p w14:paraId="74F455CE" w14:textId="77777777" w:rsidR="009B3738" w:rsidRDefault="00000000">
      <w:pPr>
        <w:spacing w:after="120" w:line="300" w:lineRule="auto"/>
        <w:jc w:val="both"/>
      </w:pPr>
      <w:r>
        <w:t>Order picking accuracy of 98.4% is close to benchmark, which shows the warehouse team's basic execution is sound. The return rate of 4.1% is moderately high and is partly a consequence of wrong or substituted items and delivery delays rather than product quality alone.</w:t>
      </w:r>
    </w:p>
    <w:p w14:paraId="5C8CC5CE" w14:textId="77777777" w:rsidR="009B3738" w:rsidRDefault="00000000">
      <w:pPr>
        <w:pStyle w:val="Heading1"/>
      </w:pPr>
      <w:r>
        <w:t>5. Critical Analysis: Strengths, Bottlenecks and Gaps</w:t>
      </w:r>
    </w:p>
    <w:p w14:paraId="1F8D6759" w14:textId="77777777" w:rsidR="009B3738" w:rsidRDefault="00000000">
      <w:pPr>
        <w:pStyle w:val="Heading2"/>
      </w:pPr>
      <w:r>
        <w:t>5.1 Strengths</w:t>
      </w:r>
    </w:p>
    <w:p w14:paraId="0EC2904F" w14:textId="77777777" w:rsidR="009B3738" w:rsidRDefault="00000000">
      <w:pPr>
        <w:pStyle w:val="ListParagraph"/>
        <w:numPr>
          <w:ilvl w:val="0"/>
          <w:numId w:val="2"/>
        </w:numPr>
        <w:spacing w:after="80" w:line="290" w:lineRule="auto"/>
      </w:pPr>
      <w:r>
        <w:rPr>
          <w:b/>
          <w:bCs/>
        </w:rPr>
        <w:lastRenderedPageBreak/>
        <w:t xml:space="preserve">Warehouse execution: </w:t>
      </w:r>
      <w:r>
        <w:t>Picking accuracy of 98.4% indicates disciplined warehouse operations and a good foundation for automation or slotting improvements.</w:t>
      </w:r>
    </w:p>
    <w:p w14:paraId="5926EB68" w14:textId="77777777" w:rsidR="009B3738" w:rsidRDefault="00000000">
      <w:pPr>
        <w:pStyle w:val="ListParagraph"/>
        <w:numPr>
          <w:ilvl w:val="0"/>
          <w:numId w:val="2"/>
        </w:numPr>
        <w:spacing w:after="80" w:line="290" w:lineRule="auto"/>
      </w:pPr>
      <w:r>
        <w:rPr>
          <w:b/>
          <w:bCs/>
        </w:rPr>
        <w:t xml:space="preserve">Product availability baseline: </w:t>
      </w:r>
      <w:r>
        <w:t>A fill rate of 93% shows that the basic product range and stock coverage are broadly adequate; the issue is allocation, not total quantity.</w:t>
      </w:r>
    </w:p>
    <w:p w14:paraId="4521E446" w14:textId="77777777" w:rsidR="009B3738" w:rsidRDefault="00000000">
      <w:pPr>
        <w:pStyle w:val="ListParagraph"/>
        <w:numPr>
          <w:ilvl w:val="0"/>
          <w:numId w:val="2"/>
        </w:numPr>
        <w:spacing w:after="80" w:line="290" w:lineRule="auto"/>
      </w:pPr>
      <w:r>
        <w:rPr>
          <w:b/>
          <w:bCs/>
        </w:rPr>
        <w:t xml:space="preserve">Network footprint: </w:t>
      </w:r>
      <w:r>
        <w:t xml:space="preserve">Ownership of two warehouses and a cross-dock </w:t>
      </w:r>
      <w:proofErr w:type="gramStart"/>
      <w:r>
        <w:t>gives</w:t>
      </w:r>
      <w:proofErr w:type="gramEnd"/>
      <w:r>
        <w:t xml:space="preserve"> physical flexibility to rebalance stock and consolidate shipments.</w:t>
      </w:r>
    </w:p>
    <w:p w14:paraId="403F360F" w14:textId="77777777" w:rsidR="009B3738" w:rsidRDefault="00000000">
      <w:pPr>
        <w:pStyle w:val="ListParagraph"/>
        <w:numPr>
          <w:ilvl w:val="0"/>
          <w:numId w:val="2"/>
        </w:numPr>
        <w:spacing w:after="80" w:line="290" w:lineRule="auto"/>
      </w:pPr>
      <w:r>
        <w:rPr>
          <w:b/>
          <w:bCs/>
        </w:rPr>
        <w:t xml:space="preserve">Supplier concentration as leverage: </w:t>
      </w:r>
      <w:r>
        <w:t>Top suppliers are concentrated, giving strong leverage for performance contracts and joint planning.</w:t>
      </w:r>
    </w:p>
    <w:p w14:paraId="5409B51D" w14:textId="77777777" w:rsidR="009B3738" w:rsidRDefault="00000000">
      <w:pPr>
        <w:pStyle w:val="Heading2"/>
      </w:pPr>
      <w:r>
        <w:t>5.2 Bottlenecks and Gaps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500"/>
        <w:gridCol w:w="3526"/>
      </w:tblGrid>
      <w:tr w:rsidR="009B3738" w14:paraId="63095269" w14:textId="77777777">
        <w:tblPrEx>
          <w:tblCellMar>
            <w:top w:w="0" w:type="dxa"/>
            <w:bottom w:w="0" w:type="dxa"/>
          </w:tblCellMar>
        </w:tblPrEx>
        <w:trPr>
          <w:tblHeader/>
        </w:trPr>
        <w:tc>
          <w:tcPr>
            <w:tcW w:w="2000" w:type="dxa"/>
            <w:tcBorders>
              <w:top w:val="single" w:sz="4" w:space="0" w:color="A6A6A6"/>
              <w:left w:val="single" w:sz="4" w:space="0" w:color="A6A6A6"/>
              <w:bottom w:val="single" w:sz="4" w:space="0" w:color="A6A6A6"/>
              <w:right w:val="single" w:sz="4" w:space="0" w:color="A6A6A6"/>
            </w:tcBorders>
            <w:shd w:val="clear" w:color="auto" w:fill="1F4E79"/>
            <w:tcMar>
              <w:top w:w="60" w:type="dxa"/>
              <w:left w:w="90" w:type="dxa"/>
              <w:bottom w:w="60" w:type="dxa"/>
              <w:right w:w="90" w:type="dxa"/>
            </w:tcMar>
          </w:tcPr>
          <w:p w14:paraId="1376074F" w14:textId="77777777" w:rsidR="009B3738" w:rsidRDefault="00000000">
            <w:r>
              <w:rPr>
                <w:b/>
                <w:bCs/>
                <w:color w:val="FFFFFF"/>
                <w:sz w:val="18"/>
                <w:szCs w:val="18"/>
              </w:rPr>
              <w:t>Bottleneck</w:t>
            </w:r>
          </w:p>
        </w:tc>
        <w:tc>
          <w:tcPr>
            <w:tcW w:w="3500" w:type="dxa"/>
            <w:tcBorders>
              <w:top w:val="single" w:sz="4" w:space="0" w:color="A6A6A6"/>
              <w:left w:val="single" w:sz="4" w:space="0" w:color="A6A6A6"/>
              <w:bottom w:val="single" w:sz="4" w:space="0" w:color="A6A6A6"/>
              <w:right w:val="single" w:sz="4" w:space="0" w:color="A6A6A6"/>
            </w:tcBorders>
            <w:shd w:val="clear" w:color="auto" w:fill="1F4E79"/>
            <w:tcMar>
              <w:top w:w="60" w:type="dxa"/>
              <w:left w:w="90" w:type="dxa"/>
              <w:bottom w:w="60" w:type="dxa"/>
              <w:right w:w="90" w:type="dxa"/>
            </w:tcMar>
          </w:tcPr>
          <w:p w14:paraId="32031926" w14:textId="77777777" w:rsidR="009B3738" w:rsidRDefault="00000000">
            <w:r>
              <w:rPr>
                <w:b/>
                <w:bCs/>
                <w:color w:val="FFFFFF"/>
                <w:sz w:val="18"/>
                <w:szCs w:val="18"/>
              </w:rPr>
              <w:t>Evidence from metrics</w:t>
            </w:r>
          </w:p>
        </w:tc>
        <w:tc>
          <w:tcPr>
            <w:tcW w:w="3526" w:type="dxa"/>
            <w:tcBorders>
              <w:top w:val="single" w:sz="4" w:space="0" w:color="A6A6A6"/>
              <w:left w:val="single" w:sz="4" w:space="0" w:color="A6A6A6"/>
              <w:bottom w:val="single" w:sz="4" w:space="0" w:color="A6A6A6"/>
              <w:right w:val="single" w:sz="4" w:space="0" w:color="A6A6A6"/>
            </w:tcBorders>
            <w:shd w:val="clear" w:color="auto" w:fill="1F4E79"/>
            <w:tcMar>
              <w:top w:w="60" w:type="dxa"/>
              <w:left w:w="90" w:type="dxa"/>
              <w:bottom w:w="60" w:type="dxa"/>
              <w:right w:w="90" w:type="dxa"/>
            </w:tcMar>
          </w:tcPr>
          <w:p w14:paraId="3BE88A2A" w14:textId="77777777" w:rsidR="009B3738" w:rsidRDefault="00000000">
            <w:r>
              <w:rPr>
                <w:b/>
                <w:bCs/>
                <w:color w:val="FFFFFF"/>
                <w:sz w:val="18"/>
                <w:szCs w:val="18"/>
              </w:rPr>
              <w:t>Likely root cause</w:t>
            </w:r>
          </w:p>
        </w:tc>
      </w:tr>
      <w:tr w:rsidR="009B3738" w14:paraId="670171D3" w14:textId="77777777">
        <w:tblPrEx>
          <w:tblCellMar>
            <w:top w:w="0" w:type="dxa"/>
            <w:bottom w:w="0" w:type="dxa"/>
          </w:tblCellMar>
        </w:tblPrEx>
        <w:tc>
          <w:tcPr>
            <w:tcW w:w="2000" w:type="dxa"/>
            <w:tcBorders>
              <w:top w:val="single" w:sz="4" w:space="0" w:color="A6A6A6"/>
              <w:left w:val="single" w:sz="4" w:space="0" w:color="A6A6A6"/>
              <w:bottom w:val="single" w:sz="4" w:space="0" w:color="A6A6A6"/>
              <w:right w:val="single" w:sz="4" w:space="0" w:color="A6A6A6"/>
            </w:tcBorders>
            <w:shd w:val="clear" w:color="auto" w:fill="FFFFFF"/>
            <w:tcMar>
              <w:top w:w="60" w:type="dxa"/>
              <w:left w:w="90" w:type="dxa"/>
              <w:bottom w:w="60" w:type="dxa"/>
              <w:right w:w="90" w:type="dxa"/>
            </w:tcMar>
          </w:tcPr>
          <w:p w14:paraId="77AB6839" w14:textId="77777777" w:rsidR="009B3738" w:rsidRDefault="00000000">
            <w:r>
              <w:rPr>
                <w:color w:val="000000"/>
                <w:sz w:val="18"/>
                <w:szCs w:val="18"/>
              </w:rPr>
              <w:t>Demand planning</w:t>
            </w:r>
          </w:p>
        </w:tc>
        <w:tc>
          <w:tcPr>
            <w:tcW w:w="3500" w:type="dxa"/>
            <w:tcBorders>
              <w:top w:val="single" w:sz="4" w:space="0" w:color="A6A6A6"/>
              <w:left w:val="single" w:sz="4" w:space="0" w:color="A6A6A6"/>
              <w:bottom w:val="single" w:sz="4" w:space="0" w:color="A6A6A6"/>
              <w:right w:val="single" w:sz="4" w:space="0" w:color="A6A6A6"/>
            </w:tcBorders>
            <w:shd w:val="clear" w:color="auto" w:fill="FFFFFF"/>
            <w:tcMar>
              <w:top w:w="60" w:type="dxa"/>
              <w:left w:w="90" w:type="dxa"/>
              <w:bottom w:w="60" w:type="dxa"/>
              <w:right w:w="90" w:type="dxa"/>
            </w:tcMar>
          </w:tcPr>
          <w:p w14:paraId="05CA49FF" w14:textId="77777777" w:rsidR="009B3738" w:rsidRDefault="00000000">
            <w:r>
              <w:rPr>
                <w:color w:val="000000"/>
                <w:sz w:val="18"/>
                <w:szCs w:val="18"/>
              </w:rPr>
              <w:t>Forecast accuracy 68%; high stock yet low OTIF</w:t>
            </w:r>
          </w:p>
        </w:tc>
        <w:tc>
          <w:tcPr>
            <w:tcW w:w="3526" w:type="dxa"/>
            <w:tcBorders>
              <w:top w:val="single" w:sz="4" w:space="0" w:color="A6A6A6"/>
              <w:left w:val="single" w:sz="4" w:space="0" w:color="A6A6A6"/>
              <w:bottom w:val="single" w:sz="4" w:space="0" w:color="A6A6A6"/>
              <w:right w:val="single" w:sz="4" w:space="0" w:color="A6A6A6"/>
            </w:tcBorders>
            <w:shd w:val="clear" w:color="auto" w:fill="FFFFFF"/>
            <w:tcMar>
              <w:top w:w="60" w:type="dxa"/>
              <w:left w:w="90" w:type="dxa"/>
              <w:bottom w:w="60" w:type="dxa"/>
              <w:right w:w="90" w:type="dxa"/>
            </w:tcMar>
          </w:tcPr>
          <w:p w14:paraId="3C8575B5" w14:textId="77777777" w:rsidR="009B3738" w:rsidRDefault="00000000">
            <w:r>
              <w:rPr>
                <w:color w:val="000000"/>
                <w:sz w:val="18"/>
                <w:szCs w:val="18"/>
              </w:rPr>
              <w:t>Spreadsheet monthly forecast; no promotion or channel signals; no S&amp;OP forum</w:t>
            </w:r>
          </w:p>
        </w:tc>
      </w:tr>
      <w:tr w:rsidR="009B3738" w14:paraId="285A1E9F" w14:textId="77777777">
        <w:tblPrEx>
          <w:tblCellMar>
            <w:top w:w="0" w:type="dxa"/>
            <w:bottom w:w="0" w:type="dxa"/>
          </w:tblCellMar>
        </w:tblPrEx>
        <w:tc>
          <w:tcPr>
            <w:tcW w:w="2000" w:type="dxa"/>
            <w:tcBorders>
              <w:top w:val="single" w:sz="4" w:space="0" w:color="A6A6A6"/>
              <w:left w:val="single" w:sz="4" w:space="0" w:color="A6A6A6"/>
              <w:bottom w:val="single" w:sz="4" w:space="0" w:color="A6A6A6"/>
              <w:right w:val="single" w:sz="4" w:space="0" w:color="A6A6A6"/>
            </w:tcBorders>
            <w:shd w:val="clear" w:color="auto" w:fill="F2F7FB"/>
            <w:tcMar>
              <w:top w:w="60" w:type="dxa"/>
              <w:left w:w="90" w:type="dxa"/>
              <w:bottom w:w="60" w:type="dxa"/>
              <w:right w:w="90" w:type="dxa"/>
            </w:tcMar>
          </w:tcPr>
          <w:p w14:paraId="3D789A06" w14:textId="77777777" w:rsidR="009B3738" w:rsidRDefault="00000000">
            <w:r>
              <w:rPr>
                <w:color w:val="000000"/>
                <w:sz w:val="18"/>
                <w:szCs w:val="18"/>
              </w:rPr>
              <w:t>Supplier reliability</w:t>
            </w:r>
          </w:p>
        </w:tc>
        <w:tc>
          <w:tcPr>
            <w:tcW w:w="3500" w:type="dxa"/>
            <w:tcBorders>
              <w:top w:val="single" w:sz="4" w:space="0" w:color="A6A6A6"/>
              <w:left w:val="single" w:sz="4" w:space="0" w:color="A6A6A6"/>
              <w:bottom w:val="single" w:sz="4" w:space="0" w:color="A6A6A6"/>
              <w:right w:val="single" w:sz="4" w:space="0" w:color="A6A6A6"/>
            </w:tcBorders>
            <w:shd w:val="clear" w:color="auto" w:fill="F2F7FB"/>
            <w:tcMar>
              <w:top w:w="60" w:type="dxa"/>
              <w:left w:w="90" w:type="dxa"/>
              <w:bottom w:w="60" w:type="dxa"/>
              <w:right w:w="90" w:type="dxa"/>
            </w:tcMar>
          </w:tcPr>
          <w:p w14:paraId="56B9A102" w14:textId="77777777" w:rsidR="009B3738" w:rsidRDefault="00000000">
            <w:r>
              <w:rPr>
                <w:color w:val="000000"/>
                <w:sz w:val="18"/>
                <w:szCs w:val="18"/>
              </w:rPr>
              <w:t>Supplier on-time 82%; premium freight to recover</w:t>
            </w:r>
          </w:p>
        </w:tc>
        <w:tc>
          <w:tcPr>
            <w:tcW w:w="3526" w:type="dxa"/>
            <w:tcBorders>
              <w:top w:val="single" w:sz="4" w:space="0" w:color="A6A6A6"/>
              <w:left w:val="single" w:sz="4" w:space="0" w:color="A6A6A6"/>
              <w:bottom w:val="single" w:sz="4" w:space="0" w:color="A6A6A6"/>
              <w:right w:val="single" w:sz="4" w:space="0" w:color="A6A6A6"/>
            </w:tcBorders>
            <w:shd w:val="clear" w:color="auto" w:fill="F2F7FB"/>
            <w:tcMar>
              <w:top w:w="60" w:type="dxa"/>
              <w:left w:w="90" w:type="dxa"/>
              <w:bottom w:w="60" w:type="dxa"/>
              <w:right w:w="90" w:type="dxa"/>
            </w:tcMar>
          </w:tcPr>
          <w:p w14:paraId="2A62B8D9" w14:textId="77777777" w:rsidR="009B3738" w:rsidRDefault="00000000">
            <w:r>
              <w:rPr>
                <w:color w:val="000000"/>
                <w:sz w:val="18"/>
                <w:szCs w:val="18"/>
              </w:rPr>
              <w:t>No supplier scorecards; single-sourcing on key items; long, variable lead times</w:t>
            </w:r>
          </w:p>
        </w:tc>
      </w:tr>
      <w:tr w:rsidR="009B3738" w14:paraId="59CC17BF" w14:textId="77777777">
        <w:tblPrEx>
          <w:tblCellMar>
            <w:top w:w="0" w:type="dxa"/>
            <w:bottom w:w="0" w:type="dxa"/>
          </w:tblCellMar>
        </w:tblPrEx>
        <w:tc>
          <w:tcPr>
            <w:tcW w:w="2000" w:type="dxa"/>
            <w:tcBorders>
              <w:top w:val="single" w:sz="4" w:space="0" w:color="A6A6A6"/>
              <w:left w:val="single" w:sz="4" w:space="0" w:color="A6A6A6"/>
              <w:bottom w:val="single" w:sz="4" w:space="0" w:color="A6A6A6"/>
              <w:right w:val="single" w:sz="4" w:space="0" w:color="A6A6A6"/>
            </w:tcBorders>
            <w:shd w:val="clear" w:color="auto" w:fill="FFFFFF"/>
            <w:tcMar>
              <w:top w:w="60" w:type="dxa"/>
              <w:left w:w="90" w:type="dxa"/>
              <w:bottom w:w="60" w:type="dxa"/>
              <w:right w:w="90" w:type="dxa"/>
            </w:tcMar>
          </w:tcPr>
          <w:p w14:paraId="24557FAC" w14:textId="77777777" w:rsidR="009B3738" w:rsidRDefault="00000000">
            <w:r>
              <w:rPr>
                <w:color w:val="000000"/>
                <w:sz w:val="18"/>
                <w:szCs w:val="18"/>
              </w:rPr>
              <w:t>Inventory allocation</w:t>
            </w:r>
          </w:p>
        </w:tc>
        <w:tc>
          <w:tcPr>
            <w:tcW w:w="3500" w:type="dxa"/>
            <w:tcBorders>
              <w:top w:val="single" w:sz="4" w:space="0" w:color="A6A6A6"/>
              <w:left w:val="single" w:sz="4" w:space="0" w:color="A6A6A6"/>
              <w:bottom w:val="single" w:sz="4" w:space="0" w:color="A6A6A6"/>
              <w:right w:val="single" w:sz="4" w:space="0" w:color="A6A6A6"/>
            </w:tcBorders>
            <w:shd w:val="clear" w:color="auto" w:fill="FFFFFF"/>
            <w:tcMar>
              <w:top w:w="60" w:type="dxa"/>
              <w:left w:w="90" w:type="dxa"/>
              <w:bottom w:w="60" w:type="dxa"/>
              <w:right w:w="90" w:type="dxa"/>
            </w:tcMar>
          </w:tcPr>
          <w:p w14:paraId="7F0FAF04" w14:textId="77777777" w:rsidR="009B3738" w:rsidRDefault="00000000">
            <w:r>
              <w:rPr>
                <w:color w:val="000000"/>
                <w:sz w:val="18"/>
                <w:szCs w:val="18"/>
              </w:rPr>
              <w:t>70 days cover but fill rate 93%</w:t>
            </w:r>
          </w:p>
        </w:tc>
        <w:tc>
          <w:tcPr>
            <w:tcW w:w="3526" w:type="dxa"/>
            <w:tcBorders>
              <w:top w:val="single" w:sz="4" w:space="0" w:color="A6A6A6"/>
              <w:left w:val="single" w:sz="4" w:space="0" w:color="A6A6A6"/>
              <w:bottom w:val="single" w:sz="4" w:space="0" w:color="A6A6A6"/>
              <w:right w:val="single" w:sz="4" w:space="0" w:color="A6A6A6"/>
            </w:tcBorders>
            <w:shd w:val="clear" w:color="auto" w:fill="FFFFFF"/>
            <w:tcMar>
              <w:top w:w="60" w:type="dxa"/>
              <w:left w:w="90" w:type="dxa"/>
              <w:bottom w:w="60" w:type="dxa"/>
              <w:right w:w="90" w:type="dxa"/>
            </w:tcMar>
          </w:tcPr>
          <w:p w14:paraId="17BA1BE0" w14:textId="77777777" w:rsidR="009B3738" w:rsidRDefault="00000000">
            <w:r>
              <w:rPr>
                <w:color w:val="000000"/>
                <w:sz w:val="18"/>
                <w:szCs w:val="18"/>
              </w:rPr>
              <w:t>Same safety stock policy for all SKUs; no ABC-XYZ segmentation</w:t>
            </w:r>
          </w:p>
        </w:tc>
      </w:tr>
      <w:tr w:rsidR="009B3738" w14:paraId="3CD8F8DD" w14:textId="77777777">
        <w:tblPrEx>
          <w:tblCellMar>
            <w:top w:w="0" w:type="dxa"/>
            <w:bottom w:w="0" w:type="dxa"/>
          </w:tblCellMar>
        </w:tblPrEx>
        <w:tc>
          <w:tcPr>
            <w:tcW w:w="2000" w:type="dxa"/>
            <w:tcBorders>
              <w:top w:val="single" w:sz="4" w:space="0" w:color="A6A6A6"/>
              <w:left w:val="single" w:sz="4" w:space="0" w:color="A6A6A6"/>
              <w:bottom w:val="single" w:sz="4" w:space="0" w:color="A6A6A6"/>
              <w:right w:val="single" w:sz="4" w:space="0" w:color="A6A6A6"/>
            </w:tcBorders>
            <w:shd w:val="clear" w:color="auto" w:fill="F2F7FB"/>
            <w:tcMar>
              <w:top w:w="60" w:type="dxa"/>
              <w:left w:w="90" w:type="dxa"/>
              <w:bottom w:w="60" w:type="dxa"/>
              <w:right w:w="90" w:type="dxa"/>
            </w:tcMar>
          </w:tcPr>
          <w:p w14:paraId="05B7DD25" w14:textId="77777777" w:rsidR="009B3738" w:rsidRDefault="00000000">
            <w:r>
              <w:rPr>
                <w:color w:val="000000"/>
                <w:sz w:val="18"/>
                <w:szCs w:val="18"/>
              </w:rPr>
              <w:t>Transportation</w:t>
            </w:r>
          </w:p>
        </w:tc>
        <w:tc>
          <w:tcPr>
            <w:tcW w:w="3500" w:type="dxa"/>
            <w:tcBorders>
              <w:top w:val="single" w:sz="4" w:space="0" w:color="A6A6A6"/>
              <w:left w:val="single" w:sz="4" w:space="0" w:color="A6A6A6"/>
              <w:bottom w:val="single" w:sz="4" w:space="0" w:color="A6A6A6"/>
              <w:right w:val="single" w:sz="4" w:space="0" w:color="A6A6A6"/>
            </w:tcBorders>
            <w:shd w:val="clear" w:color="auto" w:fill="F2F7FB"/>
            <w:tcMar>
              <w:top w:w="60" w:type="dxa"/>
              <w:left w:w="90" w:type="dxa"/>
              <w:bottom w:w="60" w:type="dxa"/>
              <w:right w:w="90" w:type="dxa"/>
            </w:tcMar>
          </w:tcPr>
          <w:p w14:paraId="79AB9759" w14:textId="77777777" w:rsidR="009B3738" w:rsidRDefault="00000000">
            <w:r>
              <w:rPr>
                <w:color w:val="000000"/>
                <w:sz w:val="18"/>
                <w:szCs w:val="18"/>
              </w:rPr>
              <w:t>Logistics cost 11.5%; cycle time 6.8 days</w:t>
            </w:r>
          </w:p>
        </w:tc>
        <w:tc>
          <w:tcPr>
            <w:tcW w:w="3526" w:type="dxa"/>
            <w:tcBorders>
              <w:top w:val="single" w:sz="4" w:space="0" w:color="A6A6A6"/>
              <w:left w:val="single" w:sz="4" w:space="0" w:color="A6A6A6"/>
              <w:bottom w:val="single" w:sz="4" w:space="0" w:color="A6A6A6"/>
              <w:right w:val="single" w:sz="4" w:space="0" w:color="A6A6A6"/>
            </w:tcBorders>
            <w:shd w:val="clear" w:color="auto" w:fill="F2F7FB"/>
            <w:tcMar>
              <w:top w:w="60" w:type="dxa"/>
              <w:left w:w="90" w:type="dxa"/>
              <w:bottom w:w="60" w:type="dxa"/>
              <w:right w:w="90" w:type="dxa"/>
            </w:tcMar>
          </w:tcPr>
          <w:p w14:paraId="46DA3967" w14:textId="77777777" w:rsidR="009B3738" w:rsidRDefault="00000000">
            <w:r>
              <w:rPr>
                <w:color w:val="000000"/>
                <w:sz w:val="18"/>
                <w:szCs w:val="18"/>
              </w:rPr>
              <w:t>No route optimisation or load consolidation; fragmented carriers</w:t>
            </w:r>
          </w:p>
        </w:tc>
      </w:tr>
      <w:tr w:rsidR="009B3738" w14:paraId="57CEBDE2" w14:textId="77777777">
        <w:tblPrEx>
          <w:tblCellMar>
            <w:top w:w="0" w:type="dxa"/>
            <w:bottom w:w="0" w:type="dxa"/>
          </w:tblCellMar>
        </w:tblPrEx>
        <w:tc>
          <w:tcPr>
            <w:tcW w:w="2000" w:type="dxa"/>
            <w:tcBorders>
              <w:top w:val="single" w:sz="4" w:space="0" w:color="A6A6A6"/>
              <w:left w:val="single" w:sz="4" w:space="0" w:color="A6A6A6"/>
              <w:bottom w:val="single" w:sz="4" w:space="0" w:color="A6A6A6"/>
              <w:right w:val="single" w:sz="4" w:space="0" w:color="A6A6A6"/>
            </w:tcBorders>
            <w:shd w:val="clear" w:color="auto" w:fill="FFFFFF"/>
            <w:tcMar>
              <w:top w:w="60" w:type="dxa"/>
              <w:left w:w="90" w:type="dxa"/>
              <w:bottom w:w="60" w:type="dxa"/>
              <w:right w:w="90" w:type="dxa"/>
            </w:tcMar>
          </w:tcPr>
          <w:p w14:paraId="6AD004F5" w14:textId="77777777" w:rsidR="009B3738" w:rsidRDefault="00000000">
            <w:r>
              <w:rPr>
                <w:color w:val="000000"/>
                <w:sz w:val="18"/>
                <w:szCs w:val="18"/>
              </w:rPr>
              <w:t>Visibility and systems</w:t>
            </w:r>
          </w:p>
        </w:tc>
        <w:tc>
          <w:tcPr>
            <w:tcW w:w="3500" w:type="dxa"/>
            <w:tcBorders>
              <w:top w:val="single" w:sz="4" w:space="0" w:color="A6A6A6"/>
              <w:left w:val="single" w:sz="4" w:space="0" w:color="A6A6A6"/>
              <w:bottom w:val="single" w:sz="4" w:space="0" w:color="A6A6A6"/>
              <w:right w:val="single" w:sz="4" w:space="0" w:color="A6A6A6"/>
            </w:tcBorders>
            <w:shd w:val="clear" w:color="auto" w:fill="FFFFFF"/>
            <w:tcMar>
              <w:top w:w="60" w:type="dxa"/>
              <w:left w:w="90" w:type="dxa"/>
              <w:bottom w:w="60" w:type="dxa"/>
              <w:right w:w="90" w:type="dxa"/>
            </w:tcMar>
          </w:tcPr>
          <w:p w14:paraId="495B2091" w14:textId="77777777" w:rsidR="009B3738" w:rsidRDefault="00000000">
            <w:r>
              <w:rPr>
                <w:color w:val="000000"/>
                <w:sz w:val="18"/>
                <w:szCs w:val="18"/>
              </w:rPr>
              <w:t>Late detection of misses; manual reporting</w:t>
            </w:r>
          </w:p>
        </w:tc>
        <w:tc>
          <w:tcPr>
            <w:tcW w:w="3526" w:type="dxa"/>
            <w:tcBorders>
              <w:top w:val="single" w:sz="4" w:space="0" w:color="A6A6A6"/>
              <w:left w:val="single" w:sz="4" w:space="0" w:color="A6A6A6"/>
              <w:bottom w:val="single" w:sz="4" w:space="0" w:color="A6A6A6"/>
              <w:right w:val="single" w:sz="4" w:space="0" w:color="A6A6A6"/>
            </w:tcBorders>
            <w:shd w:val="clear" w:color="auto" w:fill="FFFFFF"/>
            <w:tcMar>
              <w:top w:w="60" w:type="dxa"/>
              <w:left w:w="90" w:type="dxa"/>
              <w:bottom w:w="60" w:type="dxa"/>
              <w:right w:w="90" w:type="dxa"/>
            </w:tcMar>
          </w:tcPr>
          <w:p w14:paraId="47FD345D" w14:textId="77777777" w:rsidR="009B3738" w:rsidRDefault="00000000">
            <w:r>
              <w:rPr>
                <w:color w:val="000000"/>
                <w:sz w:val="18"/>
                <w:szCs w:val="18"/>
              </w:rPr>
              <w:t>No control tower, no exception alerts, limited data integration</w:t>
            </w:r>
          </w:p>
        </w:tc>
      </w:tr>
      <w:tr w:rsidR="009B3738" w14:paraId="1A41FD66" w14:textId="77777777">
        <w:tblPrEx>
          <w:tblCellMar>
            <w:top w:w="0" w:type="dxa"/>
            <w:bottom w:w="0" w:type="dxa"/>
          </w:tblCellMar>
        </w:tblPrEx>
        <w:tc>
          <w:tcPr>
            <w:tcW w:w="2000" w:type="dxa"/>
            <w:tcBorders>
              <w:top w:val="single" w:sz="4" w:space="0" w:color="A6A6A6"/>
              <w:left w:val="single" w:sz="4" w:space="0" w:color="A6A6A6"/>
              <w:bottom w:val="single" w:sz="4" w:space="0" w:color="A6A6A6"/>
              <w:right w:val="single" w:sz="4" w:space="0" w:color="A6A6A6"/>
            </w:tcBorders>
            <w:shd w:val="clear" w:color="auto" w:fill="F2F7FB"/>
            <w:tcMar>
              <w:top w:w="60" w:type="dxa"/>
              <w:left w:w="90" w:type="dxa"/>
              <w:bottom w:w="60" w:type="dxa"/>
              <w:right w:w="90" w:type="dxa"/>
            </w:tcMar>
          </w:tcPr>
          <w:p w14:paraId="315768BC" w14:textId="77777777" w:rsidR="009B3738" w:rsidRDefault="00000000">
            <w:r>
              <w:rPr>
                <w:color w:val="000000"/>
                <w:sz w:val="18"/>
                <w:szCs w:val="18"/>
              </w:rPr>
              <w:t>Returns</w:t>
            </w:r>
          </w:p>
        </w:tc>
        <w:tc>
          <w:tcPr>
            <w:tcW w:w="3500" w:type="dxa"/>
            <w:tcBorders>
              <w:top w:val="single" w:sz="4" w:space="0" w:color="A6A6A6"/>
              <w:left w:val="single" w:sz="4" w:space="0" w:color="A6A6A6"/>
              <w:bottom w:val="single" w:sz="4" w:space="0" w:color="A6A6A6"/>
              <w:right w:val="single" w:sz="4" w:space="0" w:color="A6A6A6"/>
            </w:tcBorders>
            <w:shd w:val="clear" w:color="auto" w:fill="F2F7FB"/>
            <w:tcMar>
              <w:top w:w="60" w:type="dxa"/>
              <w:left w:w="90" w:type="dxa"/>
              <w:bottom w:w="60" w:type="dxa"/>
              <w:right w:w="90" w:type="dxa"/>
            </w:tcMar>
          </w:tcPr>
          <w:p w14:paraId="0159C1C7" w14:textId="77777777" w:rsidR="009B3738" w:rsidRDefault="00000000">
            <w:r>
              <w:rPr>
                <w:color w:val="000000"/>
                <w:sz w:val="18"/>
                <w:szCs w:val="18"/>
              </w:rPr>
              <w:t>Return rate 4.1%</w:t>
            </w:r>
          </w:p>
        </w:tc>
        <w:tc>
          <w:tcPr>
            <w:tcW w:w="3526" w:type="dxa"/>
            <w:tcBorders>
              <w:top w:val="single" w:sz="4" w:space="0" w:color="A6A6A6"/>
              <w:left w:val="single" w:sz="4" w:space="0" w:color="A6A6A6"/>
              <w:bottom w:val="single" w:sz="4" w:space="0" w:color="A6A6A6"/>
              <w:right w:val="single" w:sz="4" w:space="0" w:color="A6A6A6"/>
            </w:tcBorders>
            <w:shd w:val="clear" w:color="auto" w:fill="F2F7FB"/>
            <w:tcMar>
              <w:top w:w="60" w:type="dxa"/>
              <w:left w:w="90" w:type="dxa"/>
              <w:bottom w:w="60" w:type="dxa"/>
              <w:right w:w="90" w:type="dxa"/>
            </w:tcMar>
          </w:tcPr>
          <w:p w14:paraId="6B6B9BB9" w14:textId="77777777" w:rsidR="009B3738" w:rsidRDefault="00000000">
            <w:r>
              <w:rPr>
                <w:color w:val="000000"/>
                <w:sz w:val="18"/>
                <w:szCs w:val="18"/>
              </w:rPr>
              <w:t>Order errors, delays and weak root-cause tracking of returns</w:t>
            </w:r>
          </w:p>
        </w:tc>
      </w:tr>
    </w:tbl>
    <w:p w14:paraId="70A2F45D" w14:textId="77777777" w:rsidR="009B3738" w:rsidRDefault="00000000">
      <w:pPr>
        <w:spacing w:before="60" w:after="200"/>
        <w:jc w:val="center"/>
      </w:pPr>
      <w:r>
        <w:rPr>
          <w:i/>
          <w:iCs/>
          <w:color w:val="595959"/>
          <w:sz w:val="19"/>
          <w:szCs w:val="19"/>
        </w:rPr>
        <w:t>Table 4: Bottleneck diagnosis linking metrics to causes</w:t>
      </w:r>
    </w:p>
    <w:p w14:paraId="36858A79" w14:textId="77777777" w:rsidR="009B3738" w:rsidRDefault="00000000">
      <w:pPr>
        <w:pStyle w:val="Heading2"/>
      </w:pPr>
      <w:r>
        <w:t>5.3 Root-Cause Chain (5-Whys Example)</w:t>
      </w:r>
    </w:p>
    <w:p w14:paraId="3C1E1302" w14:textId="77777777" w:rsidR="009B3738" w:rsidRDefault="00000000">
      <w:pPr>
        <w:spacing w:after="120" w:line="300" w:lineRule="auto"/>
        <w:jc w:val="both"/>
      </w:pPr>
      <w:r>
        <w:t>Problem: OTIF is only 84%.</w:t>
      </w:r>
    </w:p>
    <w:p w14:paraId="68CBFF67" w14:textId="77777777" w:rsidR="009B3738" w:rsidRDefault="00000000">
      <w:pPr>
        <w:pStyle w:val="ListParagraph"/>
        <w:numPr>
          <w:ilvl w:val="0"/>
          <w:numId w:val="2"/>
        </w:numPr>
        <w:spacing w:after="80" w:line="290" w:lineRule="auto"/>
      </w:pPr>
      <w:r>
        <w:t>Why? Orders are short-shipped or late because stock is not available at the right warehouse at the right time.</w:t>
      </w:r>
    </w:p>
    <w:p w14:paraId="7511FDCA" w14:textId="77777777" w:rsidR="009B3738" w:rsidRDefault="00000000">
      <w:pPr>
        <w:pStyle w:val="ListParagraph"/>
        <w:numPr>
          <w:ilvl w:val="0"/>
          <w:numId w:val="2"/>
        </w:numPr>
        <w:spacing w:after="80" w:line="290" w:lineRule="auto"/>
      </w:pPr>
      <w:r>
        <w:t>Why? Replenishment is triggered late and the wrong quantities are ordered for fast-moving SKUs.</w:t>
      </w:r>
    </w:p>
    <w:p w14:paraId="4E421363" w14:textId="77777777" w:rsidR="009B3738" w:rsidRDefault="00000000">
      <w:pPr>
        <w:pStyle w:val="ListParagraph"/>
        <w:numPr>
          <w:ilvl w:val="0"/>
          <w:numId w:val="2"/>
        </w:numPr>
        <w:spacing w:after="80" w:line="290" w:lineRule="auto"/>
      </w:pPr>
      <w:r>
        <w:t>Why? The forecast for those SKUs is inaccurate (68% overall accuracy) and safety stock is set uniformly.</w:t>
      </w:r>
    </w:p>
    <w:p w14:paraId="57EE911C" w14:textId="77777777" w:rsidR="009B3738" w:rsidRDefault="00000000">
      <w:pPr>
        <w:pStyle w:val="ListParagraph"/>
        <w:numPr>
          <w:ilvl w:val="0"/>
          <w:numId w:val="2"/>
        </w:numPr>
        <w:spacing w:after="80" w:line="290" w:lineRule="auto"/>
      </w:pPr>
      <w:r>
        <w:t>Why? Planning is done monthly in spreadsheets without demand signals from channels or promotions.</w:t>
      </w:r>
    </w:p>
    <w:p w14:paraId="7641B855" w14:textId="77777777" w:rsidR="009B3738" w:rsidRDefault="00000000">
      <w:pPr>
        <w:pStyle w:val="ListParagraph"/>
        <w:numPr>
          <w:ilvl w:val="0"/>
          <w:numId w:val="2"/>
        </w:numPr>
        <w:spacing w:after="80" w:line="290" w:lineRule="auto"/>
      </w:pPr>
      <w:r>
        <w:t>Root cause: absence of an integrated planning process (S&amp;OP) and demand-sensing tools.</w:t>
      </w:r>
    </w:p>
    <w:p w14:paraId="52499AED" w14:textId="77777777" w:rsidR="009B3738" w:rsidRDefault="00000000">
      <w:pPr>
        <w:pStyle w:val="Heading2"/>
      </w:pPr>
      <w:r>
        <w:t>5.4 Interdependencies</w:t>
      </w:r>
    </w:p>
    <w:p w14:paraId="6CC94E49" w14:textId="77777777" w:rsidR="009B3738" w:rsidRDefault="00000000">
      <w:pPr>
        <w:spacing w:after="120" w:line="300" w:lineRule="auto"/>
        <w:jc w:val="both"/>
      </w:pPr>
      <w:r>
        <w:t xml:space="preserve">The metrics are not independent. Poor forecasting increases both stock-outs and excess stock; low supplier reliability forces buffer inventory and premium freight; slow cycle time inflates the bullwhip effect, and all of these push logistics cost and working capital higher. This is why the recommendations </w:t>
      </w:r>
      <w:r>
        <w:lastRenderedPageBreak/>
        <w:t>in the next section are designed as a connected programme, with planning and supplier reliability treated as the foundation for later cost and speed gains.</w:t>
      </w:r>
    </w:p>
    <w:p w14:paraId="01CD3EB5" w14:textId="77777777" w:rsidR="009B3738" w:rsidRDefault="00000000">
      <w:pPr>
        <w:pStyle w:val="Heading1"/>
      </w:pPr>
      <w:r>
        <w:t>6. Strategic Recommendations</w:t>
      </w:r>
    </w:p>
    <w:p w14:paraId="39EB66B8" w14:textId="77777777" w:rsidR="009B3738" w:rsidRDefault="00000000">
      <w:pPr>
        <w:spacing w:after="120" w:line="300" w:lineRule="auto"/>
        <w:jc w:val="both"/>
      </w:pPr>
      <w:r>
        <w:t>Seven recommendations are proposed. Each is linked to evidence from the analysis, has a measurable target, and is scored for impact and effort (H = High, M = Medium, L = Low).</w:t>
      </w:r>
    </w:p>
    <w:p w14:paraId="16D066D5" w14:textId="77777777" w:rsidR="009B3738" w:rsidRDefault="00000000">
      <w:pPr>
        <w:pStyle w:val="Heading2"/>
      </w:pPr>
      <w:r>
        <w:t>R1. Introduce Statistical Forecasting and a Monthly S&amp;OP Process</w:t>
      </w:r>
    </w:p>
    <w:p w14:paraId="5405B685" w14:textId="77777777" w:rsidR="009B3738" w:rsidRDefault="00000000">
      <w:pPr>
        <w:spacing w:after="120" w:line="300" w:lineRule="auto"/>
        <w:jc w:val="both"/>
      </w:pPr>
      <w:r>
        <w:rPr>
          <w:b/>
          <w:bCs/>
        </w:rPr>
        <w:t xml:space="preserve">What to do: </w:t>
      </w:r>
      <w:r>
        <w:t>Replace spreadsheet forecasting with a statistical model (for example, exponential smoothing with seasonality, with machine-learning enhancements for promoted items) at SKU-location level, and create a monthly Sales and Operations Planning meeting with sales, procurement, finance and logistics.</w:t>
      </w:r>
    </w:p>
    <w:p w14:paraId="7A37EE8B" w14:textId="77777777" w:rsidR="009B3738" w:rsidRDefault="00000000">
      <w:pPr>
        <w:spacing w:after="120" w:line="300" w:lineRule="auto"/>
        <w:jc w:val="both"/>
      </w:pPr>
      <w:r>
        <w:rPr>
          <w:b/>
          <w:bCs/>
        </w:rPr>
        <w:t xml:space="preserve">Justification from analysis: </w:t>
      </w:r>
      <w:r>
        <w:t>Forecast accuracy is 68% against an 80% benchmark and is the upstream cause of stock imbalance (Section 4.3, Table 4).</w:t>
      </w:r>
    </w:p>
    <w:p w14:paraId="4EC74FB8" w14:textId="77777777" w:rsidR="009B3738" w:rsidRDefault="00000000">
      <w:pPr>
        <w:spacing w:after="120" w:line="300" w:lineRule="auto"/>
        <w:jc w:val="both"/>
      </w:pPr>
      <w:r>
        <w:rPr>
          <w:b/>
          <w:bCs/>
        </w:rPr>
        <w:t xml:space="preserve">Expected result: </w:t>
      </w:r>
      <w:r>
        <w:t>Forecast accuracy to 76% in 12 months; OTIF improves by 3 to 4 points. (Impact H, Effort M)</w:t>
      </w:r>
    </w:p>
    <w:p w14:paraId="4F4A1E2F" w14:textId="77777777" w:rsidR="009B3738" w:rsidRDefault="00000000">
      <w:pPr>
        <w:pStyle w:val="Heading2"/>
      </w:pPr>
      <w:r>
        <w:t>R2. Supplier Scorecards, Collaborative Planning and Dual Sourcing</w:t>
      </w:r>
    </w:p>
    <w:p w14:paraId="6974D0D5" w14:textId="77777777" w:rsidR="009B3738" w:rsidRDefault="00000000">
      <w:pPr>
        <w:spacing w:after="120" w:line="300" w:lineRule="auto"/>
        <w:jc w:val="both"/>
      </w:pPr>
      <w:r>
        <w:rPr>
          <w:b/>
          <w:bCs/>
        </w:rPr>
        <w:t xml:space="preserve">What to do: </w:t>
      </w:r>
      <w:r>
        <w:t>Rate suppliers monthly on on-time delivery, fill and quality; share rolling forecasts with the top 10 suppliers; agree service-level penalties and incentives; qualify a second source for the 15 most critical SKUs.</w:t>
      </w:r>
    </w:p>
    <w:p w14:paraId="417C5A77" w14:textId="77777777" w:rsidR="009B3738" w:rsidRDefault="00000000">
      <w:pPr>
        <w:spacing w:after="120" w:line="300" w:lineRule="auto"/>
        <w:jc w:val="both"/>
      </w:pPr>
      <w:r>
        <w:rPr>
          <w:b/>
          <w:bCs/>
        </w:rPr>
        <w:t xml:space="preserve">Justification from analysis: </w:t>
      </w:r>
      <w:r>
        <w:t>Supplier on-time delivery is 82% against 93%, and premium freight is used to recover misses (Table 3, Table 4).</w:t>
      </w:r>
    </w:p>
    <w:p w14:paraId="5AA74DF6" w14:textId="77777777" w:rsidR="009B3738" w:rsidRDefault="00000000">
      <w:pPr>
        <w:spacing w:after="120" w:line="300" w:lineRule="auto"/>
        <w:jc w:val="both"/>
      </w:pPr>
      <w:r>
        <w:rPr>
          <w:b/>
          <w:bCs/>
        </w:rPr>
        <w:t xml:space="preserve">Expected result: </w:t>
      </w:r>
      <w:r>
        <w:t>Supplier on-time to 90%; premium freight cost reduced by about 30%. (Impact H, Effort M)</w:t>
      </w:r>
    </w:p>
    <w:p w14:paraId="5F66C230" w14:textId="77777777" w:rsidR="009B3738" w:rsidRDefault="00000000">
      <w:pPr>
        <w:pStyle w:val="Heading2"/>
      </w:pPr>
      <w:r>
        <w:t>R3. ABC-XYZ Inventory Segmentation with Differentiated Safety Stock</w:t>
      </w:r>
    </w:p>
    <w:p w14:paraId="043493E4" w14:textId="77777777" w:rsidR="009B3738" w:rsidRDefault="00000000">
      <w:pPr>
        <w:spacing w:after="120" w:line="300" w:lineRule="auto"/>
        <w:jc w:val="both"/>
      </w:pPr>
      <w:r>
        <w:rPr>
          <w:b/>
          <w:bCs/>
        </w:rPr>
        <w:t xml:space="preserve">What to do: </w:t>
      </w:r>
      <w:r>
        <w:t>Classify SKUs by value (ABC) and demand variability (XYZ). Set service targets and safety stock by segment: higher service for AX items, reduced stock or make-to-order for CZ items. Rebalance stock between warehouses weekly.</w:t>
      </w:r>
    </w:p>
    <w:p w14:paraId="701A4D3E" w14:textId="77777777" w:rsidR="009B3738" w:rsidRDefault="00000000">
      <w:pPr>
        <w:spacing w:after="120" w:line="300" w:lineRule="auto"/>
        <w:jc w:val="both"/>
      </w:pPr>
      <w:r>
        <w:rPr>
          <w:b/>
          <w:bCs/>
        </w:rPr>
        <w:t xml:space="preserve">Justification from analysis: </w:t>
      </w:r>
      <w:r>
        <w:t>70 days of inventory coexists with a 93% fill rate, showing misallocation rather than shortage (Section 4.4).</w:t>
      </w:r>
    </w:p>
    <w:p w14:paraId="3C12454D" w14:textId="77777777" w:rsidR="009B3738" w:rsidRDefault="00000000">
      <w:pPr>
        <w:spacing w:after="120" w:line="300" w:lineRule="auto"/>
        <w:jc w:val="both"/>
      </w:pPr>
      <w:r>
        <w:rPr>
          <w:b/>
          <w:bCs/>
        </w:rPr>
        <w:t xml:space="preserve">Expected result: </w:t>
      </w:r>
      <w:r>
        <w:t>Inventory turnover from 5.2x to 7.0x; about INR 33 crore of working capital released; fill rate to 96%. (Impact H, Effort L to M)</w:t>
      </w:r>
    </w:p>
    <w:p w14:paraId="23F96587" w14:textId="77777777" w:rsidR="009B3738" w:rsidRDefault="00000000">
      <w:pPr>
        <w:pStyle w:val="Heading2"/>
      </w:pPr>
      <w:r>
        <w:t>R4. Transport Optimisation and Load Consolidation</w:t>
      </w:r>
    </w:p>
    <w:p w14:paraId="31B8BB9E" w14:textId="77777777" w:rsidR="009B3738" w:rsidRDefault="00000000">
      <w:pPr>
        <w:spacing w:after="120" w:line="300" w:lineRule="auto"/>
        <w:jc w:val="both"/>
      </w:pPr>
      <w:r>
        <w:rPr>
          <w:b/>
          <w:bCs/>
        </w:rPr>
        <w:t xml:space="preserve">What to do: </w:t>
      </w:r>
      <w:r>
        <w:t>Implement a lightweight transport management system for route planning and carrier tendering, consolidate multi-drop routes via the cross-dock, move to fixed delivery days per outlet cluster, and shift a share of volume to long-term contracted carriers.</w:t>
      </w:r>
    </w:p>
    <w:p w14:paraId="1702727E" w14:textId="77777777" w:rsidR="009B3738" w:rsidRDefault="00000000">
      <w:pPr>
        <w:spacing w:after="120" w:line="300" w:lineRule="auto"/>
        <w:jc w:val="both"/>
      </w:pPr>
      <w:r>
        <w:rPr>
          <w:b/>
          <w:bCs/>
        </w:rPr>
        <w:lastRenderedPageBreak/>
        <w:t xml:space="preserve">Justification from analysis: </w:t>
      </w:r>
      <w:r>
        <w:t>Logistics cost is 11.5% of sales, a gap of about INR 25.5 crore per year, and cycle time is 6.8 days (Section 4.5).</w:t>
      </w:r>
    </w:p>
    <w:p w14:paraId="53EF1A4C" w14:textId="77777777" w:rsidR="009B3738" w:rsidRDefault="00000000">
      <w:pPr>
        <w:spacing w:after="120" w:line="300" w:lineRule="auto"/>
        <w:jc w:val="both"/>
      </w:pPr>
      <w:r>
        <w:rPr>
          <w:b/>
          <w:bCs/>
        </w:rPr>
        <w:t xml:space="preserve">Expected result: </w:t>
      </w:r>
      <w:r>
        <w:t>Logistics cost to 9.5% of sales (about INR 17 crore saving); cycle time to 5 days. (Impact H, Effort M to H)</w:t>
      </w:r>
    </w:p>
    <w:p w14:paraId="16D0BD3D" w14:textId="77777777" w:rsidR="009B3738" w:rsidRDefault="00000000">
      <w:pPr>
        <w:pStyle w:val="Heading2"/>
      </w:pPr>
      <w:r>
        <w:t>R5. Warehouse Slotting and Order Processing Streamlining</w:t>
      </w:r>
    </w:p>
    <w:p w14:paraId="60F888A7" w14:textId="77777777" w:rsidR="009B3738" w:rsidRDefault="00000000">
      <w:pPr>
        <w:spacing w:after="120" w:line="300" w:lineRule="auto"/>
        <w:jc w:val="both"/>
      </w:pPr>
      <w:r>
        <w:rPr>
          <w:b/>
          <w:bCs/>
        </w:rPr>
        <w:t xml:space="preserve">What to do: </w:t>
      </w:r>
      <w:r>
        <w:t>Re-slot fast movers near dispatch, introduce wave picking and barcode confirmation at dispatch, and set a same-day order-release rule for orders received before cut-off.</w:t>
      </w:r>
    </w:p>
    <w:p w14:paraId="399F510D" w14:textId="77777777" w:rsidR="009B3738" w:rsidRDefault="00000000">
      <w:pPr>
        <w:spacing w:after="120" w:line="300" w:lineRule="auto"/>
        <w:jc w:val="both"/>
      </w:pPr>
      <w:r>
        <w:rPr>
          <w:b/>
          <w:bCs/>
        </w:rPr>
        <w:t xml:space="preserve">Justification from analysis: </w:t>
      </w:r>
      <w:r>
        <w:t>Picking accuracy is strong (98.4%), so the team can adopt the process improvements with low risk; cycle time still lags the benchmark.</w:t>
      </w:r>
    </w:p>
    <w:p w14:paraId="2FF52628" w14:textId="77777777" w:rsidR="009B3738" w:rsidRDefault="00000000">
      <w:pPr>
        <w:spacing w:after="120" w:line="300" w:lineRule="auto"/>
        <w:jc w:val="both"/>
      </w:pPr>
      <w:r>
        <w:rPr>
          <w:b/>
          <w:bCs/>
        </w:rPr>
        <w:t xml:space="preserve">Expected result: </w:t>
      </w:r>
      <w:r>
        <w:t>Order processing time reduced by about 25%; picking accuracy maintained at 99%. (Impact M, Effort L)</w:t>
      </w:r>
    </w:p>
    <w:p w14:paraId="6AC59C7A" w14:textId="77777777" w:rsidR="009B3738" w:rsidRDefault="00000000">
      <w:pPr>
        <w:pStyle w:val="Heading2"/>
      </w:pPr>
      <w:r>
        <w:t>R6. Supply Chain Control Tower and Exception-Based Dashboard</w:t>
      </w:r>
    </w:p>
    <w:p w14:paraId="3A10ED41" w14:textId="77777777" w:rsidR="009B3738" w:rsidRDefault="00000000">
      <w:pPr>
        <w:spacing w:after="120" w:line="300" w:lineRule="auto"/>
        <w:jc w:val="both"/>
      </w:pPr>
      <w:r>
        <w:rPr>
          <w:b/>
          <w:bCs/>
        </w:rPr>
        <w:t xml:space="preserve">What to do: </w:t>
      </w:r>
      <w:r>
        <w:t>Build on the Week 5 dashboard design to create a weekly-then-daily control tower with automated alerts for late purchase orders, stock below safety level, and at-risk deliveries. Assign an owner to each KPI.</w:t>
      </w:r>
    </w:p>
    <w:p w14:paraId="366AB70C" w14:textId="77777777" w:rsidR="009B3738" w:rsidRDefault="00000000">
      <w:pPr>
        <w:spacing w:after="120" w:line="300" w:lineRule="auto"/>
        <w:jc w:val="both"/>
      </w:pPr>
      <w:r>
        <w:rPr>
          <w:b/>
          <w:bCs/>
        </w:rPr>
        <w:t xml:space="preserve">Justification from analysis: </w:t>
      </w:r>
      <w:r>
        <w:t>Misses are discovered late and reporting is manual; many KPIs are interrelated and need to be monitored together (Section 5.4).</w:t>
      </w:r>
    </w:p>
    <w:p w14:paraId="36FD186F" w14:textId="77777777" w:rsidR="009B3738" w:rsidRDefault="00000000">
      <w:pPr>
        <w:spacing w:after="120" w:line="300" w:lineRule="auto"/>
        <w:jc w:val="both"/>
      </w:pPr>
      <w:r>
        <w:rPr>
          <w:b/>
          <w:bCs/>
        </w:rPr>
        <w:t xml:space="preserve">Expected result: </w:t>
      </w:r>
      <w:r>
        <w:t>Faster issue detection; reporting effort reduced; supports achievement of all other targets. (Impact M, Effort M)</w:t>
      </w:r>
    </w:p>
    <w:p w14:paraId="269F2255" w14:textId="77777777" w:rsidR="009B3738" w:rsidRDefault="00000000">
      <w:pPr>
        <w:pStyle w:val="Heading2"/>
      </w:pPr>
      <w:r>
        <w:t>R7. Returns Root-Cause Programme</w:t>
      </w:r>
    </w:p>
    <w:p w14:paraId="41F4DFB6" w14:textId="77777777" w:rsidR="009B3738" w:rsidRDefault="00000000">
      <w:pPr>
        <w:spacing w:after="120" w:line="300" w:lineRule="auto"/>
        <w:jc w:val="both"/>
      </w:pPr>
      <w:r>
        <w:rPr>
          <w:b/>
          <w:bCs/>
        </w:rPr>
        <w:t xml:space="preserve">What to do: </w:t>
      </w:r>
      <w:r>
        <w:t>Record a reason code for every return, review the top reasons monthly, and fix upstream causes such as wrong picks, substitutions and delivery delays. Introduce a quick disposition process to resell returned goods faster.</w:t>
      </w:r>
    </w:p>
    <w:p w14:paraId="6A3711DF" w14:textId="77777777" w:rsidR="009B3738" w:rsidRDefault="00000000">
      <w:pPr>
        <w:spacing w:after="120" w:line="300" w:lineRule="auto"/>
        <w:jc w:val="both"/>
      </w:pPr>
      <w:r>
        <w:rPr>
          <w:b/>
          <w:bCs/>
        </w:rPr>
        <w:t xml:space="preserve">Justification from analysis: </w:t>
      </w:r>
      <w:r>
        <w:t>Return rate is 4.1% against 3.0% and is partly caused by order errors and delays (Section 4.6).</w:t>
      </w:r>
    </w:p>
    <w:p w14:paraId="5DB58029" w14:textId="77777777" w:rsidR="009B3738" w:rsidRDefault="00000000">
      <w:pPr>
        <w:spacing w:after="120" w:line="300" w:lineRule="auto"/>
        <w:jc w:val="both"/>
      </w:pPr>
      <w:r>
        <w:rPr>
          <w:b/>
          <w:bCs/>
        </w:rPr>
        <w:t xml:space="preserve">Expected result: </w:t>
      </w:r>
      <w:r>
        <w:t>Return rate to 3.3%; lower reverse logistics cost. (Impact M, Effort L)</w:t>
      </w:r>
    </w:p>
    <w:p w14:paraId="1702912B" w14:textId="77777777" w:rsidR="009B3738" w:rsidRDefault="00000000">
      <w:pPr>
        <w:pStyle w:val="Heading2"/>
      </w:pPr>
      <w:r>
        <w:t>6.1 Prioritisation Summary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0"/>
        <w:gridCol w:w="1300"/>
        <w:gridCol w:w="1300"/>
        <w:gridCol w:w="3126"/>
      </w:tblGrid>
      <w:tr w:rsidR="009B3738" w14:paraId="71CF63C6" w14:textId="77777777">
        <w:tblPrEx>
          <w:tblCellMar>
            <w:top w:w="0" w:type="dxa"/>
            <w:bottom w:w="0" w:type="dxa"/>
          </w:tblCellMar>
        </w:tblPrEx>
        <w:trPr>
          <w:tblHeader/>
        </w:trPr>
        <w:tc>
          <w:tcPr>
            <w:tcW w:w="3300" w:type="dxa"/>
            <w:tcBorders>
              <w:top w:val="single" w:sz="4" w:space="0" w:color="A6A6A6"/>
              <w:left w:val="single" w:sz="4" w:space="0" w:color="A6A6A6"/>
              <w:bottom w:val="single" w:sz="4" w:space="0" w:color="A6A6A6"/>
              <w:right w:val="single" w:sz="4" w:space="0" w:color="A6A6A6"/>
            </w:tcBorders>
            <w:shd w:val="clear" w:color="auto" w:fill="1F4E79"/>
            <w:tcMar>
              <w:top w:w="60" w:type="dxa"/>
              <w:left w:w="90" w:type="dxa"/>
              <w:bottom w:w="60" w:type="dxa"/>
              <w:right w:w="90" w:type="dxa"/>
            </w:tcMar>
          </w:tcPr>
          <w:p w14:paraId="5887E427" w14:textId="77777777" w:rsidR="009B3738" w:rsidRDefault="00000000">
            <w:r>
              <w:rPr>
                <w:b/>
                <w:bCs/>
                <w:color w:val="FFFFFF"/>
                <w:sz w:val="19"/>
                <w:szCs w:val="19"/>
              </w:rPr>
              <w:t>Recommendation</w:t>
            </w:r>
          </w:p>
        </w:tc>
        <w:tc>
          <w:tcPr>
            <w:tcW w:w="1300" w:type="dxa"/>
            <w:tcBorders>
              <w:top w:val="single" w:sz="4" w:space="0" w:color="A6A6A6"/>
              <w:left w:val="single" w:sz="4" w:space="0" w:color="A6A6A6"/>
              <w:bottom w:val="single" w:sz="4" w:space="0" w:color="A6A6A6"/>
              <w:right w:val="single" w:sz="4" w:space="0" w:color="A6A6A6"/>
            </w:tcBorders>
            <w:shd w:val="clear" w:color="auto" w:fill="1F4E79"/>
            <w:tcMar>
              <w:top w:w="60" w:type="dxa"/>
              <w:left w:w="90" w:type="dxa"/>
              <w:bottom w:w="60" w:type="dxa"/>
              <w:right w:w="90" w:type="dxa"/>
            </w:tcMar>
          </w:tcPr>
          <w:p w14:paraId="70489B95" w14:textId="77777777" w:rsidR="009B3738" w:rsidRDefault="00000000">
            <w:r>
              <w:rPr>
                <w:b/>
                <w:bCs/>
                <w:color w:val="FFFFFF"/>
                <w:sz w:val="19"/>
                <w:szCs w:val="19"/>
              </w:rPr>
              <w:t>Impact</w:t>
            </w:r>
          </w:p>
        </w:tc>
        <w:tc>
          <w:tcPr>
            <w:tcW w:w="1300" w:type="dxa"/>
            <w:tcBorders>
              <w:top w:val="single" w:sz="4" w:space="0" w:color="A6A6A6"/>
              <w:left w:val="single" w:sz="4" w:space="0" w:color="A6A6A6"/>
              <w:bottom w:val="single" w:sz="4" w:space="0" w:color="A6A6A6"/>
              <w:right w:val="single" w:sz="4" w:space="0" w:color="A6A6A6"/>
            </w:tcBorders>
            <w:shd w:val="clear" w:color="auto" w:fill="1F4E79"/>
            <w:tcMar>
              <w:top w:w="60" w:type="dxa"/>
              <w:left w:w="90" w:type="dxa"/>
              <w:bottom w:w="60" w:type="dxa"/>
              <w:right w:w="90" w:type="dxa"/>
            </w:tcMar>
          </w:tcPr>
          <w:p w14:paraId="2C85A727" w14:textId="77777777" w:rsidR="009B3738" w:rsidRDefault="00000000">
            <w:r>
              <w:rPr>
                <w:b/>
                <w:bCs/>
                <w:color w:val="FFFFFF"/>
                <w:sz w:val="19"/>
                <w:szCs w:val="19"/>
              </w:rPr>
              <w:t>Effort</w:t>
            </w:r>
          </w:p>
        </w:tc>
        <w:tc>
          <w:tcPr>
            <w:tcW w:w="3126" w:type="dxa"/>
            <w:tcBorders>
              <w:top w:val="single" w:sz="4" w:space="0" w:color="A6A6A6"/>
              <w:left w:val="single" w:sz="4" w:space="0" w:color="A6A6A6"/>
              <w:bottom w:val="single" w:sz="4" w:space="0" w:color="A6A6A6"/>
              <w:right w:val="single" w:sz="4" w:space="0" w:color="A6A6A6"/>
            </w:tcBorders>
            <w:shd w:val="clear" w:color="auto" w:fill="1F4E79"/>
            <w:tcMar>
              <w:top w:w="60" w:type="dxa"/>
              <w:left w:w="90" w:type="dxa"/>
              <w:bottom w:w="60" w:type="dxa"/>
              <w:right w:w="90" w:type="dxa"/>
            </w:tcMar>
          </w:tcPr>
          <w:p w14:paraId="1E6A5F1B" w14:textId="77777777" w:rsidR="009B3738" w:rsidRDefault="00000000">
            <w:r>
              <w:rPr>
                <w:b/>
                <w:bCs/>
                <w:color w:val="FFFFFF"/>
                <w:sz w:val="19"/>
                <w:szCs w:val="19"/>
              </w:rPr>
              <w:t>Priority</w:t>
            </w:r>
          </w:p>
        </w:tc>
      </w:tr>
      <w:tr w:rsidR="009B3738" w14:paraId="736311F7" w14:textId="77777777">
        <w:tblPrEx>
          <w:tblCellMar>
            <w:top w:w="0" w:type="dxa"/>
            <w:bottom w:w="0" w:type="dxa"/>
          </w:tblCellMar>
        </w:tblPrEx>
        <w:tc>
          <w:tcPr>
            <w:tcW w:w="3300" w:type="dxa"/>
            <w:tcBorders>
              <w:top w:val="single" w:sz="4" w:space="0" w:color="A6A6A6"/>
              <w:left w:val="single" w:sz="4" w:space="0" w:color="A6A6A6"/>
              <w:bottom w:val="single" w:sz="4" w:space="0" w:color="A6A6A6"/>
              <w:right w:val="single" w:sz="4" w:space="0" w:color="A6A6A6"/>
            </w:tcBorders>
            <w:shd w:val="clear" w:color="auto" w:fill="FFFFFF"/>
            <w:tcMar>
              <w:top w:w="60" w:type="dxa"/>
              <w:left w:w="90" w:type="dxa"/>
              <w:bottom w:w="60" w:type="dxa"/>
              <w:right w:w="90" w:type="dxa"/>
            </w:tcMar>
          </w:tcPr>
          <w:p w14:paraId="3C33A262" w14:textId="77777777" w:rsidR="009B3738" w:rsidRDefault="00000000">
            <w:r>
              <w:rPr>
                <w:color w:val="000000"/>
                <w:sz w:val="19"/>
                <w:szCs w:val="19"/>
              </w:rPr>
              <w:t>R3 Inventory segmentation</w:t>
            </w:r>
          </w:p>
        </w:tc>
        <w:tc>
          <w:tcPr>
            <w:tcW w:w="1300" w:type="dxa"/>
            <w:tcBorders>
              <w:top w:val="single" w:sz="4" w:space="0" w:color="A6A6A6"/>
              <w:left w:val="single" w:sz="4" w:space="0" w:color="A6A6A6"/>
              <w:bottom w:val="single" w:sz="4" w:space="0" w:color="A6A6A6"/>
              <w:right w:val="single" w:sz="4" w:space="0" w:color="A6A6A6"/>
            </w:tcBorders>
            <w:shd w:val="clear" w:color="auto" w:fill="FFFFFF"/>
            <w:tcMar>
              <w:top w:w="60" w:type="dxa"/>
              <w:left w:w="90" w:type="dxa"/>
              <w:bottom w:w="60" w:type="dxa"/>
              <w:right w:w="90" w:type="dxa"/>
            </w:tcMar>
          </w:tcPr>
          <w:p w14:paraId="23E96265" w14:textId="77777777" w:rsidR="009B3738" w:rsidRDefault="00000000">
            <w:r>
              <w:rPr>
                <w:color w:val="000000"/>
                <w:sz w:val="19"/>
                <w:szCs w:val="19"/>
              </w:rPr>
              <w:t>High</w:t>
            </w:r>
          </w:p>
        </w:tc>
        <w:tc>
          <w:tcPr>
            <w:tcW w:w="1300" w:type="dxa"/>
            <w:tcBorders>
              <w:top w:val="single" w:sz="4" w:space="0" w:color="A6A6A6"/>
              <w:left w:val="single" w:sz="4" w:space="0" w:color="A6A6A6"/>
              <w:bottom w:val="single" w:sz="4" w:space="0" w:color="A6A6A6"/>
              <w:right w:val="single" w:sz="4" w:space="0" w:color="A6A6A6"/>
            </w:tcBorders>
            <w:shd w:val="clear" w:color="auto" w:fill="FFFFFF"/>
            <w:tcMar>
              <w:top w:w="60" w:type="dxa"/>
              <w:left w:w="90" w:type="dxa"/>
              <w:bottom w:w="60" w:type="dxa"/>
              <w:right w:w="90" w:type="dxa"/>
            </w:tcMar>
          </w:tcPr>
          <w:p w14:paraId="4B707988" w14:textId="77777777" w:rsidR="009B3738" w:rsidRDefault="00000000">
            <w:r>
              <w:rPr>
                <w:color w:val="000000"/>
                <w:sz w:val="19"/>
                <w:szCs w:val="19"/>
              </w:rPr>
              <w:t>Low-Med</w:t>
            </w:r>
          </w:p>
        </w:tc>
        <w:tc>
          <w:tcPr>
            <w:tcW w:w="3126" w:type="dxa"/>
            <w:tcBorders>
              <w:top w:val="single" w:sz="4" w:space="0" w:color="A6A6A6"/>
              <w:left w:val="single" w:sz="4" w:space="0" w:color="A6A6A6"/>
              <w:bottom w:val="single" w:sz="4" w:space="0" w:color="A6A6A6"/>
              <w:right w:val="single" w:sz="4" w:space="0" w:color="A6A6A6"/>
            </w:tcBorders>
            <w:shd w:val="clear" w:color="auto" w:fill="FFFFFF"/>
            <w:tcMar>
              <w:top w:w="60" w:type="dxa"/>
              <w:left w:w="90" w:type="dxa"/>
              <w:bottom w:w="60" w:type="dxa"/>
              <w:right w:w="90" w:type="dxa"/>
            </w:tcMar>
          </w:tcPr>
          <w:p w14:paraId="34F34321" w14:textId="77777777" w:rsidR="009B3738" w:rsidRDefault="00000000">
            <w:r>
              <w:rPr>
                <w:color w:val="000000"/>
                <w:sz w:val="19"/>
                <w:szCs w:val="19"/>
              </w:rPr>
              <w:t>Quick win: start immediately</w:t>
            </w:r>
          </w:p>
        </w:tc>
      </w:tr>
      <w:tr w:rsidR="009B3738" w14:paraId="5F3A6586" w14:textId="77777777">
        <w:tblPrEx>
          <w:tblCellMar>
            <w:top w:w="0" w:type="dxa"/>
            <w:bottom w:w="0" w:type="dxa"/>
          </w:tblCellMar>
        </w:tblPrEx>
        <w:tc>
          <w:tcPr>
            <w:tcW w:w="3300" w:type="dxa"/>
            <w:tcBorders>
              <w:top w:val="single" w:sz="4" w:space="0" w:color="A6A6A6"/>
              <w:left w:val="single" w:sz="4" w:space="0" w:color="A6A6A6"/>
              <w:bottom w:val="single" w:sz="4" w:space="0" w:color="A6A6A6"/>
              <w:right w:val="single" w:sz="4" w:space="0" w:color="A6A6A6"/>
            </w:tcBorders>
            <w:shd w:val="clear" w:color="auto" w:fill="F2F7FB"/>
            <w:tcMar>
              <w:top w:w="60" w:type="dxa"/>
              <w:left w:w="90" w:type="dxa"/>
              <w:bottom w:w="60" w:type="dxa"/>
              <w:right w:w="90" w:type="dxa"/>
            </w:tcMar>
          </w:tcPr>
          <w:p w14:paraId="3AB52DC9" w14:textId="77777777" w:rsidR="009B3738" w:rsidRDefault="00000000">
            <w:r>
              <w:rPr>
                <w:color w:val="000000"/>
                <w:sz w:val="19"/>
                <w:szCs w:val="19"/>
              </w:rPr>
              <w:t>R5 Warehouse slotting and order release</w:t>
            </w:r>
          </w:p>
        </w:tc>
        <w:tc>
          <w:tcPr>
            <w:tcW w:w="1300" w:type="dxa"/>
            <w:tcBorders>
              <w:top w:val="single" w:sz="4" w:space="0" w:color="A6A6A6"/>
              <w:left w:val="single" w:sz="4" w:space="0" w:color="A6A6A6"/>
              <w:bottom w:val="single" w:sz="4" w:space="0" w:color="A6A6A6"/>
              <w:right w:val="single" w:sz="4" w:space="0" w:color="A6A6A6"/>
            </w:tcBorders>
            <w:shd w:val="clear" w:color="auto" w:fill="F2F7FB"/>
            <w:tcMar>
              <w:top w:w="60" w:type="dxa"/>
              <w:left w:w="90" w:type="dxa"/>
              <w:bottom w:w="60" w:type="dxa"/>
              <w:right w:w="90" w:type="dxa"/>
            </w:tcMar>
          </w:tcPr>
          <w:p w14:paraId="53AA5800" w14:textId="77777777" w:rsidR="009B3738" w:rsidRDefault="00000000">
            <w:r>
              <w:rPr>
                <w:color w:val="000000"/>
                <w:sz w:val="19"/>
                <w:szCs w:val="19"/>
              </w:rPr>
              <w:t>Medium</w:t>
            </w:r>
          </w:p>
        </w:tc>
        <w:tc>
          <w:tcPr>
            <w:tcW w:w="1300" w:type="dxa"/>
            <w:tcBorders>
              <w:top w:val="single" w:sz="4" w:space="0" w:color="A6A6A6"/>
              <w:left w:val="single" w:sz="4" w:space="0" w:color="A6A6A6"/>
              <w:bottom w:val="single" w:sz="4" w:space="0" w:color="A6A6A6"/>
              <w:right w:val="single" w:sz="4" w:space="0" w:color="A6A6A6"/>
            </w:tcBorders>
            <w:shd w:val="clear" w:color="auto" w:fill="F2F7FB"/>
            <w:tcMar>
              <w:top w:w="60" w:type="dxa"/>
              <w:left w:w="90" w:type="dxa"/>
              <w:bottom w:w="60" w:type="dxa"/>
              <w:right w:w="90" w:type="dxa"/>
            </w:tcMar>
          </w:tcPr>
          <w:p w14:paraId="48FEEBFD" w14:textId="77777777" w:rsidR="009B3738" w:rsidRDefault="00000000">
            <w:r>
              <w:rPr>
                <w:color w:val="000000"/>
                <w:sz w:val="19"/>
                <w:szCs w:val="19"/>
              </w:rPr>
              <w:t>Low</w:t>
            </w:r>
          </w:p>
        </w:tc>
        <w:tc>
          <w:tcPr>
            <w:tcW w:w="3126" w:type="dxa"/>
            <w:tcBorders>
              <w:top w:val="single" w:sz="4" w:space="0" w:color="A6A6A6"/>
              <w:left w:val="single" w:sz="4" w:space="0" w:color="A6A6A6"/>
              <w:bottom w:val="single" w:sz="4" w:space="0" w:color="A6A6A6"/>
              <w:right w:val="single" w:sz="4" w:space="0" w:color="A6A6A6"/>
            </w:tcBorders>
            <w:shd w:val="clear" w:color="auto" w:fill="F2F7FB"/>
            <w:tcMar>
              <w:top w:w="60" w:type="dxa"/>
              <w:left w:w="90" w:type="dxa"/>
              <w:bottom w:w="60" w:type="dxa"/>
              <w:right w:w="90" w:type="dxa"/>
            </w:tcMar>
          </w:tcPr>
          <w:p w14:paraId="76B029A4" w14:textId="77777777" w:rsidR="009B3738" w:rsidRDefault="00000000">
            <w:r>
              <w:rPr>
                <w:color w:val="000000"/>
                <w:sz w:val="19"/>
                <w:szCs w:val="19"/>
              </w:rPr>
              <w:t>Quick win: start immediately</w:t>
            </w:r>
          </w:p>
        </w:tc>
      </w:tr>
      <w:tr w:rsidR="009B3738" w14:paraId="35B929F2" w14:textId="77777777">
        <w:tblPrEx>
          <w:tblCellMar>
            <w:top w:w="0" w:type="dxa"/>
            <w:bottom w:w="0" w:type="dxa"/>
          </w:tblCellMar>
        </w:tblPrEx>
        <w:tc>
          <w:tcPr>
            <w:tcW w:w="3300" w:type="dxa"/>
            <w:tcBorders>
              <w:top w:val="single" w:sz="4" w:space="0" w:color="A6A6A6"/>
              <w:left w:val="single" w:sz="4" w:space="0" w:color="A6A6A6"/>
              <w:bottom w:val="single" w:sz="4" w:space="0" w:color="A6A6A6"/>
              <w:right w:val="single" w:sz="4" w:space="0" w:color="A6A6A6"/>
            </w:tcBorders>
            <w:shd w:val="clear" w:color="auto" w:fill="FFFFFF"/>
            <w:tcMar>
              <w:top w:w="60" w:type="dxa"/>
              <w:left w:w="90" w:type="dxa"/>
              <w:bottom w:w="60" w:type="dxa"/>
              <w:right w:w="90" w:type="dxa"/>
            </w:tcMar>
          </w:tcPr>
          <w:p w14:paraId="5E55A3B7" w14:textId="77777777" w:rsidR="009B3738" w:rsidRDefault="00000000">
            <w:r>
              <w:rPr>
                <w:color w:val="000000"/>
                <w:sz w:val="19"/>
                <w:szCs w:val="19"/>
              </w:rPr>
              <w:t>R7 Returns root-cause programme</w:t>
            </w:r>
          </w:p>
        </w:tc>
        <w:tc>
          <w:tcPr>
            <w:tcW w:w="1300" w:type="dxa"/>
            <w:tcBorders>
              <w:top w:val="single" w:sz="4" w:space="0" w:color="A6A6A6"/>
              <w:left w:val="single" w:sz="4" w:space="0" w:color="A6A6A6"/>
              <w:bottom w:val="single" w:sz="4" w:space="0" w:color="A6A6A6"/>
              <w:right w:val="single" w:sz="4" w:space="0" w:color="A6A6A6"/>
            </w:tcBorders>
            <w:shd w:val="clear" w:color="auto" w:fill="FFFFFF"/>
            <w:tcMar>
              <w:top w:w="60" w:type="dxa"/>
              <w:left w:w="90" w:type="dxa"/>
              <w:bottom w:w="60" w:type="dxa"/>
              <w:right w:w="90" w:type="dxa"/>
            </w:tcMar>
          </w:tcPr>
          <w:p w14:paraId="16767BC0" w14:textId="77777777" w:rsidR="009B3738" w:rsidRDefault="00000000">
            <w:r>
              <w:rPr>
                <w:color w:val="000000"/>
                <w:sz w:val="19"/>
                <w:szCs w:val="19"/>
              </w:rPr>
              <w:t>Medium</w:t>
            </w:r>
          </w:p>
        </w:tc>
        <w:tc>
          <w:tcPr>
            <w:tcW w:w="1300" w:type="dxa"/>
            <w:tcBorders>
              <w:top w:val="single" w:sz="4" w:space="0" w:color="A6A6A6"/>
              <w:left w:val="single" w:sz="4" w:space="0" w:color="A6A6A6"/>
              <w:bottom w:val="single" w:sz="4" w:space="0" w:color="A6A6A6"/>
              <w:right w:val="single" w:sz="4" w:space="0" w:color="A6A6A6"/>
            </w:tcBorders>
            <w:shd w:val="clear" w:color="auto" w:fill="FFFFFF"/>
            <w:tcMar>
              <w:top w:w="60" w:type="dxa"/>
              <w:left w:w="90" w:type="dxa"/>
              <w:bottom w:w="60" w:type="dxa"/>
              <w:right w:w="90" w:type="dxa"/>
            </w:tcMar>
          </w:tcPr>
          <w:p w14:paraId="5A76272D" w14:textId="77777777" w:rsidR="009B3738" w:rsidRDefault="00000000">
            <w:r>
              <w:rPr>
                <w:color w:val="000000"/>
                <w:sz w:val="19"/>
                <w:szCs w:val="19"/>
              </w:rPr>
              <w:t>Low</w:t>
            </w:r>
          </w:p>
        </w:tc>
        <w:tc>
          <w:tcPr>
            <w:tcW w:w="3126" w:type="dxa"/>
            <w:tcBorders>
              <w:top w:val="single" w:sz="4" w:space="0" w:color="A6A6A6"/>
              <w:left w:val="single" w:sz="4" w:space="0" w:color="A6A6A6"/>
              <w:bottom w:val="single" w:sz="4" w:space="0" w:color="A6A6A6"/>
              <w:right w:val="single" w:sz="4" w:space="0" w:color="A6A6A6"/>
            </w:tcBorders>
            <w:shd w:val="clear" w:color="auto" w:fill="FFFFFF"/>
            <w:tcMar>
              <w:top w:w="60" w:type="dxa"/>
              <w:left w:w="90" w:type="dxa"/>
              <w:bottom w:w="60" w:type="dxa"/>
              <w:right w:w="90" w:type="dxa"/>
            </w:tcMar>
          </w:tcPr>
          <w:p w14:paraId="01C9CC8F" w14:textId="77777777" w:rsidR="009B3738" w:rsidRDefault="00000000">
            <w:r>
              <w:rPr>
                <w:color w:val="000000"/>
                <w:sz w:val="19"/>
                <w:szCs w:val="19"/>
              </w:rPr>
              <w:t>Quick win</w:t>
            </w:r>
          </w:p>
        </w:tc>
      </w:tr>
      <w:tr w:rsidR="009B3738" w14:paraId="7CB4197D" w14:textId="77777777">
        <w:tblPrEx>
          <w:tblCellMar>
            <w:top w:w="0" w:type="dxa"/>
            <w:bottom w:w="0" w:type="dxa"/>
          </w:tblCellMar>
        </w:tblPrEx>
        <w:tc>
          <w:tcPr>
            <w:tcW w:w="3300" w:type="dxa"/>
            <w:tcBorders>
              <w:top w:val="single" w:sz="4" w:space="0" w:color="A6A6A6"/>
              <w:left w:val="single" w:sz="4" w:space="0" w:color="A6A6A6"/>
              <w:bottom w:val="single" w:sz="4" w:space="0" w:color="A6A6A6"/>
              <w:right w:val="single" w:sz="4" w:space="0" w:color="A6A6A6"/>
            </w:tcBorders>
            <w:shd w:val="clear" w:color="auto" w:fill="F2F7FB"/>
            <w:tcMar>
              <w:top w:w="60" w:type="dxa"/>
              <w:left w:w="90" w:type="dxa"/>
              <w:bottom w:w="60" w:type="dxa"/>
              <w:right w:w="90" w:type="dxa"/>
            </w:tcMar>
          </w:tcPr>
          <w:p w14:paraId="1B8AF1E6" w14:textId="77777777" w:rsidR="009B3738" w:rsidRDefault="00000000">
            <w:r>
              <w:rPr>
                <w:color w:val="000000"/>
                <w:sz w:val="19"/>
                <w:szCs w:val="19"/>
              </w:rPr>
              <w:t>R1 Forecasting and S&amp;OP</w:t>
            </w:r>
          </w:p>
        </w:tc>
        <w:tc>
          <w:tcPr>
            <w:tcW w:w="1300" w:type="dxa"/>
            <w:tcBorders>
              <w:top w:val="single" w:sz="4" w:space="0" w:color="A6A6A6"/>
              <w:left w:val="single" w:sz="4" w:space="0" w:color="A6A6A6"/>
              <w:bottom w:val="single" w:sz="4" w:space="0" w:color="A6A6A6"/>
              <w:right w:val="single" w:sz="4" w:space="0" w:color="A6A6A6"/>
            </w:tcBorders>
            <w:shd w:val="clear" w:color="auto" w:fill="F2F7FB"/>
            <w:tcMar>
              <w:top w:w="60" w:type="dxa"/>
              <w:left w:w="90" w:type="dxa"/>
              <w:bottom w:w="60" w:type="dxa"/>
              <w:right w:w="90" w:type="dxa"/>
            </w:tcMar>
          </w:tcPr>
          <w:p w14:paraId="3C6ECBE3" w14:textId="77777777" w:rsidR="009B3738" w:rsidRDefault="00000000">
            <w:r>
              <w:rPr>
                <w:color w:val="000000"/>
                <w:sz w:val="19"/>
                <w:szCs w:val="19"/>
              </w:rPr>
              <w:t>High</w:t>
            </w:r>
          </w:p>
        </w:tc>
        <w:tc>
          <w:tcPr>
            <w:tcW w:w="1300" w:type="dxa"/>
            <w:tcBorders>
              <w:top w:val="single" w:sz="4" w:space="0" w:color="A6A6A6"/>
              <w:left w:val="single" w:sz="4" w:space="0" w:color="A6A6A6"/>
              <w:bottom w:val="single" w:sz="4" w:space="0" w:color="A6A6A6"/>
              <w:right w:val="single" w:sz="4" w:space="0" w:color="A6A6A6"/>
            </w:tcBorders>
            <w:shd w:val="clear" w:color="auto" w:fill="F2F7FB"/>
            <w:tcMar>
              <w:top w:w="60" w:type="dxa"/>
              <w:left w:w="90" w:type="dxa"/>
              <w:bottom w:w="60" w:type="dxa"/>
              <w:right w:w="90" w:type="dxa"/>
            </w:tcMar>
          </w:tcPr>
          <w:p w14:paraId="01909A50" w14:textId="77777777" w:rsidR="009B3738" w:rsidRDefault="00000000">
            <w:r>
              <w:rPr>
                <w:color w:val="000000"/>
                <w:sz w:val="19"/>
                <w:szCs w:val="19"/>
              </w:rPr>
              <w:t>Medium</w:t>
            </w:r>
          </w:p>
        </w:tc>
        <w:tc>
          <w:tcPr>
            <w:tcW w:w="3126" w:type="dxa"/>
            <w:tcBorders>
              <w:top w:val="single" w:sz="4" w:space="0" w:color="A6A6A6"/>
              <w:left w:val="single" w:sz="4" w:space="0" w:color="A6A6A6"/>
              <w:bottom w:val="single" w:sz="4" w:space="0" w:color="A6A6A6"/>
              <w:right w:val="single" w:sz="4" w:space="0" w:color="A6A6A6"/>
            </w:tcBorders>
            <w:shd w:val="clear" w:color="auto" w:fill="F2F7FB"/>
            <w:tcMar>
              <w:top w:w="60" w:type="dxa"/>
              <w:left w:w="90" w:type="dxa"/>
              <w:bottom w:w="60" w:type="dxa"/>
              <w:right w:w="90" w:type="dxa"/>
            </w:tcMar>
          </w:tcPr>
          <w:p w14:paraId="237C902F" w14:textId="77777777" w:rsidR="009B3738" w:rsidRDefault="00000000">
            <w:r>
              <w:rPr>
                <w:color w:val="000000"/>
                <w:sz w:val="19"/>
                <w:szCs w:val="19"/>
              </w:rPr>
              <w:t>Foundation: months 1 to 6</w:t>
            </w:r>
          </w:p>
        </w:tc>
      </w:tr>
      <w:tr w:rsidR="009B3738" w14:paraId="40FC6D1F" w14:textId="77777777">
        <w:tblPrEx>
          <w:tblCellMar>
            <w:top w:w="0" w:type="dxa"/>
            <w:bottom w:w="0" w:type="dxa"/>
          </w:tblCellMar>
        </w:tblPrEx>
        <w:tc>
          <w:tcPr>
            <w:tcW w:w="3300" w:type="dxa"/>
            <w:tcBorders>
              <w:top w:val="single" w:sz="4" w:space="0" w:color="A6A6A6"/>
              <w:left w:val="single" w:sz="4" w:space="0" w:color="A6A6A6"/>
              <w:bottom w:val="single" w:sz="4" w:space="0" w:color="A6A6A6"/>
              <w:right w:val="single" w:sz="4" w:space="0" w:color="A6A6A6"/>
            </w:tcBorders>
            <w:shd w:val="clear" w:color="auto" w:fill="FFFFFF"/>
            <w:tcMar>
              <w:top w:w="60" w:type="dxa"/>
              <w:left w:w="90" w:type="dxa"/>
              <w:bottom w:w="60" w:type="dxa"/>
              <w:right w:w="90" w:type="dxa"/>
            </w:tcMar>
          </w:tcPr>
          <w:p w14:paraId="2442C184" w14:textId="77777777" w:rsidR="009B3738" w:rsidRDefault="00000000">
            <w:r>
              <w:rPr>
                <w:color w:val="000000"/>
                <w:sz w:val="19"/>
                <w:szCs w:val="19"/>
              </w:rPr>
              <w:t>R2 Supplier collaboration</w:t>
            </w:r>
          </w:p>
        </w:tc>
        <w:tc>
          <w:tcPr>
            <w:tcW w:w="1300" w:type="dxa"/>
            <w:tcBorders>
              <w:top w:val="single" w:sz="4" w:space="0" w:color="A6A6A6"/>
              <w:left w:val="single" w:sz="4" w:space="0" w:color="A6A6A6"/>
              <w:bottom w:val="single" w:sz="4" w:space="0" w:color="A6A6A6"/>
              <w:right w:val="single" w:sz="4" w:space="0" w:color="A6A6A6"/>
            </w:tcBorders>
            <w:shd w:val="clear" w:color="auto" w:fill="FFFFFF"/>
            <w:tcMar>
              <w:top w:w="60" w:type="dxa"/>
              <w:left w:w="90" w:type="dxa"/>
              <w:bottom w:w="60" w:type="dxa"/>
              <w:right w:w="90" w:type="dxa"/>
            </w:tcMar>
          </w:tcPr>
          <w:p w14:paraId="3006B2CE" w14:textId="77777777" w:rsidR="009B3738" w:rsidRDefault="00000000">
            <w:r>
              <w:rPr>
                <w:color w:val="000000"/>
                <w:sz w:val="19"/>
                <w:szCs w:val="19"/>
              </w:rPr>
              <w:t>High</w:t>
            </w:r>
          </w:p>
        </w:tc>
        <w:tc>
          <w:tcPr>
            <w:tcW w:w="1300" w:type="dxa"/>
            <w:tcBorders>
              <w:top w:val="single" w:sz="4" w:space="0" w:color="A6A6A6"/>
              <w:left w:val="single" w:sz="4" w:space="0" w:color="A6A6A6"/>
              <w:bottom w:val="single" w:sz="4" w:space="0" w:color="A6A6A6"/>
              <w:right w:val="single" w:sz="4" w:space="0" w:color="A6A6A6"/>
            </w:tcBorders>
            <w:shd w:val="clear" w:color="auto" w:fill="FFFFFF"/>
            <w:tcMar>
              <w:top w:w="60" w:type="dxa"/>
              <w:left w:w="90" w:type="dxa"/>
              <w:bottom w:w="60" w:type="dxa"/>
              <w:right w:w="90" w:type="dxa"/>
            </w:tcMar>
          </w:tcPr>
          <w:p w14:paraId="0C06581D" w14:textId="77777777" w:rsidR="009B3738" w:rsidRDefault="00000000">
            <w:r>
              <w:rPr>
                <w:color w:val="000000"/>
                <w:sz w:val="19"/>
                <w:szCs w:val="19"/>
              </w:rPr>
              <w:t>Medium</w:t>
            </w:r>
          </w:p>
        </w:tc>
        <w:tc>
          <w:tcPr>
            <w:tcW w:w="3126" w:type="dxa"/>
            <w:tcBorders>
              <w:top w:val="single" w:sz="4" w:space="0" w:color="A6A6A6"/>
              <w:left w:val="single" w:sz="4" w:space="0" w:color="A6A6A6"/>
              <w:bottom w:val="single" w:sz="4" w:space="0" w:color="A6A6A6"/>
              <w:right w:val="single" w:sz="4" w:space="0" w:color="A6A6A6"/>
            </w:tcBorders>
            <w:shd w:val="clear" w:color="auto" w:fill="FFFFFF"/>
            <w:tcMar>
              <w:top w:w="60" w:type="dxa"/>
              <w:left w:w="90" w:type="dxa"/>
              <w:bottom w:w="60" w:type="dxa"/>
              <w:right w:w="90" w:type="dxa"/>
            </w:tcMar>
          </w:tcPr>
          <w:p w14:paraId="6A6F0AC1" w14:textId="77777777" w:rsidR="009B3738" w:rsidRDefault="00000000">
            <w:r>
              <w:rPr>
                <w:color w:val="000000"/>
                <w:sz w:val="19"/>
                <w:szCs w:val="19"/>
              </w:rPr>
              <w:t>Foundation: months 1 to 9</w:t>
            </w:r>
          </w:p>
        </w:tc>
      </w:tr>
      <w:tr w:rsidR="009B3738" w14:paraId="02C76A72" w14:textId="77777777">
        <w:tblPrEx>
          <w:tblCellMar>
            <w:top w:w="0" w:type="dxa"/>
            <w:bottom w:w="0" w:type="dxa"/>
          </w:tblCellMar>
        </w:tblPrEx>
        <w:tc>
          <w:tcPr>
            <w:tcW w:w="3300" w:type="dxa"/>
            <w:tcBorders>
              <w:top w:val="single" w:sz="4" w:space="0" w:color="A6A6A6"/>
              <w:left w:val="single" w:sz="4" w:space="0" w:color="A6A6A6"/>
              <w:bottom w:val="single" w:sz="4" w:space="0" w:color="A6A6A6"/>
              <w:right w:val="single" w:sz="4" w:space="0" w:color="A6A6A6"/>
            </w:tcBorders>
            <w:shd w:val="clear" w:color="auto" w:fill="F2F7FB"/>
            <w:tcMar>
              <w:top w:w="60" w:type="dxa"/>
              <w:left w:w="90" w:type="dxa"/>
              <w:bottom w:w="60" w:type="dxa"/>
              <w:right w:w="90" w:type="dxa"/>
            </w:tcMar>
          </w:tcPr>
          <w:p w14:paraId="2EF32464" w14:textId="77777777" w:rsidR="009B3738" w:rsidRDefault="00000000">
            <w:r>
              <w:rPr>
                <w:color w:val="000000"/>
                <w:sz w:val="19"/>
                <w:szCs w:val="19"/>
              </w:rPr>
              <w:t>R6 Control tower</w:t>
            </w:r>
          </w:p>
        </w:tc>
        <w:tc>
          <w:tcPr>
            <w:tcW w:w="1300" w:type="dxa"/>
            <w:tcBorders>
              <w:top w:val="single" w:sz="4" w:space="0" w:color="A6A6A6"/>
              <w:left w:val="single" w:sz="4" w:space="0" w:color="A6A6A6"/>
              <w:bottom w:val="single" w:sz="4" w:space="0" w:color="A6A6A6"/>
              <w:right w:val="single" w:sz="4" w:space="0" w:color="A6A6A6"/>
            </w:tcBorders>
            <w:shd w:val="clear" w:color="auto" w:fill="F2F7FB"/>
            <w:tcMar>
              <w:top w:w="60" w:type="dxa"/>
              <w:left w:w="90" w:type="dxa"/>
              <w:bottom w:w="60" w:type="dxa"/>
              <w:right w:w="90" w:type="dxa"/>
            </w:tcMar>
          </w:tcPr>
          <w:p w14:paraId="40C7D9E8" w14:textId="77777777" w:rsidR="009B3738" w:rsidRDefault="00000000">
            <w:r>
              <w:rPr>
                <w:color w:val="000000"/>
                <w:sz w:val="19"/>
                <w:szCs w:val="19"/>
              </w:rPr>
              <w:t>Medium</w:t>
            </w:r>
          </w:p>
        </w:tc>
        <w:tc>
          <w:tcPr>
            <w:tcW w:w="1300" w:type="dxa"/>
            <w:tcBorders>
              <w:top w:val="single" w:sz="4" w:space="0" w:color="A6A6A6"/>
              <w:left w:val="single" w:sz="4" w:space="0" w:color="A6A6A6"/>
              <w:bottom w:val="single" w:sz="4" w:space="0" w:color="A6A6A6"/>
              <w:right w:val="single" w:sz="4" w:space="0" w:color="A6A6A6"/>
            </w:tcBorders>
            <w:shd w:val="clear" w:color="auto" w:fill="F2F7FB"/>
            <w:tcMar>
              <w:top w:w="60" w:type="dxa"/>
              <w:left w:w="90" w:type="dxa"/>
              <w:bottom w:w="60" w:type="dxa"/>
              <w:right w:w="90" w:type="dxa"/>
            </w:tcMar>
          </w:tcPr>
          <w:p w14:paraId="4DFF815B" w14:textId="77777777" w:rsidR="009B3738" w:rsidRDefault="00000000">
            <w:r>
              <w:rPr>
                <w:color w:val="000000"/>
                <w:sz w:val="19"/>
                <w:szCs w:val="19"/>
              </w:rPr>
              <w:t>Medium</w:t>
            </w:r>
          </w:p>
        </w:tc>
        <w:tc>
          <w:tcPr>
            <w:tcW w:w="3126" w:type="dxa"/>
            <w:tcBorders>
              <w:top w:val="single" w:sz="4" w:space="0" w:color="A6A6A6"/>
              <w:left w:val="single" w:sz="4" w:space="0" w:color="A6A6A6"/>
              <w:bottom w:val="single" w:sz="4" w:space="0" w:color="A6A6A6"/>
              <w:right w:val="single" w:sz="4" w:space="0" w:color="A6A6A6"/>
            </w:tcBorders>
            <w:shd w:val="clear" w:color="auto" w:fill="F2F7FB"/>
            <w:tcMar>
              <w:top w:w="60" w:type="dxa"/>
              <w:left w:w="90" w:type="dxa"/>
              <w:bottom w:w="60" w:type="dxa"/>
              <w:right w:w="90" w:type="dxa"/>
            </w:tcMar>
          </w:tcPr>
          <w:p w14:paraId="5E12655C" w14:textId="77777777" w:rsidR="009B3738" w:rsidRDefault="00000000">
            <w:r>
              <w:rPr>
                <w:color w:val="000000"/>
                <w:sz w:val="19"/>
                <w:szCs w:val="19"/>
              </w:rPr>
              <w:t>Enabler: months 3 to 9</w:t>
            </w:r>
          </w:p>
        </w:tc>
      </w:tr>
      <w:tr w:rsidR="009B3738" w14:paraId="0EFE83C6" w14:textId="77777777">
        <w:tblPrEx>
          <w:tblCellMar>
            <w:top w:w="0" w:type="dxa"/>
            <w:bottom w:w="0" w:type="dxa"/>
          </w:tblCellMar>
        </w:tblPrEx>
        <w:tc>
          <w:tcPr>
            <w:tcW w:w="3300" w:type="dxa"/>
            <w:tcBorders>
              <w:top w:val="single" w:sz="4" w:space="0" w:color="A6A6A6"/>
              <w:left w:val="single" w:sz="4" w:space="0" w:color="A6A6A6"/>
              <w:bottom w:val="single" w:sz="4" w:space="0" w:color="A6A6A6"/>
              <w:right w:val="single" w:sz="4" w:space="0" w:color="A6A6A6"/>
            </w:tcBorders>
            <w:shd w:val="clear" w:color="auto" w:fill="FFFFFF"/>
            <w:tcMar>
              <w:top w:w="60" w:type="dxa"/>
              <w:left w:w="90" w:type="dxa"/>
              <w:bottom w:w="60" w:type="dxa"/>
              <w:right w:w="90" w:type="dxa"/>
            </w:tcMar>
          </w:tcPr>
          <w:p w14:paraId="374B39BB" w14:textId="77777777" w:rsidR="009B3738" w:rsidRDefault="00000000">
            <w:r>
              <w:rPr>
                <w:color w:val="000000"/>
                <w:sz w:val="19"/>
                <w:szCs w:val="19"/>
              </w:rPr>
              <w:lastRenderedPageBreak/>
              <w:t>R4 Transport optimisation</w:t>
            </w:r>
          </w:p>
        </w:tc>
        <w:tc>
          <w:tcPr>
            <w:tcW w:w="1300" w:type="dxa"/>
            <w:tcBorders>
              <w:top w:val="single" w:sz="4" w:space="0" w:color="A6A6A6"/>
              <w:left w:val="single" w:sz="4" w:space="0" w:color="A6A6A6"/>
              <w:bottom w:val="single" w:sz="4" w:space="0" w:color="A6A6A6"/>
              <w:right w:val="single" w:sz="4" w:space="0" w:color="A6A6A6"/>
            </w:tcBorders>
            <w:shd w:val="clear" w:color="auto" w:fill="FFFFFF"/>
            <w:tcMar>
              <w:top w:w="60" w:type="dxa"/>
              <w:left w:w="90" w:type="dxa"/>
              <w:bottom w:w="60" w:type="dxa"/>
              <w:right w:w="90" w:type="dxa"/>
            </w:tcMar>
          </w:tcPr>
          <w:p w14:paraId="5BF29C1E" w14:textId="77777777" w:rsidR="009B3738" w:rsidRDefault="00000000">
            <w:r>
              <w:rPr>
                <w:color w:val="000000"/>
                <w:sz w:val="19"/>
                <w:szCs w:val="19"/>
              </w:rPr>
              <w:t>High</w:t>
            </w:r>
          </w:p>
        </w:tc>
        <w:tc>
          <w:tcPr>
            <w:tcW w:w="1300" w:type="dxa"/>
            <w:tcBorders>
              <w:top w:val="single" w:sz="4" w:space="0" w:color="A6A6A6"/>
              <w:left w:val="single" w:sz="4" w:space="0" w:color="A6A6A6"/>
              <w:bottom w:val="single" w:sz="4" w:space="0" w:color="A6A6A6"/>
              <w:right w:val="single" w:sz="4" w:space="0" w:color="A6A6A6"/>
            </w:tcBorders>
            <w:shd w:val="clear" w:color="auto" w:fill="FFFFFF"/>
            <w:tcMar>
              <w:top w:w="60" w:type="dxa"/>
              <w:left w:w="90" w:type="dxa"/>
              <w:bottom w:w="60" w:type="dxa"/>
              <w:right w:w="90" w:type="dxa"/>
            </w:tcMar>
          </w:tcPr>
          <w:p w14:paraId="055C0BEF" w14:textId="77777777" w:rsidR="009B3738" w:rsidRDefault="00000000">
            <w:r>
              <w:rPr>
                <w:color w:val="000000"/>
                <w:sz w:val="19"/>
                <w:szCs w:val="19"/>
              </w:rPr>
              <w:t>Med-High</w:t>
            </w:r>
          </w:p>
        </w:tc>
        <w:tc>
          <w:tcPr>
            <w:tcW w:w="3126" w:type="dxa"/>
            <w:tcBorders>
              <w:top w:val="single" w:sz="4" w:space="0" w:color="A6A6A6"/>
              <w:left w:val="single" w:sz="4" w:space="0" w:color="A6A6A6"/>
              <w:bottom w:val="single" w:sz="4" w:space="0" w:color="A6A6A6"/>
              <w:right w:val="single" w:sz="4" w:space="0" w:color="A6A6A6"/>
            </w:tcBorders>
            <w:shd w:val="clear" w:color="auto" w:fill="FFFFFF"/>
            <w:tcMar>
              <w:top w:w="60" w:type="dxa"/>
              <w:left w:w="90" w:type="dxa"/>
              <w:bottom w:w="60" w:type="dxa"/>
              <w:right w:w="90" w:type="dxa"/>
            </w:tcMar>
          </w:tcPr>
          <w:p w14:paraId="37428BEB" w14:textId="77777777" w:rsidR="009B3738" w:rsidRDefault="00000000">
            <w:r>
              <w:rPr>
                <w:color w:val="000000"/>
                <w:sz w:val="19"/>
                <w:szCs w:val="19"/>
              </w:rPr>
              <w:t>Longer-term: months 6 to 15</w:t>
            </w:r>
          </w:p>
        </w:tc>
      </w:tr>
    </w:tbl>
    <w:p w14:paraId="55120EC2" w14:textId="77777777" w:rsidR="009B3738" w:rsidRDefault="00000000">
      <w:pPr>
        <w:spacing w:before="60" w:after="200"/>
        <w:jc w:val="center"/>
      </w:pPr>
      <w:r>
        <w:rPr>
          <w:i/>
          <w:iCs/>
          <w:color w:val="595959"/>
          <w:sz w:val="19"/>
          <w:szCs w:val="19"/>
        </w:rPr>
        <w:t>Table 5: Impact and effort prioritisation</w:t>
      </w:r>
    </w:p>
    <w:p w14:paraId="30CCFB6C" w14:textId="77777777" w:rsidR="009B3738" w:rsidRDefault="00000000">
      <w:pPr>
        <w:pStyle w:val="Heading1"/>
      </w:pPr>
      <w:r>
        <w:t>7. Implementation Roadmap, Risks and Expected Impact</w:t>
      </w:r>
    </w:p>
    <w:p w14:paraId="42D63AFF" w14:textId="77777777" w:rsidR="009B3738" w:rsidRDefault="00000000">
      <w:pPr>
        <w:pStyle w:val="Heading2"/>
      </w:pPr>
      <w:r>
        <w:t>7.1 Phased Roadmap</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3300"/>
        <w:gridCol w:w="3826"/>
      </w:tblGrid>
      <w:tr w:rsidR="009B3738" w14:paraId="38288AAD" w14:textId="77777777">
        <w:tblPrEx>
          <w:tblCellMar>
            <w:top w:w="0" w:type="dxa"/>
            <w:bottom w:w="0" w:type="dxa"/>
          </w:tblCellMar>
        </w:tblPrEx>
        <w:trPr>
          <w:tblHeader/>
        </w:trPr>
        <w:tc>
          <w:tcPr>
            <w:tcW w:w="1900" w:type="dxa"/>
            <w:tcBorders>
              <w:top w:val="single" w:sz="4" w:space="0" w:color="A6A6A6"/>
              <w:left w:val="single" w:sz="4" w:space="0" w:color="A6A6A6"/>
              <w:bottom w:val="single" w:sz="4" w:space="0" w:color="A6A6A6"/>
              <w:right w:val="single" w:sz="4" w:space="0" w:color="A6A6A6"/>
            </w:tcBorders>
            <w:shd w:val="clear" w:color="auto" w:fill="1F4E79"/>
            <w:tcMar>
              <w:top w:w="60" w:type="dxa"/>
              <w:left w:w="90" w:type="dxa"/>
              <w:bottom w:w="60" w:type="dxa"/>
              <w:right w:w="90" w:type="dxa"/>
            </w:tcMar>
          </w:tcPr>
          <w:p w14:paraId="2FA21D88" w14:textId="77777777" w:rsidR="009B3738" w:rsidRDefault="00000000">
            <w:r>
              <w:rPr>
                <w:b/>
                <w:bCs/>
                <w:color w:val="FFFFFF"/>
                <w:sz w:val="18"/>
                <w:szCs w:val="18"/>
              </w:rPr>
              <w:t>Phase</w:t>
            </w:r>
          </w:p>
        </w:tc>
        <w:tc>
          <w:tcPr>
            <w:tcW w:w="3300" w:type="dxa"/>
            <w:tcBorders>
              <w:top w:val="single" w:sz="4" w:space="0" w:color="A6A6A6"/>
              <w:left w:val="single" w:sz="4" w:space="0" w:color="A6A6A6"/>
              <w:bottom w:val="single" w:sz="4" w:space="0" w:color="A6A6A6"/>
              <w:right w:val="single" w:sz="4" w:space="0" w:color="A6A6A6"/>
            </w:tcBorders>
            <w:shd w:val="clear" w:color="auto" w:fill="1F4E79"/>
            <w:tcMar>
              <w:top w:w="60" w:type="dxa"/>
              <w:left w:w="90" w:type="dxa"/>
              <w:bottom w:w="60" w:type="dxa"/>
              <w:right w:w="90" w:type="dxa"/>
            </w:tcMar>
          </w:tcPr>
          <w:p w14:paraId="7953BC86" w14:textId="77777777" w:rsidR="009B3738" w:rsidRDefault="00000000">
            <w:r>
              <w:rPr>
                <w:b/>
                <w:bCs/>
                <w:color w:val="FFFFFF"/>
                <w:sz w:val="18"/>
                <w:szCs w:val="18"/>
              </w:rPr>
              <w:t>Actions</w:t>
            </w:r>
          </w:p>
        </w:tc>
        <w:tc>
          <w:tcPr>
            <w:tcW w:w="3826" w:type="dxa"/>
            <w:tcBorders>
              <w:top w:val="single" w:sz="4" w:space="0" w:color="A6A6A6"/>
              <w:left w:val="single" w:sz="4" w:space="0" w:color="A6A6A6"/>
              <w:bottom w:val="single" w:sz="4" w:space="0" w:color="A6A6A6"/>
              <w:right w:val="single" w:sz="4" w:space="0" w:color="A6A6A6"/>
            </w:tcBorders>
            <w:shd w:val="clear" w:color="auto" w:fill="1F4E79"/>
            <w:tcMar>
              <w:top w:w="60" w:type="dxa"/>
              <w:left w:w="90" w:type="dxa"/>
              <w:bottom w:w="60" w:type="dxa"/>
              <w:right w:w="90" w:type="dxa"/>
            </w:tcMar>
          </w:tcPr>
          <w:p w14:paraId="1C7463E2" w14:textId="77777777" w:rsidR="009B3738" w:rsidRDefault="00000000">
            <w:r>
              <w:rPr>
                <w:b/>
                <w:bCs/>
                <w:color w:val="FFFFFF"/>
                <w:sz w:val="18"/>
                <w:szCs w:val="18"/>
              </w:rPr>
              <w:t>Milestones</w:t>
            </w:r>
          </w:p>
        </w:tc>
      </w:tr>
      <w:tr w:rsidR="009B3738" w14:paraId="3E76E9DC" w14:textId="77777777">
        <w:tblPrEx>
          <w:tblCellMar>
            <w:top w:w="0" w:type="dxa"/>
            <w:bottom w:w="0" w:type="dxa"/>
          </w:tblCellMar>
        </w:tblPrEx>
        <w:tc>
          <w:tcPr>
            <w:tcW w:w="1900" w:type="dxa"/>
            <w:tcBorders>
              <w:top w:val="single" w:sz="4" w:space="0" w:color="A6A6A6"/>
              <w:left w:val="single" w:sz="4" w:space="0" w:color="A6A6A6"/>
              <w:bottom w:val="single" w:sz="4" w:space="0" w:color="A6A6A6"/>
              <w:right w:val="single" w:sz="4" w:space="0" w:color="A6A6A6"/>
            </w:tcBorders>
            <w:shd w:val="clear" w:color="auto" w:fill="FFFFFF"/>
            <w:tcMar>
              <w:top w:w="60" w:type="dxa"/>
              <w:left w:w="90" w:type="dxa"/>
              <w:bottom w:w="60" w:type="dxa"/>
              <w:right w:w="90" w:type="dxa"/>
            </w:tcMar>
          </w:tcPr>
          <w:p w14:paraId="065CE3D2" w14:textId="77777777" w:rsidR="009B3738" w:rsidRDefault="00000000">
            <w:r>
              <w:rPr>
                <w:color w:val="000000"/>
                <w:sz w:val="18"/>
                <w:szCs w:val="18"/>
              </w:rPr>
              <w:t>Phase 1: Months 0 to 3</w:t>
            </w:r>
          </w:p>
        </w:tc>
        <w:tc>
          <w:tcPr>
            <w:tcW w:w="3300" w:type="dxa"/>
            <w:tcBorders>
              <w:top w:val="single" w:sz="4" w:space="0" w:color="A6A6A6"/>
              <w:left w:val="single" w:sz="4" w:space="0" w:color="A6A6A6"/>
              <w:bottom w:val="single" w:sz="4" w:space="0" w:color="A6A6A6"/>
              <w:right w:val="single" w:sz="4" w:space="0" w:color="A6A6A6"/>
            </w:tcBorders>
            <w:shd w:val="clear" w:color="auto" w:fill="FFFFFF"/>
            <w:tcMar>
              <w:top w:w="60" w:type="dxa"/>
              <w:left w:w="90" w:type="dxa"/>
              <w:bottom w:w="60" w:type="dxa"/>
              <w:right w:w="90" w:type="dxa"/>
            </w:tcMar>
          </w:tcPr>
          <w:p w14:paraId="349CA204" w14:textId="77777777" w:rsidR="009B3738" w:rsidRDefault="00000000">
            <w:r>
              <w:rPr>
                <w:color w:val="000000"/>
                <w:sz w:val="18"/>
                <w:szCs w:val="18"/>
              </w:rPr>
              <w:t>ABC-XYZ segmentation, warehouse re-slotting, returns reason codes, KPI baseline and owners</w:t>
            </w:r>
          </w:p>
        </w:tc>
        <w:tc>
          <w:tcPr>
            <w:tcW w:w="3826" w:type="dxa"/>
            <w:tcBorders>
              <w:top w:val="single" w:sz="4" w:space="0" w:color="A6A6A6"/>
              <w:left w:val="single" w:sz="4" w:space="0" w:color="A6A6A6"/>
              <w:bottom w:val="single" w:sz="4" w:space="0" w:color="A6A6A6"/>
              <w:right w:val="single" w:sz="4" w:space="0" w:color="A6A6A6"/>
            </w:tcBorders>
            <w:shd w:val="clear" w:color="auto" w:fill="FFFFFF"/>
            <w:tcMar>
              <w:top w:w="60" w:type="dxa"/>
              <w:left w:w="90" w:type="dxa"/>
              <w:bottom w:w="60" w:type="dxa"/>
              <w:right w:w="90" w:type="dxa"/>
            </w:tcMar>
          </w:tcPr>
          <w:p w14:paraId="78004C2A" w14:textId="77777777" w:rsidR="009B3738" w:rsidRDefault="00000000">
            <w:r>
              <w:rPr>
                <w:color w:val="000000"/>
                <w:sz w:val="18"/>
                <w:szCs w:val="18"/>
              </w:rPr>
              <w:t>New safety stock policy live; returns coding at 100%; KPI dashboard v1</w:t>
            </w:r>
          </w:p>
        </w:tc>
      </w:tr>
      <w:tr w:rsidR="009B3738" w14:paraId="07B4BBDD" w14:textId="77777777">
        <w:tblPrEx>
          <w:tblCellMar>
            <w:top w:w="0" w:type="dxa"/>
            <w:bottom w:w="0" w:type="dxa"/>
          </w:tblCellMar>
        </w:tblPrEx>
        <w:tc>
          <w:tcPr>
            <w:tcW w:w="1900" w:type="dxa"/>
            <w:tcBorders>
              <w:top w:val="single" w:sz="4" w:space="0" w:color="A6A6A6"/>
              <w:left w:val="single" w:sz="4" w:space="0" w:color="A6A6A6"/>
              <w:bottom w:val="single" w:sz="4" w:space="0" w:color="A6A6A6"/>
              <w:right w:val="single" w:sz="4" w:space="0" w:color="A6A6A6"/>
            </w:tcBorders>
            <w:shd w:val="clear" w:color="auto" w:fill="F2F7FB"/>
            <w:tcMar>
              <w:top w:w="60" w:type="dxa"/>
              <w:left w:w="90" w:type="dxa"/>
              <w:bottom w:w="60" w:type="dxa"/>
              <w:right w:w="90" w:type="dxa"/>
            </w:tcMar>
          </w:tcPr>
          <w:p w14:paraId="72F66779" w14:textId="77777777" w:rsidR="009B3738" w:rsidRDefault="00000000">
            <w:r>
              <w:rPr>
                <w:color w:val="000000"/>
                <w:sz w:val="18"/>
                <w:szCs w:val="18"/>
              </w:rPr>
              <w:t>Phase 2: Months 3 to 9</w:t>
            </w:r>
          </w:p>
        </w:tc>
        <w:tc>
          <w:tcPr>
            <w:tcW w:w="3300" w:type="dxa"/>
            <w:tcBorders>
              <w:top w:val="single" w:sz="4" w:space="0" w:color="A6A6A6"/>
              <w:left w:val="single" w:sz="4" w:space="0" w:color="A6A6A6"/>
              <w:bottom w:val="single" w:sz="4" w:space="0" w:color="A6A6A6"/>
              <w:right w:val="single" w:sz="4" w:space="0" w:color="A6A6A6"/>
            </w:tcBorders>
            <w:shd w:val="clear" w:color="auto" w:fill="F2F7FB"/>
            <w:tcMar>
              <w:top w:w="60" w:type="dxa"/>
              <w:left w:w="90" w:type="dxa"/>
              <w:bottom w:w="60" w:type="dxa"/>
              <w:right w:w="90" w:type="dxa"/>
            </w:tcMar>
          </w:tcPr>
          <w:p w14:paraId="71EC82E4" w14:textId="77777777" w:rsidR="009B3738" w:rsidRDefault="00000000">
            <w:r>
              <w:rPr>
                <w:color w:val="000000"/>
                <w:sz w:val="18"/>
                <w:szCs w:val="18"/>
              </w:rPr>
              <w:t>Statistical forecast pilot on top 300 SKUs, monthly S&amp;OP, supplier scorecards, control tower alerts</w:t>
            </w:r>
          </w:p>
        </w:tc>
        <w:tc>
          <w:tcPr>
            <w:tcW w:w="3826" w:type="dxa"/>
            <w:tcBorders>
              <w:top w:val="single" w:sz="4" w:space="0" w:color="A6A6A6"/>
              <w:left w:val="single" w:sz="4" w:space="0" w:color="A6A6A6"/>
              <w:bottom w:val="single" w:sz="4" w:space="0" w:color="A6A6A6"/>
              <w:right w:val="single" w:sz="4" w:space="0" w:color="A6A6A6"/>
            </w:tcBorders>
            <w:shd w:val="clear" w:color="auto" w:fill="F2F7FB"/>
            <w:tcMar>
              <w:top w:w="60" w:type="dxa"/>
              <w:left w:w="90" w:type="dxa"/>
              <w:bottom w:w="60" w:type="dxa"/>
              <w:right w:w="90" w:type="dxa"/>
            </w:tcMar>
          </w:tcPr>
          <w:p w14:paraId="19666170" w14:textId="77777777" w:rsidR="009B3738" w:rsidRDefault="00000000">
            <w:r>
              <w:rPr>
                <w:color w:val="000000"/>
                <w:sz w:val="18"/>
                <w:szCs w:val="18"/>
              </w:rPr>
              <w:t>Forecast accuracy above 72%; top 10 suppliers on scorecards</w:t>
            </w:r>
          </w:p>
        </w:tc>
      </w:tr>
      <w:tr w:rsidR="009B3738" w14:paraId="3A3DA945" w14:textId="77777777">
        <w:tblPrEx>
          <w:tblCellMar>
            <w:top w:w="0" w:type="dxa"/>
            <w:bottom w:w="0" w:type="dxa"/>
          </w:tblCellMar>
        </w:tblPrEx>
        <w:tc>
          <w:tcPr>
            <w:tcW w:w="1900" w:type="dxa"/>
            <w:tcBorders>
              <w:top w:val="single" w:sz="4" w:space="0" w:color="A6A6A6"/>
              <w:left w:val="single" w:sz="4" w:space="0" w:color="A6A6A6"/>
              <w:bottom w:val="single" w:sz="4" w:space="0" w:color="A6A6A6"/>
              <w:right w:val="single" w:sz="4" w:space="0" w:color="A6A6A6"/>
            </w:tcBorders>
            <w:shd w:val="clear" w:color="auto" w:fill="FFFFFF"/>
            <w:tcMar>
              <w:top w:w="60" w:type="dxa"/>
              <w:left w:w="90" w:type="dxa"/>
              <w:bottom w:w="60" w:type="dxa"/>
              <w:right w:w="90" w:type="dxa"/>
            </w:tcMar>
          </w:tcPr>
          <w:p w14:paraId="3B97CD46" w14:textId="77777777" w:rsidR="009B3738" w:rsidRDefault="00000000">
            <w:r>
              <w:rPr>
                <w:color w:val="000000"/>
                <w:sz w:val="18"/>
                <w:szCs w:val="18"/>
              </w:rPr>
              <w:t>Phase 3: Months 9 to 18</w:t>
            </w:r>
          </w:p>
        </w:tc>
        <w:tc>
          <w:tcPr>
            <w:tcW w:w="3300" w:type="dxa"/>
            <w:tcBorders>
              <w:top w:val="single" w:sz="4" w:space="0" w:color="A6A6A6"/>
              <w:left w:val="single" w:sz="4" w:space="0" w:color="A6A6A6"/>
              <w:bottom w:val="single" w:sz="4" w:space="0" w:color="A6A6A6"/>
              <w:right w:val="single" w:sz="4" w:space="0" w:color="A6A6A6"/>
            </w:tcBorders>
            <w:shd w:val="clear" w:color="auto" w:fill="FFFFFF"/>
            <w:tcMar>
              <w:top w:w="60" w:type="dxa"/>
              <w:left w:w="90" w:type="dxa"/>
              <w:bottom w:w="60" w:type="dxa"/>
              <w:right w:w="90" w:type="dxa"/>
            </w:tcMar>
          </w:tcPr>
          <w:p w14:paraId="49AAD4EA" w14:textId="77777777" w:rsidR="009B3738" w:rsidRDefault="00000000">
            <w:r>
              <w:rPr>
                <w:color w:val="000000"/>
                <w:sz w:val="18"/>
                <w:szCs w:val="18"/>
              </w:rPr>
              <w:t>Transport management system, route redesign, dual sourcing, extension of forecasting to all SKUs</w:t>
            </w:r>
          </w:p>
        </w:tc>
        <w:tc>
          <w:tcPr>
            <w:tcW w:w="3826" w:type="dxa"/>
            <w:tcBorders>
              <w:top w:val="single" w:sz="4" w:space="0" w:color="A6A6A6"/>
              <w:left w:val="single" w:sz="4" w:space="0" w:color="A6A6A6"/>
              <w:bottom w:val="single" w:sz="4" w:space="0" w:color="A6A6A6"/>
              <w:right w:val="single" w:sz="4" w:space="0" w:color="A6A6A6"/>
            </w:tcBorders>
            <w:shd w:val="clear" w:color="auto" w:fill="FFFFFF"/>
            <w:tcMar>
              <w:top w:w="60" w:type="dxa"/>
              <w:left w:w="90" w:type="dxa"/>
              <w:bottom w:w="60" w:type="dxa"/>
              <w:right w:w="90" w:type="dxa"/>
            </w:tcMar>
          </w:tcPr>
          <w:p w14:paraId="39B6F0B9" w14:textId="77777777" w:rsidR="009B3738" w:rsidRDefault="00000000">
            <w:r>
              <w:rPr>
                <w:color w:val="000000"/>
                <w:sz w:val="18"/>
                <w:szCs w:val="18"/>
              </w:rPr>
              <w:t>Logistics cost near 9.5%; OTIF above 91%; turnover near 7x</w:t>
            </w:r>
          </w:p>
        </w:tc>
      </w:tr>
    </w:tbl>
    <w:p w14:paraId="6A93A184" w14:textId="77777777" w:rsidR="009B3738" w:rsidRDefault="00000000">
      <w:pPr>
        <w:spacing w:before="60" w:after="200"/>
        <w:jc w:val="center"/>
      </w:pPr>
      <w:r>
        <w:rPr>
          <w:i/>
          <w:iCs/>
          <w:color w:val="595959"/>
          <w:sz w:val="19"/>
          <w:szCs w:val="19"/>
        </w:rPr>
        <w:t>Table 6: Three-phase implementation roadmap</w:t>
      </w:r>
    </w:p>
    <w:p w14:paraId="3CA842E8" w14:textId="77777777" w:rsidR="009B3738" w:rsidRDefault="00000000">
      <w:pPr>
        <w:pStyle w:val="Heading2"/>
      </w:pPr>
      <w:r>
        <w:t>7.2 Target KPI Outcomes at 12 to 18 Months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1500"/>
        <w:gridCol w:w="1500"/>
        <w:gridCol w:w="3226"/>
      </w:tblGrid>
      <w:tr w:rsidR="009B3738" w14:paraId="452183EB" w14:textId="77777777">
        <w:tblPrEx>
          <w:tblCellMar>
            <w:top w:w="0" w:type="dxa"/>
            <w:bottom w:w="0" w:type="dxa"/>
          </w:tblCellMar>
        </w:tblPrEx>
        <w:trPr>
          <w:tblHeader/>
        </w:trPr>
        <w:tc>
          <w:tcPr>
            <w:tcW w:w="2800" w:type="dxa"/>
            <w:tcBorders>
              <w:top w:val="single" w:sz="4" w:space="0" w:color="A6A6A6"/>
              <w:left w:val="single" w:sz="4" w:space="0" w:color="A6A6A6"/>
              <w:bottom w:val="single" w:sz="4" w:space="0" w:color="A6A6A6"/>
              <w:right w:val="single" w:sz="4" w:space="0" w:color="A6A6A6"/>
            </w:tcBorders>
            <w:shd w:val="clear" w:color="auto" w:fill="1F4E79"/>
            <w:tcMar>
              <w:top w:w="60" w:type="dxa"/>
              <w:left w:w="90" w:type="dxa"/>
              <w:bottom w:w="60" w:type="dxa"/>
              <w:right w:w="90" w:type="dxa"/>
            </w:tcMar>
          </w:tcPr>
          <w:p w14:paraId="1E1BA516" w14:textId="77777777" w:rsidR="009B3738" w:rsidRDefault="00000000">
            <w:r>
              <w:rPr>
                <w:b/>
                <w:bCs/>
                <w:color w:val="FFFFFF"/>
                <w:sz w:val="19"/>
                <w:szCs w:val="19"/>
              </w:rPr>
              <w:t>KPI</w:t>
            </w:r>
          </w:p>
        </w:tc>
        <w:tc>
          <w:tcPr>
            <w:tcW w:w="1500" w:type="dxa"/>
            <w:tcBorders>
              <w:top w:val="single" w:sz="4" w:space="0" w:color="A6A6A6"/>
              <w:left w:val="single" w:sz="4" w:space="0" w:color="A6A6A6"/>
              <w:bottom w:val="single" w:sz="4" w:space="0" w:color="A6A6A6"/>
              <w:right w:val="single" w:sz="4" w:space="0" w:color="A6A6A6"/>
            </w:tcBorders>
            <w:shd w:val="clear" w:color="auto" w:fill="1F4E79"/>
            <w:tcMar>
              <w:top w:w="60" w:type="dxa"/>
              <w:left w:w="90" w:type="dxa"/>
              <w:bottom w:w="60" w:type="dxa"/>
              <w:right w:w="90" w:type="dxa"/>
            </w:tcMar>
          </w:tcPr>
          <w:p w14:paraId="2598F890" w14:textId="77777777" w:rsidR="009B3738" w:rsidRDefault="00000000">
            <w:r>
              <w:rPr>
                <w:b/>
                <w:bCs/>
                <w:color w:val="FFFFFF"/>
                <w:sz w:val="19"/>
                <w:szCs w:val="19"/>
              </w:rPr>
              <w:t>Current</w:t>
            </w:r>
          </w:p>
        </w:tc>
        <w:tc>
          <w:tcPr>
            <w:tcW w:w="1500" w:type="dxa"/>
            <w:tcBorders>
              <w:top w:val="single" w:sz="4" w:space="0" w:color="A6A6A6"/>
              <w:left w:val="single" w:sz="4" w:space="0" w:color="A6A6A6"/>
              <w:bottom w:val="single" w:sz="4" w:space="0" w:color="A6A6A6"/>
              <w:right w:val="single" w:sz="4" w:space="0" w:color="A6A6A6"/>
            </w:tcBorders>
            <w:shd w:val="clear" w:color="auto" w:fill="1F4E79"/>
            <w:tcMar>
              <w:top w:w="60" w:type="dxa"/>
              <w:left w:w="90" w:type="dxa"/>
              <w:bottom w:w="60" w:type="dxa"/>
              <w:right w:w="90" w:type="dxa"/>
            </w:tcMar>
          </w:tcPr>
          <w:p w14:paraId="78846F4C" w14:textId="77777777" w:rsidR="009B3738" w:rsidRDefault="00000000">
            <w:r>
              <w:rPr>
                <w:b/>
                <w:bCs/>
                <w:color w:val="FFFFFF"/>
                <w:sz w:val="19"/>
                <w:szCs w:val="19"/>
              </w:rPr>
              <w:t>Target</w:t>
            </w:r>
          </w:p>
        </w:tc>
        <w:tc>
          <w:tcPr>
            <w:tcW w:w="3226" w:type="dxa"/>
            <w:tcBorders>
              <w:top w:val="single" w:sz="4" w:space="0" w:color="A6A6A6"/>
              <w:left w:val="single" w:sz="4" w:space="0" w:color="A6A6A6"/>
              <w:bottom w:val="single" w:sz="4" w:space="0" w:color="A6A6A6"/>
              <w:right w:val="single" w:sz="4" w:space="0" w:color="A6A6A6"/>
            </w:tcBorders>
            <w:shd w:val="clear" w:color="auto" w:fill="1F4E79"/>
            <w:tcMar>
              <w:top w:w="60" w:type="dxa"/>
              <w:left w:w="90" w:type="dxa"/>
              <w:bottom w:w="60" w:type="dxa"/>
              <w:right w:w="90" w:type="dxa"/>
            </w:tcMar>
          </w:tcPr>
          <w:p w14:paraId="0BAE9F4A" w14:textId="77777777" w:rsidR="009B3738" w:rsidRDefault="00000000">
            <w:r>
              <w:rPr>
                <w:b/>
                <w:bCs/>
                <w:color w:val="FFFFFF"/>
                <w:sz w:val="19"/>
                <w:szCs w:val="19"/>
              </w:rPr>
              <w:t>Main driver</w:t>
            </w:r>
          </w:p>
        </w:tc>
      </w:tr>
      <w:tr w:rsidR="009B3738" w14:paraId="4F6E74F7" w14:textId="77777777">
        <w:tblPrEx>
          <w:tblCellMar>
            <w:top w:w="0" w:type="dxa"/>
            <w:bottom w:w="0" w:type="dxa"/>
          </w:tblCellMar>
        </w:tblPrEx>
        <w:tc>
          <w:tcPr>
            <w:tcW w:w="2800" w:type="dxa"/>
            <w:tcBorders>
              <w:top w:val="single" w:sz="4" w:space="0" w:color="A6A6A6"/>
              <w:left w:val="single" w:sz="4" w:space="0" w:color="A6A6A6"/>
              <w:bottom w:val="single" w:sz="4" w:space="0" w:color="A6A6A6"/>
              <w:right w:val="single" w:sz="4" w:space="0" w:color="A6A6A6"/>
            </w:tcBorders>
            <w:shd w:val="clear" w:color="auto" w:fill="FFFFFF"/>
            <w:tcMar>
              <w:top w:w="60" w:type="dxa"/>
              <w:left w:w="90" w:type="dxa"/>
              <w:bottom w:w="60" w:type="dxa"/>
              <w:right w:w="90" w:type="dxa"/>
            </w:tcMar>
          </w:tcPr>
          <w:p w14:paraId="31CEA464" w14:textId="77777777" w:rsidR="009B3738" w:rsidRDefault="00000000">
            <w:r>
              <w:rPr>
                <w:color w:val="000000"/>
                <w:sz w:val="19"/>
                <w:szCs w:val="19"/>
              </w:rPr>
              <w:t>OTIF</w:t>
            </w:r>
          </w:p>
        </w:tc>
        <w:tc>
          <w:tcPr>
            <w:tcW w:w="1500" w:type="dxa"/>
            <w:tcBorders>
              <w:top w:val="single" w:sz="4" w:space="0" w:color="A6A6A6"/>
              <w:left w:val="single" w:sz="4" w:space="0" w:color="A6A6A6"/>
              <w:bottom w:val="single" w:sz="4" w:space="0" w:color="A6A6A6"/>
              <w:right w:val="single" w:sz="4" w:space="0" w:color="A6A6A6"/>
            </w:tcBorders>
            <w:shd w:val="clear" w:color="auto" w:fill="FFFFFF"/>
            <w:tcMar>
              <w:top w:w="60" w:type="dxa"/>
              <w:left w:w="90" w:type="dxa"/>
              <w:bottom w:w="60" w:type="dxa"/>
              <w:right w:w="90" w:type="dxa"/>
            </w:tcMar>
          </w:tcPr>
          <w:p w14:paraId="5F8557E2" w14:textId="77777777" w:rsidR="009B3738" w:rsidRDefault="00000000">
            <w:r>
              <w:rPr>
                <w:color w:val="000000"/>
                <w:sz w:val="19"/>
                <w:szCs w:val="19"/>
              </w:rPr>
              <w:t>84%</w:t>
            </w:r>
          </w:p>
        </w:tc>
        <w:tc>
          <w:tcPr>
            <w:tcW w:w="1500" w:type="dxa"/>
            <w:tcBorders>
              <w:top w:val="single" w:sz="4" w:space="0" w:color="A6A6A6"/>
              <w:left w:val="single" w:sz="4" w:space="0" w:color="A6A6A6"/>
              <w:bottom w:val="single" w:sz="4" w:space="0" w:color="A6A6A6"/>
              <w:right w:val="single" w:sz="4" w:space="0" w:color="A6A6A6"/>
            </w:tcBorders>
            <w:shd w:val="clear" w:color="auto" w:fill="FFFFFF"/>
            <w:tcMar>
              <w:top w:w="60" w:type="dxa"/>
              <w:left w:w="90" w:type="dxa"/>
              <w:bottom w:w="60" w:type="dxa"/>
              <w:right w:w="90" w:type="dxa"/>
            </w:tcMar>
          </w:tcPr>
          <w:p w14:paraId="198964DA" w14:textId="77777777" w:rsidR="009B3738" w:rsidRDefault="00000000">
            <w:r>
              <w:rPr>
                <w:color w:val="000000"/>
                <w:sz w:val="19"/>
                <w:szCs w:val="19"/>
              </w:rPr>
              <w:t>91%</w:t>
            </w:r>
          </w:p>
        </w:tc>
        <w:tc>
          <w:tcPr>
            <w:tcW w:w="3226" w:type="dxa"/>
            <w:tcBorders>
              <w:top w:val="single" w:sz="4" w:space="0" w:color="A6A6A6"/>
              <w:left w:val="single" w:sz="4" w:space="0" w:color="A6A6A6"/>
              <w:bottom w:val="single" w:sz="4" w:space="0" w:color="A6A6A6"/>
              <w:right w:val="single" w:sz="4" w:space="0" w:color="A6A6A6"/>
            </w:tcBorders>
            <w:shd w:val="clear" w:color="auto" w:fill="FFFFFF"/>
            <w:tcMar>
              <w:top w:w="60" w:type="dxa"/>
              <w:left w:w="90" w:type="dxa"/>
              <w:bottom w:w="60" w:type="dxa"/>
              <w:right w:w="90" w:type="dxa"/>
            </w:tcMar>
          </w:tcPr>
          <w:p w14:paraId="46EEBA50" w14:textId="77777777" w:rsidR="009B3738" w:rsidRDefault="00000000">
            <w:r>
              <w:rPr>
                <w:color w:val="000000"/>
                <w:sz w:val="19"/>
                <w:szCs w:val="19"/>
              </w:rPr>
              <w:t>R1, R2, R3</w:t>
            </w:r>
          </w:p>
        </w:tc>
      </w:tr>
      <w:tr w:rsidR="009B3738" w14:paraId="77EECACC" w14:textId="77777777">
        <w:tblPrEx>
          <w:tblCellMar>
            <w:top w:w="0" w:type="dxa"/>
            <w:bottom w:w="0" w:type="dxa"/>
          </w:tblCellMar>
        </w:tblPrEx>
        <w:tc>
          <w:tcPr>
            <w:tcW w:w="2800" w:type="dxa"/>
            <w:tcBorders>
              <w:top w:val="single" w:sz="4" w:space="0" w:color="A6A6A6"/>
              <w:left w:val="single" w:sz="4" w:space="0" w:color="A6A6A6"/>
              <w:bottom w:val="single" w:sz="4" w:space="0" w:color="A6A6A6"/>
              <w:right w:val="single" w:sz="4" w:space="0" w:color="A6A6A6"/>
            </w:tcBorders>
            <w:shd w:val="clear" w:color="auto" w:fill="F2F7FB"/>
            <w:tcMar>
              <w:top w:w="60" w:type="dxa"/>
              <w:left w:w="90" w:type="dxa"/>
              <w:bottom w:w="60" w:type="dxa"/>
              <w:right w:w="90" w:type="dxa"/>
            </w:tcMar>
          </w:tcPr>
          <w:p w14:paraId="5B8A02C4" w14:textId="77777777" w:rsidR="009B3738" w:rsidRDefault="00000000">
            <w:r>
              <w:rPr>
                <w:color w:val="000000"/>
                <w:sz w:val="19"/>
                <w:szCs w:val="19"/>
              </w:rPr>
              <w:t>Perfect Order Rate</w:t>
            </w:r>
          </w:p>
        </w:tc>
        <w:tc>
          <w:tcPr>
            <w:tcW w:w="1500" w:type="dxa"/>
            <w:tcBorders>
              <w:top w:val="single" w:sz="4" w:space="0" w:color="A6A6A6"/>
              <w:left w:val="single" w:sz="4" w:space="0" w:color="A6A6A6"/>
              <w:bottom w:val="single" w:sz="4" w:space="0" w:color="A6A6A6"/>
              <w:right w:val="single" w:sz="4" w:space="0" w:color="A6A6A6"/>
            </w:tcBorders>
            <w:shd w:val="clear" w:color="auto" w:fill="F2F7FB"/>
            <w:tcMar>
              <w:top w:w="60" w:type="dxa"/>
              <w:left w:w="90" w:type="dxa"/>
              <w:bottom w:w="60" w:type="dxa"/>
              <w:right w:w="90" w:type="dxa"/>
            </w:tcMar>
          </w:tcPr>
          <w:p w14:paraId="58990DA4" w14:textId="77777777" w:rsidR="009B3738" w:rsidRDefault="00000000">
            <w:r>
              <w:rPr>
                <w:color w:val="000000"/>
                <w:sz w:val="19"/>
                <w:szCs w:val="19"/>
              </w:rPr>
              <w:t>87%</w:t>
            </w:r>
          </w:p>
        </w:tc>
        <w:tc>
          <w:tcPr>
            <w:tcW w:w="1500" w:type="dxa"/>
            <w:tcBorders>
              <w:top w:val="single" w:sz="4" w:space="0" w:color="A6A6A6"/>
              <w:left w:val="single" w:sz="4" w:space="0" w:color="A6A6A6"/>
              <w:bottom w:val="single" w:sz="4" w:space="0" w:color="A6A6A6"/>
              <w:right w:val="single" w:sz="4" w:space="0" w:color="A6A6A6"/>
            </w:tcBorders>
            <w:shd w:val="clear" w:color="auto" w:fill="F2F7FB"/>
            <w:tcMar>
              <w:top w:w="60" w:type="dxa"/>
              <w:left w:w="90" w:type="dxa"/>
              <w:bottom w:w="60" w:type="dxa"/>
              <w:right w:w="90" w:type="dxa"/>
            </w:tcMar>
          </w:tcPr>
          <w:p w14:paraId="02AD30C3" w14:textId="77777777" w:rsidR="009B3738" w:rsidRDefault="00000000">
            <w:r>
              <w:rPr>
                <w:color w:val="000000"/>
                <w:sz w:val="19"/>
                <w:szCs w:val="19"/>
              </w:rPr>
              <w:t>92%</w:t>
            </w:r>
          </w:p>
        </w:tc>
        <w:tc>
          <w:tcPr>
            <w:tcW w:w="3226" w:type="dxa"/>
            <w:tcBorders>
              <w:top w:val="single" w:sz="4" w:space="0" w:color="A6A6A6"/>
              <w:left w:val="single" w:sz="4" w:space="0" w:color="A6A6A6"/>
              <w:bottom w:val="single" w:sz="4" w:space="0" w:color="A6A6A6"/>
              <w:right w:val="single" w:sz="4" w:space="0" w:color="A6A6A6"/>
            </w:tcBorders>
            <w:shd w:val="clear" w:color="auto" w:fill="F2F7FB"/>
            <w:tcMar>
              <w:top w:w="60" w:type="dxa"/>
              <w:left w:w="90" w:type="dxa"/>
              <w:bottom w:w="60" w:type="dxa"/>
              <w:right w:w="90" w:type="dxa"/>
            </w:tcMar>
          </w:tcPr>
          <w:p w14:paraId="493456B2" w14:textId="77777777" w:rsidR="009B3738" w:rsidRDefault="00000000">
            <w:r>
              <w:rPr>
                <w:color w:val="000000"/>
                <w:sz w:val="19"/>
                <w:szCs w:val="19"/>
              </w:rPr>
              <w:t>R1, R3, R5, R7</w:t>
            </w:r>
          </w:p>
        </w:tc>
      </w:tr>
      <w:tr w:rsidR="009B3738" w14:paraId="4621270E" w14:textId="77777777">
        <w:tblPrEx>
          <w:tblCellMar>
            <w:top w:w="0" w:type="dxa"/>
            <w:bottom w:w="0" w:type="dxa"/>
          </w:tblCellMar>
        </w:tblPrEx>
        <w:tc>
          <w:tcPr>
            <w:tcW w:w="2800" w:type="dxa"/>
            <w:tcBorders>
              <w:top w:val="single" w:sz="4" w:space="0" w:color="A6A6A6"/>
              <w:left w:val="single" w:sz="4" w:space="0" w:color="A6A6A6"/>
              <w:bottom w:val="single" w:sz="4" w:space="0" w:color="A6A6A6"/>
              <w:right w:val="single" w:sz="4" w:space="0" w:color="A6A6A6"/>
            </w:tcBorders>
            <w:shd w:val="clear" w:color="auto" w:fill="FFFFFF"/>
            <w:tcMar>
              <w:top w:w="60" w:type="dxa"/>
              <w:left w:w="90" w:type="dxa"/>
              <w:bottom w:w="60" w:type="dxa"/>
              <w:right w:w="90" w:type="dxa"/>
            </w:tcMar>
          </w:tcPr>
          <w:p w14:paraId="1EE6E6AD" w14:textId="77777777" w:rsidR="009B3738" w:rsidRDefault="00000000">
            <w:r>
              <w:rPr>
                <w:color w:val="000000"/>
                <w:sz w:val="19"/>
                <w:szCs w:val="19"/>
              </w:rPr>
              <w:t>Forecast Accuracy</w:t>
            </w:r>
          </w:p>
        </w:tc>
        <w:tc>
          <w:tcPr>
            <w:tcW w:w="1500" w:type="dxa"/>
            <w:tcBorders>
              <w:top w:val="single" w:sz="4" w:space="0" w:color="A6A6A6"/>
              <w:left w:val="single" w:sz="4" w:space="0" w:color="A6A6A6"/>
              <w:bottom w:val="single" w:sz="4" w:space="0" w:color="A6A6A6"/>
              <w:right w:val="single" w:sz="4" w:space="0" w:color="A6A6A6"/>
            </w:tcBorders>
            <w:shd w:val="clear" w:color="auto" w:fill="FFFFFF"/>
            <w:tcMar>
              <w:top w:w="60" w:type="dxa"/>
              <w:left w:w="90" w:type="dxa"/>
              <w:bottom w:w="60" w:type="dxa"/>
              <w:right w:w="90" w:type="dxa"/>
            </w:tcMar>
          </w:tcPr>
          <w:p w14:paraId="1B2C4A59" w14:textId="77777777" w:rsidR="009B3738" w:rsidRDefault="00000000">
            <w:r>
              <w:rPr>
                <w:color w:val="000000"/>
                <w:sz w:val="19"/>
                <w:szCs w:val="19"/>
              </w:rPr>
              <w:t>68%</w:t>
            </w:r>
          </w:p>
        </w:tc>
        <w:tc>
          <w:tcPr>
            <w:tcW w:w="1500" w:type="dxa"/>
            <w:tcBorders>
              <w:top w:val="single" w:sz="4" w:space="0" w:color="A6A6A6"/>
              <w:left w:val="single" w:sz="4" w:space="0" w:color="A6A6A6"/>
              <w:bottom w:val="single" w:sz="4" w:space="0" w:color="A6A6A6"/>
              <w:right w:val="single" w:sz="4" w:space="0" w:color="A6A6A6"/>
            </w:tcBorders>
            <w:shd w:val="clear" w:color="auto" w:fill="FFFFFF"/>
            <w:tcMar>
              <w:top w:w="60" w:type="dxa"/>
              <w:left w:w="90" w:type="dxa"/>
              <w:bottom w:w="60" w:type="dxa"/>
              <w:right w:w="90" w:type="dxa"/>
            </w:tcMar>
          </w:tcPr>
          <w:p w14:paraId="0D2D0776" w14:textId="77777777" w:rsidR="009B3738" w:rsidRDefault="00000000">
            <w:r>
              <w:rPr>
                <w:color w:val="000000"/>
                <w:sz w:val="19"/>
                <w:szCs w:val="19"/>
              </w:rPr>
              <w:t>76%</w:t>
            </w:r>
          </w:p>
        </w:tc>
        <w:tc>
          <w:tcPr>
            <w:tcW w:w="3226" w:type="dxa"/>
            <w:tcBorders>
              <w:top w:val="single" w:sz="4" w:space="0" w:color="A6A6A6"/>
              <w:left w:val="single" w:sz="4" w:space="0" w:color="A6A6A6"/>
              <w:bottom w:val="single" w:sz="4" w:space="0" w:color="A6A6A6"/>
              <w:right w:val="single" w:sz="4" w:space="0" w:color="A6A6A6"/>
            </w:tcBorders>
            <w:shd w:val="clear" w:color="auto" w:fill="FFFFFF"/>
            <w:tcMar>
              <w:top w:w="60" w:type="dxa"/>
              <w:left w:w="90" w:type="dxa"/>
              <w:bottom w:w="60" w:type="dxa"/>
              <w:right w:w="90" w:type="dxa"/>
            </w:tcMar>
          </w:tcPr>
          <w:p w14:paraId="1383E627" w14:textId="77777777" w:rsidR="009B3738" w:rsidRDefault="00000000">
            <w:r>
              <w:rPr>
                <w:color w:val="000000"/>
                <w:sz w:val="19"/>
                <w:szCs w:val="19"/>
              </w:rPr>
              <w:t>R1</w:t>
            </w:r>
          </w:p>
        </w:tc>
      </w:tr>
      <w:tr w:rsidR="009B3738" w14:paraId="0D34733A" w14:textId="77777777">
        <w:tblPrEx>
          <w:tblCellMar>
            <w:top w:w="0" w:type="dxa"/>
            <w:bottom w:w="0" w:type="dxa"/>
          </w:tblCellMar>
        </w:tblPrEx>
        <w:tc>
          <w:tcPr>
            <w:tcW w:w="2800" w:type="dxa"/>
            <w:tcBorders>
              <w:top w:val="single" w:sz="4" w:space="0" w:color="A6A6A6"/>
              <w:left w:val="single" w:sz="4" w:space="0" w:color="A6A6A6"/>
              <w:bottom w:val="single" w:sz="4" w:space="0" w:color="A6A6A6"/>
              <w:right w:val="single" w:sz="4" w:space="0" w:color="A6A6A6"/>
            </w:tcBorders>
            <w:shd w:val="clear" w:color="auto" w:fill="F2F7FB"/>
            <w:tcMar>
              <w:top w:w="60" w:type="dxa"/>
              <w:left w:w="90" w:type="dxa"/>
              <w:bottom w:w="60" w:type="dxa"/>
              <w:right w:w="90" w:type="dxa"/>
            </w:tcMar>
          </w:tcPr>
          <w:p w14:paraId="00E42978" w14:textId="77777777" w:rsidR="009B3738" w:rsidRDefault="00000000">
            <w:r>
              <w:rPr>
                <w:color w:val="000000"/>
                <w:sz w:val="19"/>
                <w:szCs w:val="19"/>
              </w:rPr>
              <w:t>Inventory Turnover</w:t>
            </w:r>
          </w:p>
        </w:tc>
        <w:tc>
          <w:tcPr>
            <w:tcW w:w="1500" w:type="dxa"/>
            <w:tcBorders>
              <w:top w:val="single" w:sz="4" w:space="0" w:color="A6A6A6"/>
              <w:left w:val="single" w:sz="4" w:space="0" w:color="A6A6A6"/>
              <w:bottom w:val="single" w:sz="4" w:space="0" w:color="A6A6A6"/>
              <w:right w:val="single" w:sz="4" w:space="0" w:color="A6A6A6"/>
            </w:tcBorders>
            <w:shd w:val="clear" w:color="auto" w:fill="F2F7FB"/>
            <w:tcMar>
              <w:top w:w="60" w:type="dxa"/>
              <w:left w:w="90" w:type="dxa"/>
              <w:bottom w:w="60" w:type="dxa"/>
              <w:right w:w="90" w:type="dxa"/>
            </w:tcMar>
          </w:tcPr>
          <w:p w14:paraId="4C178ADA" w14:textId="77777777" w:rsidR="009B3738" w:rsidRDefault="00000000">
            <w:r>
              <w:rPr>
                <w:color w:val="000000"/>
                <w:sz w:val="19"/>
                <w:szCs w:val="19"/>
              </w:rPr>
              <w:t>5.2x</w:t>
            </w:r>
          </w:p>
        </w:tc>
        <w:tc>
          <w:tcPr>
            <w:tcW w:w="1500" w:type="dxa"/>
            <w:tcBorders>
              <w:top w:val="single" w:sz="4" w:space="0" w:color="A6A6A6"/>
              <w:left w:val="single" w:sz="4" w:space="0" w:color="A6A6A6"/>
              <w:bottom w:val="single" w:sz="4" w:space="0" w:color="A6A6A6"/>
              <w:right w:val="single" w:sz="4" w:space="0" w:color="A6A6A6"/>
            </w:tcBorders>
            <w:shd w:val="clear" w:color="auto" w:fill="F2F7FB"/>
            <w:tcMar>
              <w:top w:w="60" w:type="dxa"/>
              <w:left w:w="90" w:type="dxa"/>
              <w:bottom w:w="60" w:type="dxa"/>
              <w:right w:w="90" w:type="dxa"/>
            </w:tcMar>
          </w:tcPr>
          <w:p w14:paraId="3E36B81F" w14:textId="77777777" w:rsidR="009B3738" w:rsidRDefault="00000000">
            <w:r>
              <w:rPr>
                <w:color w:val="000000"/>
                <w:sz w:val="19"/>
                <w:szCs w:val="19"/>
              </w:rPr>
              <w:t>7.0x</w:t>
            </w:r>
          </w:p>
        </w:tc>
        <w:tc>
          <w:tcPr>
            <w:tcW w:w="3226" w:type="dxa"/>
            <w:tcBorders>
              <w:top w:val="single" w:sz="4" w:space="0" w:color="A6A6A6"/>
              <w:left w:val="single" w:sz="4" w:space="0" w:color="A6A6A6"/>
              <w:bottom w:val="single" w:sz="4" w:space="0" w:color="A6A6A6"/>
              <w:right w:val="single" w:sz="4" w:space="0" w:color="A6A6A6"/>
            </w:tcBorders>
            <w:shd w:val="clear" w:color="auto" w:fill="F2F7FB"/>
            <w:tcMar>
              <w:top w:w="60" w:type="dxa"/>
              <w:left w:w="90" w:type="dxa"/>
              <w:bottom w:w="60" w:type="dxa"/>
              <w:right w:w="90" w:type="dxa"/>
            </w:tcMar>
          </w:tcPr>
          <w:p w14:paraId="544243EB" w14:textId="77777777" w:rsidR="009B3738" w:rsidRDefault="00000000">
            <w:r>
              <w:rPr>
                <w:color w:val="000000"/>
                <w:sz w:val="19"/>
                <w:szCs w:val="19"/>
              </w:rPr>
              <w:t>R3, R1</w:t>
            </w:r>
          </w:p>
        </w:tc>
      </w:tr>
      <w:tr w:rsidR="009B3738" w14:paraId="30D4823F" w14:textId="77777777">
        <w:tblPrEx>
          <w:tblCellMar>
            <w:top w:w="0" w:type="dxa"/>
            <w:bottom w:w="0" w:type="dxa"/>
          </w:tblCellMar>
        </w:tblPrEx>
        <w:tc>
          <w:tcPr>
            <w:tcW w:w="2800" w:type="dxa"/>
            <w:tcBorders>
              <w:top w:val="single" w:sz="4" w:space="0" w:color="A6A6A6"/>
              <w:left w:val="single" w:sz="4" w:space="0" w:color="A6A6A6"/>
              <w:bottom w:val="single" w:sz="4" w:space="0" w:color="A6A6A6"/>
              <w:right w:val="single" w:sz="4" w:space="0" w:color="A6A6A6"/>
            </w:tcBorders>
            <w:shd w:val="clear" w:color="auto" w:fill="FFFFFF"/>
            <w:tcMar>
              <w:top w:w="60" w:type="dxa"/>
              <w:left w:w="90" w:type="dxa"/>
              <w:bottom w:w="60" w:type="dxa"/>
              <w:right w:w="90" w:type="dxa"/>
            </w:tcMar>
          </w:tcPr>
          <w:p w14:paraId="30353E48" w14:textId="77777777" w:rsidR="009B3738" w:rsidRDefault="00000000">
            <w:r>
              <w:rPr>
                <w:color w:val="000000"/>
                <w:sz w:val="19"/>
                <w:szCs w:val="19"/>
              </w:rPr>
              <w:t>Cash-to-Cash Cycle</w:t>
            </w:r>
          </w:p>
        </w:tc>
        <w:tc>
          <w:tcPr>
            <w:tcW w:w="1500" w:type="dxa"/>
            <w:tcBorders>
              <w:top w:val="single" w:sz="4" w:space="0" w:color="A6A6A6"/>
              <w:left w:val="single" w:sz="4" w:space="0" w:color="A6A6A6"/>
              <w:bottom w:val="single" w:sz="4" w:space="0" w:color="A6A6A6"/>
              <w:right w:val="single" w:sz="4" w:space="0" w:color="A6A6A6"/>
            </w:tcBorders>
            <w:shd w:val="clear" w:color="auto" w:fill="FFFFFF"/>
            <w:tcMar>
              <w:top w:w="60" w:type="dxa"/>
              <w:left w:w="90" w:type="dxa"/>
              <w:bottom w:w="60" w:type="dxa"/>
              <w:right w:w="90" w:type="dxa"/>
            </w:tcMar>
          </w:tcPr>
          <w:p w14:paraId="05A30B34" w14:textId="77777777" w:rsidR="009B3738" w:rsidRDefault="00000000">
            <w:r>
              <w:rPr>
                <w:color w:val="000000"/>
                <w:sz w:val="19"/>
                <w:szCs w:val="19"/>
              </w:rPr>
              <w:t>62 days</w:t>
            </w:r>
          </w:p>
        </w:tc>
        <w:tc>
          <w:tcPr>
            <w:tcW w:w="1500" w:type="dxa"/>
            <w:tcBorders>
              <w:top w:val="single" w:sz="4" w:space="0" w:color="A6A6A6"/>
              <w:left w:val="single" w:sz="4" w:space="0" w:color="A6A6A6"/>
              <w:bottom w:val="single" w:sz="4" w:space="0" w:color="A6A6A6"/>
              <w:right w:val="single" w:sz="4" w:space="0" w:color="A6A6A6"/>
            </w:tcBorders>
            <w:shd w:val="clear" w:color="auto" w:fill="FFFFFF"/>
            <w:tcMar>
              <w:top w:w="60" w:type="dxa"/>
              <w:left w:w="90" w:type="dxa"/>
              <w:bottom w:w="60" w:type="dxa"/>
              <w:right w:w="90" w:type="dxa"/>
            </w:tcMar>
          </w:tcPr>
          <w:p w14:paraId="5AF18276" w14:textId="77777777" w:rsidR="009B3738" w:rsidRDefault="00000000">
            <w:r>
              <w:rPr>
                <w:color w:val="000000"/>
                <w:sz w:val="19"/>
                <w:szCs w:val="19"/>
              </w:rPr>
              <w:t>50 days</w:t>
            </w:r>
          </w:p>
        </w:tc>
        <w:tc>
          <w:tcPr>
            <w:tcW w:w="3226" w:type="dxa"/>
            <w:tcBorders>
              <w:top w:val="single" w:sz="4" w:space="0" w:color="A6A6A6"/>
              <w:left w:val="single" w:sz="4" w:space="0" w:color="A6A6A6"/>
              <w:bottom w:val="single" w:sz="4" w:space="0" w:color="A6A6A6"/>
              <w:right w:val="single" w:sz="4" w:space="0" w:color="A6A6A6"/>
            </w:tcBorders>
            <w:shd w:val="clear" w:color="auto" w:fill="FFFFFF"/>
            <w:tcMar>
              <w:top w:w="60" w:type="dxa"/>
              <w:left w:w="90" w:type="dxa"/>
              <w:bottom w:w="60" w:type="dxa"/>
              <w:right w:w="90" w:type="dxa"/>
            </w:tcMar>
          </w:tcPr>
          <w:p w14:paraId="7E26C806" w14:textId="77777777" w:rsidR="009B3738" w:rsidRDefault="00000000">
            <w:r>
              <w:rPr>
                <w:color w:val="000000"/>
                <w:sz w:val="19"/>
                <w:szCs w:val="19"/>
              </w:rPr>
              <w:t>R3, R2</w:t>
            </w:r>
          </w:p>
        </w:tc>
      </w:tr>
      <w:tr w:rsidR="009B3738" w14:paraId="093D1E22" w14:textId="77777777">
        <w:tblPrEx>
          <w:tblCellMar>
            <w:top w:w="0" w:type="dxa"/>
            <w:bottom w:w="0" w:type="dxa"/>
          </w:tblCellMar>
        </w:tblPrEx>
        <w:tc>
          <w:tcPr>
            <w:tcW w:w="2800" w:type="dxa"/>
            <w:tcBorders>
              <w:top w:val="single" w:sz="4" w:space="0" w:color="A6A6A6"/>
              <w:left w:val="single" w:sz="4" w:space="0" w:color="A6A6A6"/>
              <w:bottom w:val="single" w:sz="4" w:space="0" w:color="A6A6A6"/>
              <w:right w:val="single" w:sz="4" w:space="0" w:color="A6A6A6"/>
            </w:tcBorders>
            <w:shd w:val="clear" w:color="auto" w:fill="F2F7FB"/>
            <w:tcMar>
              <w:top w:w="60" w:type="dxa"/>
              <w:left w:w="90" w:type="dxa"/>
              <w:bottom w:w="60" w:type="dxa"/>
              <w:right w:w="90" w:type="dxa"/>
            </w:tcMar>
          </w:tcPr>
          <w:p w14:paraId="63956C4C" w14:textId="77777777" w:rsidR="009B3738" w:rsidRDefault="00000000">
            <w:r>
              <w:rPr>
                <w:color w:val="000000"/>
                <w:sz w:val="19"/>
                <w:szCs w:val="19"/>
              </w:rPr>
              <w:t>Logistics Cost %</w:t>
            </w:r>
          </w:p>
        </w:tc>
        <w:tc>
          <w:tcPr>
            <w:tcW w:w="1500" w:type="dxa"/>
            <w:tcBorders>
              <w:top w:val="single" w:sz="4" w:space="0" w:color="A6A6A6"/>
              <w:left w:val="single" w:sz="4" w:space="0" w:color="A6A6A6"/>
              <w:bottom w:val="single" w:sz="4" w:space="0" w:color="A6A6A6"/>
              <w:right w:val="single" w:sz="4" w:space="0" w:color="A6A6A6"/>
            </w:tcBorders>
            <w:shd w:val="clear" w:color="auto" w:fill="F2F7FB"/>
            <w:tcMar>
              <w:top w:w="60" w:type="dxa"/>
              <w:left w:w="90" w:type="dxa"/>
              <w:bottom w:w="60" w:type="dxa"/>
              <w:right w:w="90" w:type="dxa"/>
            </w:tcMar>
          </w:tcPr>
          <w:p w14:paraId="76688F66" w14:textId="77777777" w:rsidR="009B3738" w:rsidRDefault="00000000">
            <w:r>
              <w:rPr>
                <w:color w:val="000000"/>
                <w:sz w:val="19"/>
                <w:szCs w:val="19"/>
              </w:rPr>
              <w:t>11.5%</w:t>
            </w:r>
          </w:p>
        </w:tc>
        <w:tc>
          <w:tcPr>
            <w:tcW w:w="1500" w:type="dxa"/>
            <w:tcBorders>
              <w:top w:val="single" w:sz="4" w:space="0" w:color="A6A6A6"/>
              <w:left w:val="single" w:sz="4" w:space="0" w:color="A6A6A6"/>
              <w:bottom w:val="single" w:sz="4" w:space="0" w:color="A6A6A6"/>
              <w:right w:val="single" w:sz="4" w:space="0" w:color="A6A6A6"/>
            </w:tcBorders>
            <w:shd w:val="clear" w:color="auto" w:fill="F2F7FB"/>
            <w:tcMar>
              <w:top w:w="60" w:type="dxa"/>
              <w:left w:w="90" w:type="dxa"/>
              <w:bottom w:w="60" w:type="dxa"/>
              <w:right w:w="90" w:type="dxa"/>
            </w:tcMar>
          </w:tcPr>
          <w:p w14:paraId="24523C8F" w14:textId="77777777" w:rsidR="009B3738" w:rsidRDefault="00000000">
            <w:r>
              <w:rPr>
                <w:color w:val="000000"/>
                <w:sz w:val="19"/>
                <w:szCs w:val="19"/>
              </w:rPr>
              <w:t>9.5%</w:t>
            </w:r>
          </w:p>
        </w:tc>
        <w:tc>
          <w:tcPr>
            <w:tcW w:w="3226" w:type="dxa"/>
            <w:tcBorders>
              <w:top w:val="single" w:sz="4" w:space="0" w:color="A6A6A6"/>
              <w:left w:val="single" w:sz="4" w:space="0" w:color="A6A6A6"/>
              <w:bottom w:val="single" w:sz="4" w:space="0" w:color="A6A6A6"/>
              <w:right w:val="single" w:sz="4" w:space="0" w:color="A6A6A6"/>
            </w:tcBorders>
            <w:shd w:val="clear" w:color="auto" w:fill="F2F7FB"/>
            <w:tcMar>
              <w:top w:w="60" w:type="dxa"/>
              <w:left w:w="90" w:type="dxa"/>
              <w:bottom w:w="60" w:type="dxa"/>
              <w:right w:w="90" w:type="dxa"/>
            </w:tcMar>
          </w:tcPr>
          <w:p w14:paraId="01EA0136" w14:textId="77777777" w:rsidR="009B3738" w:rsidRDefault="00000000">
            <w:r>
              <w:rPr>
                <w:color w:val="000000"/>
                <w:sz w:val="19"/>
                <w:szCs w:val="19"/>
              </w:rPr>
              <w:t>R4, R2</w:t>
            </w:r>
          </w:p>
        </w:tc>
      </w:tr>
      <w:tr w:rsidR="009B3738" w14:paraId="33B5F0E0" w14:textId="77777777">
        <w:tblPrEx>
          <w:tblCellMar>
            <w:top w:w="0" w:type="dxa"/>
            <w:bottom w:w="0" w:type="dxa"/>
          </w:tblCellMar>
        </w:tblPrEx>
        <w:tc>
          <w:tcPr>
            <w:tcW w:w="2800" w:type="dxa"/>
            <w:tcBorders>
              <w:top w:val="single" w:sz="4" w:space="0" w:color="A6A6A6"/>
              <w:left w:val="single" w:sz="4" w:space="0" w:color="A6A6A6"/>
              <w:bottom w:val="single" w:sz="4" w:space="0" w:color="A6A6A6"/>
              <w:right w:val="single" w:sz="4" w:space="0" w:color="A6A6A6"/>
            </w:tcBorders>
            <w:shd w:val="clear" w:color="auto" w:fill="FFFFFF"/>
            <w:tcMar>
              <w:top w:w="60" w:type="dxa"/>
              <w:left w:w="90" w:type="dxa"/>
              <w:bottom w:w="60" w:type="dxa"/>
              <w:right w:w="90" w:type="dxa"/>
            </w:tcMar>
          </w:tcPr>
          <w:p w14:paraId="08B9A399" w14:textId="77777777" w:rsidR="009B3738" w:rsidRDefault="00000000">
            <w:r>
              <w:rPr>
                <w:color w:val="000000"/>
                <w:sz w:val="19"/>
                <w:szCs w:val="19"/>
              </w:rPr>
              <w:t>Order Cycle Time</w:t>
            </w:r>
          </w:p>
        </w:tc>
        <w:tc>
          <w:tcPr>
            <w:tcW w:w="1500" w:type="dxa"/>
            <w:tcBorders>
              <w:top w:val="single" w:sz="4" w:space="0" w:color="A6A6A6"/>
              <w:left w:val="single" w:sz="4" w:space="0" w:color="A6A6A6"/>
              <w:bottom w:val="single" w:sz="4" w:space="0" w:color="A6A6A6"/>
              <w:right w:val="single" w:sz="4" w:space="0" w:color="A6A6A6"/>
            </w:tcBorders>
            <w:shd w:val="clear" w:color="auto" w:fill="FFFFFF"/>
            <w:tcMar>
              <w:top w:w="60" w:type="dxa"/>
              <w:left w:w="90" w:type="dxa"/>
              <w:bottom w:w="60" w:type="dxa"/>
              <w:right w:w="90" w:type="dxa"/>
            </w:tcMar>
          </w:tcPr>
          <w:p w14:paraId="54C5D341" w14:textId="77777777" w:rsidR="009B3738" w:rsidRDefault="00000000">
            <w:r>
              <w:rPr>
                <w:color w:val="000000"/>
                <w:sz w:val="19"/>
                <w:szCs w:val="19"/>
              </w:rPr>
              <w:t>6.8 days</w:t>
            </w:r>
          </w:p>
        </w:tc>
        <w:tc>
          <w:tcPr>
            <w:tcW w:w="1500" w:type="dxa"/>
            <w:tcBorders>
              <w:top w:val="single" w:sz="4" w:space="0" w:color="A6A6A6"/>
              <w:left w:val="single" w:sz="4" w:space="0" w:color="A6A6A6"/>
              <w:bottom w:val="single" w:sz="4" w:space="0" w:color="A6A6A6"/>
              <w:right w:val="single" w:sz="4" w:space="0" w:color="A6A6A6"/>
            </w:tcBorders>
            <w:shd w:val="clear" w:color="auto" w:fill="FFFFFF"/>
            <w:tcMar>
              <w:top w:w="60" w:type="dxa"/>
              <w:left w:w="90" w:type="dxa"/>
              <w:bottom w:w="60" w:type="dxa"/>
              <w:right w:w="90" w:type="dxa"/>
            </w:tcMar>
          </w:tcPr>
          <w:p w14:paraId="4446356A" w14:textId="77777777" w:rsidR="009B3738" w:rsidRDefault="00000000">
            <w:r>
              <w:rPr>
                <w:color w:val="000000"/>
                <w:sz w:val="19"/>
                <w:szCs w:val="19"/>
              </w:rPr>
              <w:t>5.0 days</w:t>
            </w:r>
          </w:p>
        </w:tc>
        <w:tc>
          <w:tcPr>
            <w:tcW w:w="3226" w:type="dxa"/>
            <w:tcBorders>
              <w:top w:val="single" w:sz="4" w:space="0" w:color="A6A6A6"/>
              <w:left w:val="single" w:sz="4" w:space="0" w:color="A6A6A6"/>
              <w:bottom w:val="single" w:sz="4" w:space="0" w:color="A6A6A6"/>
              <w:right w:val="single" w:sz="4" w:space="0" w:color="A6A6A6"/>
            </w:tcBorders>
            <w:shd w:val="clear" w:color="auto" w:fill="FFFFFF"/>
            <w:tcMar>
              <w:top w:w="60" w:type="dxa"/>
              <w:left w:w="90" w:type="dxa"/>
              <w:bottom w:w="60" w:type="dxa"/>
              <w:right w:w="90" w:type="dxa"/>
            </w:tcMar>
          </w:tcPr>
          <w:p w14:paraId="547BFD6C" w14:textId="77777777" w:rsidR="009B3738" w:rsidRDefault="00000000">
            <w:r>
              <w:rPr>
                <w:color w:val="000000"/>
                <w:sz w:val="19"/>
                <w:szCs w:val="19"/>
              </w:rPr>
              <w:t>R5, R4</w:t>
            </w:r>
          </w:p>
        </w:tc>
      </w:tr>
    </w:tbl>
    <w:p w14:paraId="65E696A4" w14:textId="77777777" w:rsidR="009B3738" w:rsidRDefault="00000000">
      <w:pPr>
        <w:spacing w:before="60" w:after="200"/>
        <w:jc w:val="center"/>
      </w:pPr>
      <w:r>
        <w:rPr>
          <w:i/>
          <w:iCs/>
          <w:color w:val="595959"/>
          <w:sz w:val="19"/>
          <w:szCs w:val="19"/>
        </w:rPr>
        <w:t>Table 7: Targets for the improvement programme</w:t>
      </w:r>
    </w:p>
    <w:p w14:paraId="5A2E068A" w14:textId="77777777" w:rsidR="009B3738" w:rsidRDefault="00000000">
      <w:pPr>
        <w:pStyle w:val="Heading2"/>
      </w:pPr>
      <w:r>
        <w:t>7.3 Illustrative Financial Impact</w:t>
      </w:r>
    </w:p>
    <w:p w14:paraId="32BDCABA" w14:textId="77777777" w:rsidR="009B3738" w:rsidRDefault="00000000">
      <w:pPr>
        <w:spacing w:after="120" w:line="300" w:lineRule="auto"/>
        <w:jc w:val="both"/>
      </w:pPr>
      <w:r>
        <w:t>Moving inventory turnover from 5.2x to 7.0x lowers average inventory from about INR 130.8 crore to about INR 97.1 crore, releasing about INR 33.6 crore of cash. Reducing logistics cost from 11.5% to 9.5% of sales saves about INR 17 crore a year. Improved OTIF and fill rate would also protect sales that are currently lost to stock-outs, although this benefit is not quantified here because it depends on customer behaviour and margins. These are indicative figures that would need validation with real data and costed implementation budgets.</w:t>
      </w:r>
    </w:p>
    <w:p w14:paraId="36171F4E" w14:textId="77777777" w:rsidR="009B3738" w:rsidRDefault="00000000">
      <w:pPr>
        <w:pStyle w:val="Heading2"/>
      </w:pPr>
      <w:r>
        <w:t>7.4 Risks and Mitigation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3000"/>
        <w:gridCol w:w="3326"/>
      </w:tblGrid>
      <w:tr w:rsidR="009B3738" w14:paraId="6784AD9B" w14:textId="77777777">
        <w:tblPrEx>
          <w:tblCellMar>
            <w:top w:w="0" w:type="dxa"/>
            <w:bottom w:w="0" w:type="dxa"/>
          </w:tblCellMar>
        </w:tblPrEx>
        <w:trPr>
          <w:tblHeader/>
        </w:trPr>
        <w:tc>
          <w:tcPr>
            <w:tcW w:w="2700" w:type="dxa"/>
            <w:tcBorders>
              <w:top w:val="single" w:sz="4" w:space="0" w:color="A6A6A6"/>
              <w:left w:val="single" w:sz="4" w:space="0" w:color="A6A6A6"/>
              <w:bottom w:val="single" w:sz="4" w:space="0" w:color="A6A6A6"/>
              <w:right w:val="single" w:sz="4" w:space="0" w:color="A6A6A6"/>
            </w:tcBorders>
            <w:shd w:val="clear" w:color="auto" w:fill="1F4E79"/>
            <w:tcMar>
              <w:top w:w="60" w:type="dxa"/>
              <w:left w:w="90" w:type="dxa"/>
              <w:bottom w:w="60" w:type="dxa"/>
              <w:right w:w="90" w:type="dxa"/>
            </w:tcMar>
          </w:tcPr>
          <w:p w14:paraId="3018D618" w14:textId="77777777" w:rsidR="009B3738" w:rsidRDefault="00000000">
            <w:r>
              <w:rPr>
                <w:b/>
                <w:bCs/>
                <w:color w:val="FFFFFF"/>
                <w:sz w:val="18"/>
                <w:szCs w:val="18"/>
              </w:rPr>
              <w:t>Risk</w:t>
            </w:r>
          </w:p>
        </w:tc>
        <w:tc>
          <w:tcPr>
            <w:tcW w:w="3000" w:type="dxa"/>
            <w:tcBorders>
              <w:top w:val="single" w:sz="4" w:space="0" w:color="A6A6A6"/>
              <w:left w:val="single" w:sz="4" w:space="0" w:color="A6A6A6"/>
              <w:bottom w:val="single" w:sz="4" w:space="0" w:color="A6A6A6"/>
              <w:right w:val="single" w:sz="4" w:space="0" w:color="A6A6A6"/>
            </w:tcBorders>
            <w:shd w:val="clear" w:color="auto" w:fill="1F4E79"/>
            <w:tcMar>
              <w:top w:w="60" w:type="dxa"/>
              <w:left w:w="90" w:type="dxa"/>
              <w:bottom w:w="60" w:type="dxa"/>
              <w:right w:w="90" w:type="dxa"/>
            </w:tcMar>
          </w:tcPr>
          <w:p w14:paraId="43DA19A1" w14:textId="77777777" w:rsidR="009B3738" w:rsidRDefault="00000000">
            <w:r>
              <w:rPr>
                <w:b/>
                <w:bCs/>
                <w:color w:val="FFFFFF"/>
                <w:sz w:val="18"/>
                <w:szCs w:val="18"/>
              </w:rPr>
              <w:t>Impact</w:t>
            </w:r>
          </w:p>
        </w:tc>
        <w:tc>
          <w:tcPr>
            <w:tcW w:w="3326" w:type="dxa"/>
            <w:tcBorders>
              <w:top w:val="single" w:sz="4" w:space="0" w:color="A6A6A6"/>
              <w:left w:val="single" w:sz="4" w:space="0" w:color="A6A6A6"/>
              <w:bottom w:val="single" w:sz="4" w:space="0" w:color="A6A6A6"/>
              <w:right w:val="single" w:sz="4" w:space="0" w:color="A6A6A6"/>
            </w:tcBorders>
            <w:shd w:val="clear" w:color="auto" w:fill="1F4E79"/>
            <w:tcMar>
              <w:top w:w="60" w:type="dxa"/>
              <w:left w:w="90" w:type="dxa"/>
              <w:bottom w:w="60" w:type="dxa"/>
              <w:right w:w="90" w:type="dxa"/>
            </w:tcMar>
          </w:tcPr>
          <w:p w14:paraId="21161732" w14:textId="77777777" w:rsidR="009B3738" w:rsidRDefault="00000000">
            <w:r>
              <w:rPr>
                <w:b/>
                <w:bCs/>
                <w:color w:val="FFFFFF"/>
                <w:sz w:val="18"/>
                <w:szCs w:val="18"/>
              </w:rPr>
              <w:t>Mitigation</w:t>
            </w:r>
          </w:p>
        </w:tc>
      </w:tr>
      <w:tr w:rsidR="009B3738" w14:paraId="231346F3" w14:textId="77777777">
        <w:tblPrEx>
          <w:tblCellMar>
            <w:top w:w="0" w:type="dxa"/>
            <w:bottom w:w="0" w:type="dxa"/>
          </w:tblCellMar>
        </w:tblPrEx>
        <w:tc>
          <w:tcPr>
            <w:tcW w:w="2700" w:type="dxa"/>
            <w:tcBorders>
              <w:top w:val="single" w:sz="4" w:space="0" w:color="A6A6A6"/>
              <w:left w:val="single" w:sz="4" w:space="0" w:color="A6A6A6"/>
              <w:bottom w:val="single" w:sz="4" w:space="0" w:color="A6A6A6"/>
              <w:right w:val="single" w:sz="4" w:space="0" w:color="A6A6A6"/>
            </w:tcBorders>
            <w:shd w:val="clear" w:color="auto" w:fill="FFFFFF"/>
            <w:tcMar>
              <w:top w:w="60" w:type="dxa"/>
              <w:left w:w="90" w:type="dxa"/>
              <w:bottom w:w="60" w:type="dxa"/>
              <w:right w:w="90" w:type="dxa"/>
            </w:tcMar>
          </w:tcPr>
          <w:p w14:paraId="68050858" w14:textId="77777777" w:rsidR="009B3738" w:rsidRDefault="00000000">
            <w:r>
              <w:rPr>
                <w:color w:val="000000"/>
                <w:sz w:val="18"/>
                <w:szCs w:val="18"/>
              </w:rPr>
              <w:t>Poor data quality</w:t>
            </w:r>
          </w:p>
        </w:tc>
        <w:tc>
          <w:tcPr>
            <w:tcW w:w="3000" w:type="dxa"/>
            <w:tcBorders>
              <w:top w:val="single" w:sz="4" w:space="0" w:color="A6A6A6"/>
              <w:left w:val="single" w:sz="4" w:space="0" w:color="A6A6A6"/>
              <w:bottom w:val="single" w:sz="4" w:space="0" w:color="A6A6A6"/>
              <w:right w:val="single" w:sz="4" w:space="0" w:color="A6A6A6"/>
            </w:tcBorders>
            <w:shd w:val="clear" w:color="auto" w:fill="FFFFFF"/>
            <w:tcMar>
              <w:top w:w="60" w:type="dxa"/>
              <w:left w:w="90" w:type="dxa"/>
              <w:bottom w:w="60" w:type="dxa"/>
              <w:right w:w="90" w:type="dxa"/>
            </w:tcMar>
          </w:tcPr>
          <w:p w14:paraId="241E0D89" w14:textId="77777777" w:rsidR="009B3738" w:rsidRDefault="00000000">
            <w:r>
              <w:rPr>
                <w:color w:val="000000"/>
                <w:sz w:val="18"/>
                <w:szCs w:val="18"/>
              </w:rPr>
              <w:t>Weak forecasts and misleading KPIs</w:t>
            </w:r>
          </w:p>
        </w:tc>
        <w:tc>
          <w:tcPr>
            <w:tcW w:w="3326" w:type="dxa"/>
            <w:tcBorders>
              <w:top w:val="single" w:sz="4" w:space="0" w:color="A6A6A6"/>
              <w:left w:val="single" w:sz="4" w:space="0" w:color="A6A6A6"/>
              <w:bottom w:val="single" w:sz="4" w:space="0" w:color="A6A6A6"/>
              <w:right w:val="single" w:sz="4" w:space="0" w:color="A6A6A6"/>
            </w:tcBorders>
            <w:shd w:val="clear" w:color="auto" w:fill="FFFFFF"/>
            <w:tcMar>
              <w:top w:w="60" w:type="dxa"/>
              <w:left w:w="90" w:type="dxa"/>
              <w:bottom w:w="60" w:type="dxa"/>
              <w:right w:w="90" w:type="dxa"/>
            </w:tcMar>
          </w:tcPr>
          <w:p w14:paraId="2FF9F406" w14:textId="77777777" w:rsidR="009B3738" w:rsidRDefault="00000000">
            <w:r>
              <w:rPr>
                <w:color w:val="000000"/>
                <w:sz w:val="18"/>
                <w:szCs w:val="18"/>
              </w:rPr>
              <w:t>Start with data cleansing; assign data owners; validate KPIs monthly</w:t>
            </w:r>
          </w:p>
        </w:tc>
      </w:tr>
      <w:tr w:rsidR="009B3738" w14:paraId="7FC08E9B" w14:textId="77777777">
        <w:tblPrEx>
          <w:tblCellMar>
            <w:top w:w="0" w:type="dxa"/>
            <w:bottom w:w="0" w:type="dxa"/>
          </w:tblCellMar>
        </w:tblPrEx>
        <w:tc>
          <w:tcPr>
            <w:tcW w:w="2700" w:type="dxa"/>
            <w:tcBorders>
              <w:top w:val="single" w:sz="4" w:space="0" w:color="A6A6A6"/>
              <w:left w:val="single" w:sz="4" w:space="0" w:color="A6A6A6"/>
              <w:bottom w:val="single" w:sz="4" w:space="0" w:color="A6A6A6"/>
              <w:right w:val="single" w:sz="4" w:space="0" w:color="A6A6A6"/>
            </w:tcBorders>
            <w:shd w:val="clear" w:color="auto" w:fill="F2F7FB"/>
            <w:tcMar>
              <w:top w:w="60" w:type="dxa"/>
              <w:left w:w="90" w:type="dxa"/>
              <w:bottom w:w="60" w:type="dxa"/>
              <w:right w:w="90" w:type="dxa"/>
            </w:tcMar>
          </w:tcPr>
          <w:p w14:paraId="359597AB" w14:textId="77777777" w:rsidR="009B3738" w:rsidRDefault="00000000">
            <w:r>
              <w:rPr>
                <w:color w:val="000000"/>
                <w:sz w:val="18"/>
                <w:szCs w:val="18"/>
              </w:rPr>
              <w:t>Resistance to change</w:t>
            </w:r>
          </w:p>
        </w:tc>
        <w:tc>
          <w:tcPr>
            <w:tcW w:w="3000" w:type="dxa"/>
            <w:tcBorders>
              <w:top w:val="single" w:sz="4" w:space="0" w:color="A6A6A6"/>
              <w:left w:val="single" w:sz="4" w:space="0" w:color="A6A6A6"/>
              <w:bottom w:val="single" w:sz="4" w:space="0" w:color="A6A6A6"/>
              <w:right w:val="single" w:sz="4" w:space="0" w:color="A6A6A6"/>
            </w:tcBorders>
            <w:shd w:val="clear" w:color="auto" w:fill="F2F7FB"/>
            <w:tcMar>
              <w:top w:w="60" w:type="dxa"/>
              <w:left w:w="90" w:type="dxa"/>
              <w:bottom w:w="60" w:type="dxa"/>
              <w:right w:w="90" w:type="dxa"/>
            </w:tcMar>
          </w:tcPr>
          <w:p w14:paraId="46E84839" w14:textId="77777777" w:rsidR="009B3738" w:rsidRDefault="00000000">
            <w:r>
              <w:rPr>
                <w:color w:val="000000"/>
                <w:sz w:val="18"/>
                <w:szCs w:val="18"/>
              </w:rPr>
              <w:t>Low adoption of S&amp;OP and scorecards</w:t>
            </w:r>
          </w:p>
        </w:tc>
        <w:tc>
          <w:tcPr>
            <w:tcW w:w="3326" w:type="dxa"/>
            <w:tcBorders>
              <w:top w:val="single" w:sz="4" w:space="0" w:color="A6A6A6"/>
              <w:left w:val="single" w:sz="4" w:space="0" w:color="A6A6A6"/>
              <w:bottom w:val="single" w:sz="4" w:space="0" w:color="A6A6A6"/>
              <w:right w:val="single" w:sz="4" w:space="0" w:color="A6A6A6"/>
            </w:tcBorders>
            <w:shd w:val="clear" w:color="auto" w:fill="F2F7FB"/>
            <w:tcMar>
              <w:top w:w="60" w:type="dxa"/>
              <w:left w:w="90" w:type="dxa"/>
              <w:bottom w:w="60" w:type="dxa"/>
              <w:right w:w="90" w:type="dxa"/>
            </w:tcMar>
          </w:tcPr>
          <w:p w14:paraId="58278906" w14:textId="77777777" w:rsidR="009B3738" w:rsidRDefault="00000000">
            <w:r>
              <w:rPr>
                <w:color w:val="000000"/>
                <w:sz w:val="18"/>
                <w:szCs w:val="18"/>
              </w:rPr>
              <w:t>Executive sponsor; early quick wins; training and clear incentives</w:t>
            </w:r>
          </w:p>
        </w:tc>
      </w:tr>
      <w:tr w:rsidR="009B3738" w14:paraId="2A1E6DCB" w14:textId="77777777">
        <w:tblPrEx>
          <w:tblCellMar>
            <w:top w:w="0" w:type="dxa"/>
            <w:bottom w:w="0" w:type="dxa"/>
          </w:tblCellMar>
        </w:tblPrEx>
        <w:tc>
          <w:tcPr>
            <w:tcW w:w="2700" w:type="dxa"/>
            <w:tcBorders>
              <w:top w:val="single" w:sz="4" w:space="0" w:color="A6A6A6"/>
              <w:left w:val="single" w:sz="4" w:space="0" w:color="A6A6A6"/>
              <w:bottom w:val="single" w:sz="4" w:space="0" w:color="A6A6A6"/>
              <w:right w:val="single" w:sz="4" w:space="0" w:color="A6A6A6"/>
            </w:tcBorders>
            <w:shd w:val="clear" w:color="auto" w:fill="FFFFFF"/>
            <w:tcMar>
              <w:top w:w="60" w:type="dxa"/>
              <w:left w:w="90" w:type="dxa"/>
              <w:bottom w:w="60" w:type="dxa"/>
              <w:right w:w="90" w:type="dxa"/>
            </w:tcMar>
          </w:tcPr>
          <w:p w14:paraId="192BD1F0" w14:textId="77777777" w:rsidR="009B3738" w:rsidRDefault="00000000">
            <w:r>
              <w:rPr>
                <w:color w:val="000000"/>
                <w:sz w:val="18"/>
                <w:szCs w:val="18"/>
              </w:rPr>
              <w:lastRenderedPageBreak/>
              <w:t>Supplier pushback</w:t>
            </w:r>
          </w:p>
        </w:tc>
        <w:tc>
          <w:tcPr>
            <w:tcW w:w="3000" w:type="dxa"/>
            <w:tcBorders>
              <w:top w:val="single" w:sz="4" w:space="0" w:color="A6A6A6"/>
              <w:left w:val="single" w:sz="4" w:space="0" w:color="A6A6A6"/>
              <w:bottom w:val="single" w:sz="4" w:space="0" w:color="A6A6A6"/>
              <w:right w:val="single" w:sz="4" w:space="0" w:color="A6A6A6"/>
            </w:tcBorders>
            <w:shd w:val="clear" w:color="auto" w:fill="FFFFFF"/>
            <w:tcMar>
              <w:top w:w="60" w:type="dxa"/>
              <w:left w:w="90" w:type="dxa"/>
              <w:bottom w:w="60" w:type="dxa"/>
              <w:right w:w="90" w:type="dxa"/>
            </w:tcMar>
          </w:tcPr>
          <w:p w14:paraId="4121A0F4" w14:textId="77777777" w:rsidR="009B3738" w:rsidRDefault="00000000">
            <w:r>
              <w:rPr>
                <w:color w:val="000000"/>
                <w:sz w:val="18"/>
                <w:szCs w:val="18"/>
              </w:rPr>
              <w:t>Limited collaboration</w:t>
            </w:r>
          </w:p>
        </w:tc>
        <w:tc>
          <w:tcPr>
            <w:tcW w:w="3326" w:type="dxa"/>
            <w:tcBorders>
              <w:top w:val="single" w:sz="4" w:space="0" w:color="A6A6A6"/>
              <w:left w:val="single" w:sz="4" w:space="0" w:color="A6A6A6"/>
              <w:bottom w:val="single" w:sz="4" w:space="0" w:color="A6A6A6"/>
              <w:right w:val="single" w:sz="4" w:space="0" w:color="A6A6A6"/>
            </w:tcBorders>
            <w:shd w:val="clear" w:color="auto" w:fill="FFFFFF"/>
            <w:tcMar>
              <w:top w:w="60" w:type="dxa"/>
              <w:left w:w="90" w:type="dxa"/>
              <w:bottom w:w="60" w:type="dxa"/>
              <w:right w:w="90" w:type="dxa"/>
            </w:tcMar>
          </w:tcPr>
          <w:p w14:paraId="42289665" w14:textId="77777777" w:rsidR="009B3738" w:rsidRDefault="00000000">
            <w:r>
              <w:rPr>
                <w:color w:val="000000"/>
                <w:sz w:val="18"/>
                <w:szCs w:val="18"/>
              </w:rPr>
              <w:t>Share forecasts in return for service commitments; phased rollout</w:t>
            </w:r>
          </w:p>
        </w:tc>
      </w:tr>
      <w:tr w:rsidR="009B3738" w14:paraId="34B6EADF" w14:textId="77777777">
        <w:tblPrEx>
          <w:tblCellMar>
            <w:top w:w="0" w:type="dxa"/>
            <w:bottom w:w="0" w:type="dxa"/>
          </w:tblCellMar>
        </w:tblPrEx>
        <w:tc>
          <w:tcPr>
            <w:tcW w:w="2700" w:type="dxa"/>
            <w:tcBorders>
              <w:top w:val="single" w:sz="4" w:space="0" w:color="A6A6A6"/>
              <w:left w:val="single" w:sz="4" w:space="0" w:color="A6A6A6"/>
              <w:bottom w:val="single" w:sz="4" w:space="0" w:color="A6A6A6"/>
              <w:right w:val="single" w:sz="4" w:space="0" w:color="A6A6A6"/>
            </w:tcBorders>
            <w:shd w:val="clear" w:color="auto" w:fill="F2F7FB"/>
            <w:tcMar>
              <w:top w:w="60" w:type="dxa"/>
              <w:left w:w="90" w:type="dxa"/>
              <w:bottom w:w="60" w:type="dxa"/>
              <w:right w:w="90" w:type="dxa"/>
            </w:tcMar>
          </w:tcPr>
          <w:p w14:paraId="6C66DB10" w14:textId="77777777" w:rsidR="009B3738" w:rsidRDefault="00000000">
            <w:r>
              <w:rPr>
                <w:color w:val="000000"/>
                <w:sz w:val="18"/>
                <w:szCs w:val="18"/>
              </w:rPr>
              <w:t>Technology cost and complexity</w:t>
            </w:r>
          </w:p>
        </w:tc>
        <w:tc>
          <w:tcPr>
            <w:tcW w:w="3000" w:type="dxa"/>
            <w:tcBorders>
              <w:top w:val="single" w:sz="4" w:space="0" w:color="A6A6A6"/>
              <w:left w:val="single" w:sz="4" w:space="0" w:color="A6A6A6"/>
              <w:bottom w:val="single" w:sz="4" w:space="0" w:color="A6A6A6"/>
              <w:right w:val="single" w:sz="4" w:space="0" w:color="A6A6A6"/>
            </w:tcBorders>
            <w:shd w:val="clear" w:color="auto" w:fill="F2F7FB"/>
            <w:tcMar>
              <w:top w:w="60" w:type="dxa"/>
              <w:left w:w="90" w:type="dxa"/>
              <w:bottom w:w="60" w:type="dxa"/>
              <w:right w:w="90" w:type="dxa"/>
            </w:tcMar>
          </w:tcPr>
          <w:p w14:paraId="40EED83E" w14:textId="77777777" w:rsidR="009B3738" w:rsidRDefault="00000000">
            <w:r>
              <w:rPr>
                <w:color w:val="000000"/>
                <w:sz w:val="18"/>
                <w:szCs w:val="18"/>
              </w:rPr>
              <w:t>Delay or overspend</w:t>
            </w:r>
          </w:p>
        </w:tc>
        <w:tc>
          <w:tcPr>
            <w:tcW w:w="3326" w:type="dxa"/>
            <w:tcBorders>
              <w:top w:val="single" w:sz="4" w:space="0" w:color="A6A6A6"/>
              <w:left w:val="single" w:sz="4" w:space="0" w:color="A6A6A6"/>
              <w:bottom w:val="single" w:sz="4" w:space="0" w:color="A6A6A6"/>
              <w:right w:val="single" w:sz="4" w:space="0" w:color="A6A6A6"/>
            </w:tcBorders>
            <w:shd w:val="clear" w:color="auto" w:fill="F2F7FB"/>
            <w:tcMar>
              <w:top w:w="60" w:type="dxa"/>
              <w:left w:w="90" w:type="dxa"/>
              <w:bottom w:w="60" w:type="dxa"/>
              <w:right w:w="90" w:type="dxa"/>
            </w:tcMar>
          </w:tcPr>
          <w:p w14:paraId="25EA9DDD" w14:textId="77777777" w:rsidR="009B3738" w:rsidRDefault="00000000">
            <w:r>
              <w:rPr>
                <w:color w:val="000000"/>
                <w:sz w:val="18"/>
                <w:szCs w:val="18"/>
              </w:rPr>
              <w:t>Pilot first; use modular cloud tools; stage-gate investments</w:t>
            </w:r>
          </w:p>
        </w:tc>
      </w:tr>
      <w:tr w:rsidR="009B3738" w14:paraId="4E963D3B" w14:textId="77777777">
        <w:tblPrEx>
          <w:tblCellMar>
            <w:top w:w="0" w:type="dxa"/>
            <w:bottom w:w="0" w:type="dxa"/>
          </w:tblCellMar>
        </w:tblPrEx>
        <w:tc>
          <w:tcPr>
            <w:tcW w:w="2700" w:type="dxa"/>
            <w:tcBorders>
              <w:top w:val="single" w:sz="4" w:space="0" w:color="A6A6A6"/>
              <w:left w:val="single" w:sz="4" w:space="0" w:color="A6A6A6"/>
              <w:bottom w:val="single" w:sz="4" w:space="0" w:color="A6A6A6"/>
              <w:right w:val="single" w:sz="4" w:space="0" w:color="A6A6A6"/>
            </w:tcBorders>
            <w:shd w:val="clear" w:color="auto" w:fill="FFFFFF"/>
            <w:tcMar>
              <w:top w:w="60" w:type="dxa"/>
              <w:left w:w="90" w:type="dxa"/>
              <w:bottom w:w="60" w:type="dxa"/>
              <w:right w:w="90" w:type="dxa"/>
            </w:tcMar>
          </w:tcPr>
          <w:p w14:paraId="685D40B4" w14:textId="77777777" w:rsidR="009B3738" w:rsidRDefault="00000000">
            <w:r>
              <w:rPr>
                <w:color w:val="000000"/>
                <w:sz w:val="18"/>
                <w:szCs w:val="18"/>
              </w:rPr>
              <w:t>Demand volatility</w:t>
            </w:r>
          </w:p>
        </w:tc>
        <w:tc>
          <w:tcPr>
            <w:tcW w:w="3000" w:type="dxa"/>
            <w:tcBorders>
              <w:top w:val="single" w:sz="4" w:space="0" w:color="A6A6A6"/>
              <w:left w:val="single" w:sz="4" w:space="0" w:color="A6A6A6"/>
              <w:bottom w:val="single" w:sz="4" w:space="0" w:color="A6A6A6"/>
              <w:right w:val="single" w:sz="4" w:space="0" w:color="A6A6A6"/>
            </w:tcBorders>
            <w:shd w:val="clear" w:color="auto" w:fill="FFFFFF"/>
            <w:tcMar>
              <w:top w:w="60" w:type="dxa"/>
              <w:left w:w="90" w:type="dxa"/>
              <w:bottom w:w="60" w:type="dxa"/>
              <w:right w:w="90" w:type="dxa"/>
            </w:tcMar>
          </w:tcPr>
          <w:p w14:paraId="5C883578" w14:textId="77777777" w:rsidR="009B3738" w:rsidRDefault="00000000">
            <w:r>
              <w:rPr>
                <w:color w:val="000000"/>
                <w:sz w:val="18"/>
                <w:szCs w:val="18"/>
              </w:rPr>
              <w:t>Targets missed</w:t>
            </w:r>
          </w:p>
        </w:tc>
        <w:tc>
          <w:tcPr>
            <w:tcW w:w="3326" w:type="dxa"/>
            <w:tcBorders>
              <w:top w:val="single" w:sz="4" w:space="0" w:color="A6A6A6"/>
              <w:left w:val="single" w:sz="4" w:space="0" w:color="A6A6A6"/>
              <w:bottom w:val="single" w:sz="4" w:space="0" w:color="A6A6A6"/>
              <w:right w:val="single" w:sz="4" w:space="0" w:color="A6A6A6"/>
            </w:tcBorders>
            <w:shd w:val="clear" w:color="auto" w:fill="FFFFFF"/>
            <w:tcMar>
              <w:top w:w="60" w:type="dxa"/>
              <w:left w:w="90" w:type="dxa"/>
              <w:bottom w:w="60" w:type="dxa"/>
              <w:right w:w="90" w:type="dxa"/>
            </w:tcMar>
          </w:tcPr>
          <w:p w14:paraId="70783500" w14:textId="77777777" w:rsidR="009B3738" w:rsidRDefault="00000000">
            <w:r>
              <w:rPr>
                <w:color w:val="000000"/>
                <w:sz w:val="18"/>
                <w:szCs w:val="18"/>
              </w:rPr>
              <w:t>Scenario planning; review safety stock quarterly</w:t>
            </w:r>
          </w:p>
        </w:tc>
      </w:tr>
    </w:tbl>
    <w:p w14:paraId="74B7E090" w14:textId="77777777" w:rsidR="009B3738" w:rsidRDefault="00000000">
      <w:pPr>
        <w:spacing w:before="60" w:after="200"/>
        <w:jc w:val="center"/>
      </w:pPr>
      <w:r>
        <w:rPr>
          <w:i/>
          <w:iCs/>
          <w:color w:val="595959"/>
          <w:sz w:val="19"/>
          <w:szCs w:val="19"/>
        </w:rPr>
        <w:t>Table 8: Key risks and mitigation</w:t>
      </w:r>
    </w:p>
    <w:p w14:paraId="4D2EF63D" w14:textId="77777777" w:rsidR="009B3738" w:rsidRDefault="00000000">
      <w:pPr>
        <w:pStyle w:val="Heading1"/>
      </w:pPr>
      <w:r>
        <w:t>8. Conclusion</w:t>
      </w:r>
    </w:p>
    <w:p w14:paraId="1DA95ACE" w14:textId="77777777" w:rsidR="009B3738" w:rsidRDefault="00000000">
      <w:pPr>
        <w:spacing w:after="120" w:line="300" w:lineRule="auto"/>
        <w:jc w:val="both"/>
      </w:pPr>
      <w:r>
        <w:t>The evaluation shows a supply chain that executes well at the warehouse level but underperforms in planning, supplier reliability, inventory allocation and transport efficiency. The central insight is that high inventory (70 days), low service (OTIF 84%) and high logistics cost (11.5% of sales) are different symptoms of the same underlying problems: weak demand planning, unreliable upstream supply and limited visibility.</w:t>
      </w:r>
    </w:p>
    <w:p w14:paraId="050D3FBF" w14:textId="77777777" w:rsidR="009B3738" w:rsidRDefault="00000000">
      <w:pPr>
        <w:spacing w:after="120" w:line="300" w:lineRule="auto"/>
        <w:jc w:val="both"/>
      </w:pPr>
      <w:r>
        <w:t>The seven recommendations address these causes in a connected sequence. Quick wins in inventory segmentation, warehouse routines and returns analysis build momentum and release cash early, while forecasting, S&amp;OP and supplier collaboration create the foundation for sustained gains in OTIF, cost and agility. If delivered as planned, the programme would lift OTIF to about 91%, release about INR 33 crore of working capital and cut about INR 17 crore of annual logistics cost in the scenario company.</w:t>
      </w:r>
    </w:p>
    <w:p w14:paraId="68532A9F" w14:textId="77777777" w:rsidR="009B3738" w:rsidRDefault="00000000">
      <w:pPr>
        <w:spacing w:after="120" w:line="300" w:lineRule="auto"/>
        <w:jc w:val="both"/>
      </w:pPr>
      <w:r>
        <w:t>Personally, this task showed me how KPIs should be read together rather than in isolation, how benchmarking converts raw numbers into priorities, and how every recommendation must be traceable to evidence. These skills build directly on the earlier weeks: data collection, KPI definition, process mapping, forecasting and dashboard design all contribute to a performance evaluation capability.</w:t>
      </w:r>
    </w:p>
    <w:p w14:paraId="5997045B" w14:textId="77777777" w:rsidR="009B3738" w:rsidRDefault="00000000">
      <w:pPr>
        <w:pStyle w:val="Heading1"/>
      </w:pPr>
      <w:r>
        <w:t>References and Assumptions</w:t>
      </w:r>
    </w:p>
    <w:p w14:paraId="118EF4CC" w14:textId="77777777" w:rsidR="009B3738" w:rsidRDefault="00000000">
      <w:pPr>
        <w:pStyle w:val="Heading2"/>
      </w:pPr>
      <w:r>
        <w:t>Frameworks and Sources of General Practice</w:t>
      </w:r>
    </w:p>
    <w:p w14:paraId="3451F281" w14:textId="77777777" w:rsidR="009B3738" w:rsidRDefault="00000000">
      <w:pPr>
        <w:pStyle w:val="ListParagraph"/>
        <w:numPr>
          <w:ilvl w:val="0"/>
          <w:numId w:val="2"/>
        </w:numPr>
        <w:spacing w:after="80" w:line="290" w:lineRule="auto"/>
      </w:pPr>
      <w:r>
        <w:t>ASCM (APICS) SCOR model: framework of Plan, Source, Make, Deliver, Return and Enable and its performance attributes (reliability, responsiveness, agility, costs, asset management).</w:t>
      </w:r>
    </w:p>
    <w:p w14:paraId="46D101C6" w14:textId="77777777" w:rsidR="009B3738" w:rsidRDefault="00000000">
      <w:pPr>
        <w:pStyle w:val="ListParagraph"/>
        <w:numPr>
          <w:ilvl w:val="0"/>
          <w:numId w:val="2"/>
        </w:numPr>
        <w:spacing w:after="80" w:line="290" w:lineRule="auto"/>
      </w:pPr>
      <w:r>
        <w:t>Chopra, S. and Meindl, P., Supply Chain Management: Strategy, Planning and Operation (textbook): KPI definitions, bullwhip effect and inventory management.</w:t>
      </w:r>
    </w:p>
    <w:p w14:paraId="5B3DEAA3" w14:textId="77777777" w:rsidR="009B3738" w:rsidRDefault="00000000">
      <w:pPr>
        <w:pStyle w:val="ListParagraph"/>
        <w:numPr>
          <w:ilvl w:val="0"/>
          <w:numId w:val="2"/>
        </w:numPr>
        <w:spacing w:after="80" w:line="290" w:lineRule="auto"/>
      </w:pPr>
      <w:r>
        <w:t>Public industry material on logistics cost as a percentage of sales in India, OTIF practices in retail and consumer goods, and inventory turnover ranges in FMCG distribution.</w:t>
      </w:r>
    </w:p>
    <w:p w14:paraId="715F43A8" w14:textId="77777777" w:rsidR="009B3738" w:rsidRDefault="00000000">
      <w:pPr>
        <w:pStyle w:val="ListParagraph"/>
        <w:numPr>
          <w:ilvl w:val="0"/>
          <w:numId w:val="2"/>
        </w:numPr>
        <w:spacing w:after="80" w:line="290" w:lineRule="auto"/>
      </w:pPr>
      <w:r>
        <w:t>Ishikawa (fishbone) diagram and 5-Whys technique from standard quality management practice.</w:t>
      </w:r>
    </w:p>
    <w:p w14:paraId="6EB37911" w14:textId="77777777" w:rsidR="009B3738" w:rsidRDefault="00000000">
      <w:pPr>
        <w:pStyle w:val="Heading2"/>
      </w:pPr>
      <w:r>
        <w:t>Assumptions</w:t>
      </w:r>
    </w:p>
    <w:p w14:paraId="763876E3" w14:textId="77777777" w:rsidR="009B3738" w:rsidRDefault="00000000">
      <w:pPr>
        <w:pStyle w:val="ListParagraph"/>
        <w:numPr>
          <w:ilvl w:val="0"/>
          <w:numId w:val="2"/>
        </w:numPr>
        <w:spacing w:after="80" w:line="290" w:lineRule="auto"/>
      </w:pPr>
      <w:r>
        <w:t>All company data is hypothetical and rounded; benchmarks are indicative.</w:t>
      </w:r>
    </w:p>
    <w:p w14:paraId="6F35CA17" w14:textId="77777777" w:rsidR="009B3738" w:rsidRDefault="00000000">
      <w:pPr>
        <w:pStyle w:val="ListParagraph"/>
        <w:numPr>
          <w:ilvl w:val="0"/>
          <w:numId w:val="2"/>
        </w:numPr>
        <w:spacing w:after="80" w:line="290" w:lineRule="auto"/>
      </w:pPr>
      <w:r>
        <w:lastRenderedPageBreak/>
        <w:t>Financial effects are estimates and exclude implementation cost, tax and inflation.</w:t>
      </w:r>
    </w:p>
    <w:p w14:paraId="7D96B649" w14:textId="77777777" w:rsidR="009B3738" w:rsidRDefault="00000000">
      <w:pPr>
        <w:pStyle w:val="ListParagraph"/>
        <w:numPr>
          <w:ilvl w:val="0"/>
          <w:numId w:val="2"/>
        </w:numPr>
        <w:spacing w:after="80" w:line="290" w:lineRule="auto"/>
      </w:pPr>
      <w:r>
        <w:t>Industry-standard definitions are used for each KPI as listed in Section 2.2.</w:t>
      </w:r>
    </w:p>
    <w:sectPr w:rsidR="009B3738">
      <w:headerReference w:type="default" r:id="rId8"/>
      <w:footerReference w:type="default" r:id="rId9"/>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2C2798" w14:textId="77777777" w:rsidR="002B3696" w:rsidRDefault="002B3696">
      <w:r>
        <w:separator/>
      </w:r>
    </w:p>
  </w:endnote>
  <w:endnote w:type="continuationSeparator" w:id="0">
    <w:p w14:paraId="7981E275" w14:textId="77777777" w:rsidR="002B3696" w:rsidRDefault="002B369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D2ACAB" w14:textId="77777777" w:rsidR="009B3738" w:rsidRDefault="00000000">
    <w:pPr>
      <w:jc w:val="center"/>
    </w:pPr>
    <w:r>
      <w:rPr>
        <w:sz w:val="18"/>
        <w:szCs w:val="18"/>
      </w:rPr>
      <w:t xml:space="preserve">Page </w:t>
    </w:r>
    <w:r>
      <w:rPr>
        <w:sz w:val="18"/>
        <w:szCs w:val="18"/>
      </w:rPr>
      <w:fldChar w:fldCharType="begin"/>
    </w:r>
    <w:r>
      <w:rPr>
        <w:sz w:val="18"/>
        <w:szCs w:val="18"/>
      </w:rPr>
      <w:instrText>PAGE</w:instrText>
    </w:r>
    <w:r>
      <w:rPr>
        <w:sz w:val="18"/>
        <w:szCs w:val="18"/>
      </w:rPr>
      <w:fldChar w:fldCharType="separate"/>
    </w:r>
    <w:r w:rsidR="007C4B36">
      <w:rPr>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AA1A00" w14:textId="77777777" w:rsidR="002B3696" w:rsidRDefault="002B3696">
      <w:r>
        <w:separator/>
      </w:r>
    </w:p>
  </w:footnote>
  <w:footnote w:type="continuationSeparator" w:id="0">
    <w:p w14:paraId="16D63A5A" w14:textId="77777777" w:rsidR="002B3696" w:rsidRDefault="002B369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3501EB" w14:textId="77777777" w:rsidR="009B3738" w:rsidRDefault="00000000">
    <w:pPr>
      <w:jc w:val="right"/>
    </w:pPr>
    <w:r>
      <w:rPr>
        <w:color w:val="7F7F7F"/>
        <w:sz w:val="16"/>
        <w:szCs w:val="16"/>
      </w:rPr>
      <w:t>Week 6: Performance Evaluation and Improvement Recommendations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BB556E"/>
    <w:multiLevelType w:val="hybridMultilevel"/>
    <w:tmpl w:val="5E50C1A4"/>
    <w:lvl w:ilvl="0" w:tplc="211CB6D2">
      <w:start w:val="1"/>
      <w:numFmt w:val="bullet"/>
      <w:lvlText w:val="•"/>
      <w:lvlJc w:val="left"/>
      <w:pPr>
        <w:ind w:left="540" w:hanging="270"/>
      </w:pPr>
    </w:lvl>
    <w:lvl w:ilvl="1" w:tplc="27403BD8">
      <w:numFmt w:val="decimal"/>
      <w:lvlText w:val=""/>
      <w:lvlJc w:val="left"/>
    </w:lvl>
    <w:lvl w:ilvl="2" w:tplc="34FAC116">
      <w:numFmt w:val="decimal"/>
      <w:lvlText w:val=""/>
      <w:lvlJc w:val="left"/>
    </w:lvl>
    <w:lvl w:ilvl="3" w:tplc="E8BCF2E6">
      <w:numFmt w:val="decimal"/>
      <w:lvlText w:val=""/>
      <w:lvlJc w:val="left"/>
    </w:lvl>
    <w:lvl w:ilvl="4" w:tplc="EDF67434">
      <w:numFmt w:val="decimal"/>
      <w:lvlText w:val=""/>
      <w:lvlJc w:val="left"/>
    </w:lvl>
    <w:lvl w:ilvl="5" w:tplc="6C440FCC">
      <w:numFmt w:val="decimal"/>
      <w:lvlText w:val=""/>
      <w:lvlJc w:val="left"/>
    </w:lvl>
    <w:lvl w:ilvl="6" w:tplc="80B07ADC">
      <w:numFmt w:val="decimal"/>
      <w:lvlText w:val=""/>
      <w:lvlJc w:val="left"/>
    </w:lvl>
    <w:lvl w:ilvl="7" w:tplc="BECE9622">
      <w:numFmt w:val="decimal"/>
      <w:lvlText w:val=""/>
      <w:lvlJc w:val="left"/>
    </w:lvl>
    <w:lvl w:ilvl="8" w:tplc="2BD269F4">
      <w:numFmt w:val="decimal"/>
      <w:lvlText w:val=""/>
      <w:lvlJc w:val="left"/>
    </w:lvl>
  </w:abstractNum>
  <w:abstractNum w:abstractNumId="1" w15:restartNumberingAfterBreak="0">
    <w:nsid w:val="7E35014C"/>
    <w:multiLevelType w:val="hybridMultilevel"/>
    <w:tmpl w:val="B5B6A056"/>
    <w:lvl w:ilvl="0" w:tplc="71A4FE7A">
      <w:start w:val="1"/>
      <w:numFmt w:val="bullet"/>
      <w:lvlText w:val="●"/>
      <w:lvlJc w:val="left"/>
      <w:pPr>
        <w:ind w:left="720" w:hanging="360"/>
      </w:pPr>
    </w:lvl>
    <w:lvl w:ilvl="1" w:tplc="201E9E42">
      <w:start w:val="1"/>
      <w:numFmt w:val="bullet"/>
      <w:lvlText w:val="○"/>
      <w:lvlJc w:val="left"/>
      <w:pPr>
        <w:ind w:left="1440" w:hanging="360"/>
      </w:pPr>
    </w:lvl>
    <w:lvl w:ilvl="2" w:tplc="B666E88C">
      <w:start w:val="1"/>
      <w:numFmt w:val="bullet"/>
      <w:lvlText w:val="■"/>
      <w:lvlJc w:val="left"/>
      <w:pPr>
        <w:ind w:left="2160" w:hanging="360"/>
      </w:pPr>
    </w:lvl>
    <w:lvl w:ilvl="3" w:tplc="C1903DB4">
      <w:start w:val="1"/>
      <w:numFmt w:val="bullet"/>
      <w:lvlText w:val="●"/>
      <w:lvlJc w:val="left"/>
      <w:pPr>
        <w:ind w:left="2880" w:hanging="360"/>
      </w:pPr>
    </w:lvl>
    <w:lvl w:ilvl="4" w:tplc="88443BBA">
      <w:start w:val="1"/>
      <w:numFmt w:val="bullet"/>
      <w:lvlText w:val="○"/>
      <w:lvlJc w:val="left"/>
      <w:pPr>
        <w:ind w:left="3600" w:hanging="360"/>
      </w:pPr>
    </w:lvl>
    <w:lvl w:ilvl="5" w:tplc="C40CB200">
      <w:start w:val="1"/>
      <w:numFmt w:val="bullet"/>
      <w:lvlText w:val="■"/>
      <w:lvlJc w:val="left"/>
      <w:pPr>
        <w:ind w:left="4320" w:hanging="360"/>
      </w:pPr>
    </w:lvl>
    <w:lvl w:ilvl="6" w:tplc="4E2A2200">
      <w:start w:val="1"/>
      <w:numFmt w:val="bullet"/>
      <w:lvlText w:val="●"/>
      <w:lvlJc w:val="left"/>
      <w:pPr>
        <w:ind w:left="5040" w:hanging="360"/>
      </w:pPr>
    </w:lvl>
    <w:lvl w:ilvl="7" w:tplc="C89ED302">
      <w:start w:val="1"/>
      <w:numFmt w:val="bullet"/>
      <w:lvlText w:val="●"/>
      <w:lvlJc w:val="left"/>
      <w:pPr>
        <w:ind w:left="5760" w:hanging="360"/>
      </w:pPr>
    </w:lvl>
    <w:lvl w:ilvl="8" w:tplc="9F20331E">
      <w:start w:val="1"/>
      <w:numFmt w:val="bullet"/>
      <w:lvlText w:val="●"/>
      <w:lvlJc w:val="left"/>
      <w:pPr>
        <w:ind w:left="6480" w:hanging="360"/>
      </w:pPr>
    </w:lvl>
  </w:abstractNum>
  <w:num w:numId="1" w16cid:durableId="1037004830">
    <w:abstractNumId w:val="1"/>
    <w:lvlOverride w:ilvl="0">
      <w:startOverride w:val="1"/>
    </w:lvlOverride>
  </w:num>
  <w:num w:numId="2" w16cid:durableId="113725926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B3738"/>
    <w:rsid w:val="00083510"/>
    <w:rsid w:val="002B3696"/>
    <w:rsid w:val="007C4B36"/>
    <w:rsid w:val="00910929"/>
    <w:rsid w:val="009B3738"/>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DAAEC1"/>
  <w15:docId w15:val="{9A6F9224-87E3-4B44-9CB3-CBED5902CB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F4E79"/>
      <w:sz w:val="30"/>
      <w:szCs w:val="30"/>
    </w:rPr>
  </w:style>
  <w:style w:type="paragraph" w:styleId="Heading2">
    <w:name w:val="heading 2"/>
    <w:uiPriority w:val="9"/>
    <w:unhideWhenUsed/>
    <w:qFormat/>
    <w:pPr>
      <w:spacing w:before="220" w:after="100"/>
      <w:outlineLvl w:val="1"/>
    </w:pPr>
    <w:rPr>
      <w:b/>
      <w:bCs/>
      <w:color w:val="2E75B6"/>
      <w:sz w:val="25"/>
      <w:szCs w:val="25"/>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12</Pages>
  <Words>3130</Words>
  <Characters>17845</Characters>
  <Application>Microsoft Office Word</Application>
  <DocSecurity>0</DocSecurity>
  <Lines>148</Lines>
  <Paragraphs>41</Paragraphs>
  <ScaleCrop>false</ScaleCrop>
  <Company/>
  <LinksUpToDate>false</LinksUpToDate>
  <CharactersWithSpaces>20934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Week 6: Performance Evaluation and Improvement Recommendations</dc:title>
  <dc:creator>Intern</dc:creator>
  <cp:lastModifiedBy>Tushar Charavande</cp:lastModifiedBy>
  <cp:revision>2</cp:revision>
  <dcterms:created xsi:type="dcterms:W3CDTF">2026-10-18T06:49:00Z</dcterms:created>
  <dcterms:modified xsi:type="dcterms:W3CDTF">2026-10-18T06:49:00Z</dcterms:modified>
</cp:coreProperties>
</file>