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AIRPULSE AI</w:t>
      </w:r>
    </w:p>
    <w:p>
      <w:pPr>
        <w:jc w:val="center"/>
      </w:pPr>
      <w:r>
        <w:rPr>
          <w:b/>
          <w:sz w:val="32"/>
        </w:rPr>
        <w:t>Urban Air Exposure &amp; Sensor Intelligence</w:t>
      </w:r>
    </w:p>
    <w:p>
      <w:pPr>
        <w:jc w:val="center"/>
      </w:pPr>
      <w:r>
        <w:rPr>
          <w:b/>
        </w:rPr>
        <w:t>AICTE | IBM SkillsBuild Data Analytics with AI Internship 2026 | BharatCares</w:t>
        <w:br/>
      </w:r>
      <w:r>
        <w:t>Final Capstone Project Report</w:t>
      </w:r>
    </w:p>
    <w:p>
      <w:pPr>
        <w:pStyle w:val="Heading1"/>
      </w:pPr>
      <w:r>
        <w:t>1. Executive Summary</w:t>
      </w:r>
    </w:p>
    <w:p>
      <w:r>
        <w:t>AirPulse AI is an end-to-end Data Analytics and AI/ML prototype for extracting decision-support intelligence from hourly air-quality sensor observations. The project combines data cleaning, temporal analytics, a relative Exposure Pressure Index, supervised machine learning, permutation-based explainability and anomaly detection.</w:t>
      </w:r>
    </w:p>
    <w:p/>
    <w:p>
      <w:r>
        <w:t>The completed run identified 19:00 as the peak average NO2 hour and February as the peak average NO2 month. High/Very-High relative pressure observations represented 20.6% of analyzed records, while 3.0% were detected as multivariate anomalies. Among the three evaluated models, Linear Regression achieved the lowest chronological holdout RMSE, with MAE 27.240, RMSE 35.854 and R² 0.558.</w:t>
      </w:r>
    </w:p>
    <w:p>
      <w:pPr>
        <w:pStyle w:val="Heading1"/>
      </w:pPr>
      <w:r>
        <w:t>2. Problem Statement</w:t>
      </w:r>
    </w:p>
    <w:p>
      <w:r>
        <w:t>Air-quality datasets contain multiple pollutant, sensor and environmental variables, but raw measurements alone do not directly answer when pollution pressure increases, which variables are most useful for prediction, or which observations are unusual.</w:t>
      </w:r>
    </w:p>
    <w:p/>
    <w:p>
      <w:r>
        <w:t>AirPulse AI addresses these questions through a reproducible workflow covering data preparation, exploratory analytics, relative pressure analysis, machine learning, explainability and anomaly detection.</w:t>
      </w:r>
    </w:p>
    <w:p>
      <w:pPr>
        <w:pStyle w:val="Heading1"/>
      </w:pPr>
      <w:r>
        <w:t>3. Objectives</w:t>
      </w:r>
    </w:p>
    <w:p>
      <w:r>
        <w:t>1. Clean and structure hourly air-quality observations.</w:t>
      </w:r>
    </w:p>
    <w:p>
      <w:r>
        <w:t>2. Identify temporal and statistical patterns in NO2 and related variables.</w:t>
      </w:r>
    </w:p>
    <w:p>
      <w:r>
        <w:t>3. Construct a relative Exposure Pressure Index for within-dataset comparison.</w:t>
      </w:r>
    </w:p>
    <w:p>
      <w:r>
        <w:t>4. Compare Linear Regression, Gradient Boosting and Random Forest for NO2 prediction.</w:t>
      </w:r>
    </w:p>
    <w:p>
      <w:r>
        <w:t>5. Evaluate models using MAE, RMSE and R² on a chronological holdout.</w:t>
      </w:r>
    </w:p>
    <w:p>
      <w:r>
        <w:t>6. Explain predictive drivers using permutation importance.</w:t>
      </w:r>
    </w:p>
    <w:p>
      <w:r>
        <w:t>7. Detect unusual multivariate observations using Isolation Forest.</w:t>
      </w:r>
    </w:p>
    <w:p>
      <w:r>
        <w:t>8. Generate an analyst-style summary and SDG-oriented recommendations.</w:t>
      </w:r>
    </w:p>
    <w:p>
      <w:pPr>
        <w:pStyle w:val="Heading1"/>
      </w:pPr>
      <w:r>
        <w:t>4. Dataset Description</w:t>
      </w:r>
    </w:p>
    <w:p>
      <w:r>
        <w:t>The project uses the UCI Machine Learning Repository Air Quality dataset. It contains 9,358 hourly observations collected from March 2004 to February 2005 and includes pollutant reference measurements, sensor responses, temperature, relative humidity and absolute humidity.</w:t>
      </w:r>
    </w:p>
    <w:p/>
    <w:p>
      <w:r>
        <w:t>Dataset: UCI Machine Learning Repository — Air Quality</w:t>
      </w:r>
    </w:p>
    <w:p>
      <w:r>
        <w:t>Source: https://archive.ics.uci.edu/dataset/360/air%2Bquality</w:t>
      </w:r>
    </w:p>
    <w:p>
      <w:r>
        <w:t>DOI: 10.24432/C59K5F</w:t>
      </w:r>
    </w:p>
    <w:p/>
    <w:p>
      <w:r>
        <w:t>The UCI dataset uses -200 to represent missing values. The notebook converts these markers to missing data before preprocessing.</w:t>
      </w:r>
    </w:p>
    <w:p>
      <w:pPr>
        <w:pStyle w:val="Heading1"/>
      </w:pPr>
      <w:r>
        <w:t>5. Proposed Solution and Workflow</w:t>
      </w:r>
    </w:p>
    <w:p>
      <w:r>
        <w:t>The project follows:</w:t>
      </w:r>
    </w:p>
    <w:p/>
    <w:p>
      <w:r>
        <w:t>Official UCI Dataset → Data Cleaning → Timestamp Engineering → Feature Engineering → EDA → Exposure Pressure Index → Time-Ordered ML Evaluation → Explainability → Anomaly Detection → Analyst Brief → Recommendations.</w:t>
      </w:r>
    </w:p>
    <w:p/>
    <w:p>
      <w:r>
        <w:t>The distinctive aspect is that predictive modeling is combined with explainability and anomaly intelligence instead of treating the ML prediction as the complete solution.</w:t>
      </w:r>
    </w:p>
    <w:p>
      <w:pPr>
        <w:pStyle w:val="Heading1"/>
      </w:pPr>
      <w:r>
        <w:t>6. Data Preprocessing</w:t>
      </w:r>
    </w:p>
    <w:p>
      <w:r>
        <w:t>The preprocessing pipeline:</w:t>
      </w:r>
    </w:p>
    <w:p>
      <w:r>
        <w:t>• Parses Date and Time into a timestamp.</w:t>
      </w:r>
    </w:p>
    <w:p>
      <w:r>
        <w:t>• Removes invalid timestamp rows before time interpolation.</w:t>
      </w:r>
    </w:p>
    <w:p>
      <w:r>
        <w:t>• Converts measurements to numeric values.</w:t>
      </w:r>
    </w:p>
    <w:p>
      <w:r>
        <w:t>• Converts -200 missing markers to NaN.</w:t>
      </w:r>
    </w:p>
    <w:p>
      <w:r>
        <w:t>• Performs short-gap time-aware interpolation and residual filling.</w:t>
      </w:r>
    </w:p>
    <w:p>
      <w:r>
        <w:t>• Creates hour, day-of-week, weekend and cyclical time features.</w:t>
      </w:r>
    </w:p>
    <w:p>
      <w:pPr>
        <w:pStyle w:val="Heading1"/>
      </w:pPr>
      <w:r>
        <w:t>7. Exploratory Data Analysis</w:t>
      </w:r>
    </w:p>
    <w:p>
      <w:r>
        <w:t>EDA includes temporal NO2 analysis, monthly comparisons, pollutant relationships and sensor-variable analysis. The completed analyst brief found 19:00 as the peak average NO2 hour and February as the peak average NO2 month. These findings describe the historical dataset and should not be generalized to another location without validation.</w:t>
      </w:r>
    </w:p>
    <w:p>
      <w:pPr>
        <w:pStyle w:val="Heading1"/>
      </w:pPr>
      <w:r>
        <w:t>8. Exposure Pressure Index</w:t>
      </w:r>
    </w:p>
    <w:p>
      <w:r>
        <w:t>A project-specific Exposure Pressure Index (EPI) is calculated from percentile-based pollutant signals including CO, benzene, NOx and NO2. The resulting 0–100 relative index is grouped into Low, Moderate, High and Very High bands.</w:t>
      </w:r>
    </w:p>
    <w:p/>
    <w:p>
      <w:r>
        <w:t>In the completed run, 20.6% of observations fell into the combined High/Very-High relative pressure bands.</w:t>
      </w:r>
    </w:p>
    <w:p/>
    <w:p>
      <w:r>
        <w:t>The EPI is a project-specific analytical indicator. It is not a medical risk score, AQI replacement or regulatory classification.</w:t>
      </w:r>
    </w:p>
    <w:p>
      <w:pPr>
        <w:pStyle w:val="Heading1"/>
      </w:pPr>
      <w:r>
        <w:t>9. Machine Learning Methodology</w:t>
      </w:r>
    </w:p>
    <w:p>
      <w:r>
        <w:t>NO2(GT) was used as the prediction target. A chronological holdout was used so later observations are evaluated as future-like data rather than randomly mixing observations. Three models were compared: Linear Regression, Gradient Boosting Regressor and Random Forest Regressor.</w:t>
      </w:r>
    </w:p>
    <w:p>
      <w:pPr>
        <w:pStyle w:val="Heading1"/>
      </w:pPr>
      <w:r>
        <w:t>10. Final Model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w:t>
            </w:r>
          </w:p>
        </w:tc>
        <w:tc>
          <w:tcPr>
            <w:tcW w:type="dxa" w:w="2520"/>
          </w:tcPr>
          <w:p>
            <w:r>
              <w:t>RMSE</w:t>
            </w:r>
          </w:p>
        </w:tc>
        <w:tc>
          <w:tcPr>
            <w:tcW w:type="dxa" w:w="2520"/>
          </w:tcPr>
          <w:p>
            <w:r>
              <w:t>R²</w:t>
            </w:r>
          </w:p>
        </w:tc>
      </w:tr>
      <w:tr>
        <w:tc>
          <w:tcPr>
            <w:tcW w:type="dxa" w:w="2520"/>
          </w:tcPr>
          <w:p>
            <w:r>
              <w:t>Linear Regression</w:t>
            </w:r>
          </w:p>
        </w:tc>
        <w:tc>
          <w:tcPr>
            <w:tcW w:type="dxa" w:w="2520"/>
          </w:tcPr>
          <w:p>
            <w:r>
              <w:t>27.240</w:t>
            </w:r>
          </w:p>
        </w:tc>
        <w:tc>
          <w:tcPr>
            <w:tcW w:type="dxa" w:w="2520"/>
          </w:tcPr>
          <w:p>
            <w:r>
              <w:t>35.854</w:t>
            </w:r>
          </w:p>
        </w:tc>
        <w:tc>
          <w:tcPr>
            <w:tcW w:type="dxa" w:w="2520"/>
          </w:tcPr>
          <w:p>
            <w:r>
              <w:t>0.558</w:t>
            </w:r>
          </w:p>
        </w:tc>
      </w:tr>
      <w:tr>
        <w:tc>
          <w:tcPr>
            <w:tcW w:type="dxa" w:w="2520"/>
          </w:tcPr>
          <w:p>
            <w:r>
              <w:t>Gradient Boosting</w:t>
            </w:r>
          </w:p>
        </w:tc>
        <w:tc>
          <w:tcPr>
            <w:tcW w:type="dxa" w:w="2520"/>
          </w:tcPr>
          <w:p>
            <w:r>
              <w:t>27.487</w:t>
            </w:r>
          </w:p>
        </w:tc>
        <w:tc>
          <w:tcPr>
            <w:tcW w:type="dxa" w:w="2520"/>
          </w:tcPr>
          <w:p>
            <w:r>
              <w:t>36.254</w:t>
            </w:r>
          </w:p>
        </w:tc>
        <w:tc>
          <w:tcPr>
            <w:tcW w:type="dxa" w:w="2520"/>
          </w:tcPr>
          <w:p>
            <w:r>
              <w:t>0.548</w:t>
            </w:r>
          </w:p>
        </w:tc>
      </w:tr>
      <w:tr>
        <w:tc>
          <w:tcPr>
            <w:tcW w:type="dxa" w:w="2520"/>
          </w:tcPr>
          <w:p>
            <w:r>
              <w:t>Random Forest</w:t>
            </w:r>
          </w:p>
        </w:tc>
        <w:tc>
          <w:tcPr>
            <w:tcW w:type="dxa" w:w="2520"/>
          </w:tcPr>
          <w:p>
            <w:r>
              <w:t>28.483</w:t>
            </w:r>
          </w:p>
        </w:tc>
        <w:tc>
          <w:tcPr>
            <w:tcW w:type="dxa" w:w="2520"/>
          </w:tcPr>
          <w:p>
            <w:r>
              <w:t>37.266</w:t>
            </w:r>
          </w:p>
        </w:tc>
        <w:tc>
          <w:tcPr>
            <w:tcW w:type="dxa" w:w="2520"/>
          </w:tcPr>
          <w:p>
            <w:r>
              <w:t>0.523</w:t>
            </w:r>
          </w:p>
        </w:tc>
      </w:tr>
    </w:tbl>
    <w:p>
      <w:r>
        <w:t>Linear Regression produced the lowest holdout RMSE (35.854) and highest R² (0.558) among the evaluated models in this completed run. This is a dataset-specific result and should be revalidated on newer/local data before deployment.</w:t>
      </w:r>
    </w:p>
    <w:p>
      <w:pPr>
        <w:pStyle w:val="Heading1"/>
      </w:pPr>
      <w:r>
        <w:t>11. Model Explainability</w:t>
      </w:r>
    </w:p>
    <w:p>
      <w:r>
        <w:t>Permutation importance was used to estimate how much model performance changes when individual features are shuffled. The strongest predictive drivers in the completed run were:</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Mean Importance</w:t>
            </w:r>
          </w:p>
        </w:tc>
        <w:tc>
          <w:tcPr>
            <w:tcW w:type="dxa" w:w="3360"/>
          </w:tcPr>
          <w:p>
            <w:r>
              <w:t>Std</w:t>
            </w:r>
          </w:p>
        </w:tc>
      </w:tr>
      <w:tr>
        <w:tc>
          <w:tcPr>
            <w:tcW w:type="dxa" w:w="3360"/>
          </w:tcPr>
          <w:p>
            <w:r>
              <w:t>PT08.S2(NMHC)</w:t>
            </w:r>
          </w:p>
        </w:tc>
        <w:tc>
          <w:tcPr>
            <w:tcW w:type="dxa" w:w="3360"/>
          </w:tcPr>
          <w:p>
            <w:r>
              <w:t>16.3944</w:t>
            </w:r>
          </w:p>
        </w:tc>
        <w:tc>
          <w:tcPr>
            <w:tcW w:type="dxa" w:w="3360"/>
          </w:tcPr>
          <w:p>
            <w:r>
              <w:t>0.3091</w:t>
            </w:r>
          </w:p>
        </w:tc>
      </w:tr>
      <w:tr>
        <w:tc>
          <w:tcPr>
            <w:tcW w:type="dxa" w:w="3360"/>
          </w:tcPr>
          <w:p>
            <w:r>
              <w:t>C6H6(GT)</w:t>
            </w:r>
          </w:p>
        </w:tc>
        <w:tc>
          <w:tcPr>
            <w:tcW w:type="dxa" w:w="3360"/>
          </w:tcPr>
          <w:p>
            <w:r>
              <w:t>12.9216</w:t>
            </w:r>
          </w:p>
        </w:tc>
        <w:tc>
          <w:tcPr>
            <w:tcW w:type="dxa" w:w="3360"/>
          </w:tcPr>
          <w:p>
            <w:r>
              <w:t>0.2585</w:t>
            </w:r>
          </w:p>
        </w:tc>
      </w:tr>
      <w:tr>
        <w:tc>
          <w:tcPr>
            <w:tcW w:type="dxa" w:w="3360"/>
          </w:tcPr>
          <w:p>
            <w:r>
              <w:t>NOx(GT)</w:t>
            </w:r>
          </w:p>
        </w:tc>
        <w:tc>
          <w:tcPr>
            <w:tcW w:type="dxa" w:w="3360"/>
          </w:tcPr>
          <w:p>
            <w:r>
              <w:t>9.9529</w:t>
            </w:r>
          </w:p>
        </w:tc>
        <w:tc>
          <w:tcPr>
            <w:tcW w:type="dxa" w:w="3360"/>
          </w:tcPr>
          <w:p>
            <w:r>
              <w:t>0.3006</w:t>
            </w:r>
          </w:p>
        </w:tc>
      </w:tr>
      <w:tr>
        <w:tc>
          <w:tcPr>
            <w:tcW w:type="dxa" w:w="3360"/>
          </w:tcPr>
          <w:p>
            <w:r>
              <w:t>CO(GT)</w:t>
            </w:r>
          </w:p>
        </w:tc>
        <w:tc>
          <w:tcPr>
            <w:tcW w:type="dxa" w:w="3360"/>
          </w:tcPr>
          <w:p>
            <w:r>
              <w:t>6.0322</w:t>
            </w:r>
          </w:p>
        </w:tc>
        <w:tc>
          <w:tcPr>
            <w:tcW w:type="dxa" w:w="3360"/>
          </w:tcPr>
          <w:p>
            <w:r>
              <w:t>0.2269</w:t>
            </w:r>
          </w:p>
        </w:tc>
      </w:tr>
      <w:tr>
        <w:tc>
          <w:tcPr>
            <w:tcW w:type="dxa" w:w="3360"/>
          </w:tcPr>
          <w:p>
            <w:r>
              <w:t>PT08.S5(O3)</w:t>
            </w:r>
          </w:p>
        </w:tc>
        <w:tc>
          <w:tcPr>
            <w:tcW w:type="dxa" w:w="3360"/>
          </w:tcPr>
          <w:p>
            <w:r>
              <w:t>5.1777</w:t>
            </w:r>
          </w:p>
        </w:tc>
        <w:tc>
          <w:tcPr>
            <w:tcW w:type="dxa" w:w="3360"/>
          </w:tcPr>
          <w:p>
            <w:r>
              <w:t>0.2127</w:t>
            </w:r>
          </w:p>
        </w:tc>
      </w:tr>
      <w:tr>
        <w:tc>
          <w:tcPr>
            <w:tcW w:type="dxa" w:w="3360"/>
          </w:tcPr>
          <w:p>
            <w:r>
              <w:t>PT08.S4(NO2)</w:t>
            </w:r>
          </w:p>
        </w:tc>
        <w:tc>
          <w:tcPr>
            <w:tcW w:type="dxa" w:w="3360"/>
          </w:tcPr>
          <w:p>
            <w:r>
              <w:t>1.2892</w:t>
            </w:r>
          </w:p>
        </w:tc>
        <w:tc>
          <w:tcPr>
            <w:tcW w:type="dxa" w:w="3360"/>
          </w:tcPr>
          <w:p>
            <w:r>
              <w:t>0.1146</w:t>
            </w:r>
          </w:p>
        </w:tc>
      </w:tr>
      <w:tr>
        <w:tc>
          <w:tcPr>
            <w:tcW w:type="dxa" w:w="3360"/>
          </w:tcPr>
          <w:p>
            <w:r>
              <w:t>AH</w:t>
            </w:r>
          </w:p>
        </w:tc>
        <w:tc>
          <w:tcPr>
            <w:tcW w:type="dxa" w:w="3360"/>
          </w:tcPr>
          <w:p>
            <w:r>
              <w:t>0.8132</w:t>
            </w:r>
          </w:p>
        </w:tc>
        <w:tc>
          <w:tcPr>
            <w:tcW w:type="dxa" w:w="3360"/>
          </w:tcPr>
          <w:p>
            <w:r>
              <w:t>0.0764</w:t>
            </w:r>
          </w:p>
        </w:tc>
      </w:tr>
      <w:tr>
        <w:tc>
          <w:tcPr>
            <w:tcW w:type="dxa" w:w="3360"/>
          </w:tcPr>
          <w:p>
            <w:r>
              <w:t>hour_sin</w:t>
            </w:r>
          </w:p>
        </w:tc>
        <w:tc>
          <w:tcPr>
            <w:tcW w:type="dxa" w:w="3360"/>
          </w:tcPr>
          <w:p>
            <w:r>
              <w:t>0.5540</w:t>
            </w:r>
          </w:p>
        </w:tc>
        <w:tc>
          <w:tcPr>
            <w:tcW w:type="dxa" w:w="3360"/>
          </w:tcPr>
          <w:p>
            <w:r>
              <w:t>0.0375</w:t>
            </w:r>
          </w:p>
        </w:tc>
      </w:tr>
    </w:tbl>
    <w:p>
      <w:r>
        <w:t>Permutation importance indicates predictive reliance; it does not establish causation.</w:t>
      </w:r>
    </w:p>
    <w:p>
      <w:pPr>
        <w:pStyle w:val="Heading1"/>
      </w:pPr>
      <w:r>
        <w:t>12. Anomaly Detection</w:t>
      </w:r>
    </w:p>
    <w:p>
      <w:r>
        <w:t>Isolation Forest was applied to the analytical feature space to identify unusual multivariate observations. The completed run detected 3.0% of observations as anomalies. These observations should be treated as candidates for further investigation; an anomaly flag does not automatically mean sensor failure.</w:t>
      </w:r>
    </w:p>
    <w:p>
      <w:pPr>
        <w:pStyle w:val="Heading1"/>
      </w:pPr>
      <w:r>
        <w:t>13. Final AI Analyst Brief</w:t>
      </w:r>
    </w:p>
    <w:p>
      <w:pPr>
        <w:pStyle w:val="ListBullet"/>
      </w:pPr>
      <w:r>
        <w:t>Peak average NO2 hour: 19:00</w:t>
      </w:r>
    </w:p>
    <w:p>
      <w:pPr>
        <w:pStyle w:val="ListBullet"/>
      </w:pPr>
      <w:r>
        <w:t>Peak average NO2 month: February (month 2)</w:t>
      </w:r>
    </w:p>
    <w:p>
      <w:pPr>
        <w:pStyle w:val="ListBullet"/>
      </w:pPr>
      <w:r>
        <w:t>High/Very-High relative pressure observations: 20.6%</w:t>
      </w:r>
    </w:p>
    <w:p>
      <w:pPr>
        <w:pStyle w:val="ListBullet"/>
      </w:pPr>
      <w:r>
        <w:t>Detected multivariate anomalies: 3.0%</w:t>
      </w:r>
    </w:p>
    <w:p>
      <w:pPr>
        <w:pStyle w:val="ListBullet"/>
      </w:pPr>
      <w:r>
        <w:t>Best holdout model by RMSE: Linear Regression</w:t>
      </w:r>
    </w:p>
    <w:p>
      <w:pPr>
        <w:pStyle w:val="ListBullet"/>
      </w:pPr>
      <w:r>
        <w:t>Best model MAE: 27.24</w:t>
      </w:r>
    </w:p>
    <w:p>
      <w:pPr>
        <w:pStyle w:val="ListBullet"/>
      </w:pPr>
      <w:r>
        <w:t>Best model RMSE: 35.85</w:t>
      </w:r>
    </w:p>
    <w:p>
      <w:pPr>
        <w:pStyle w:val="ListBullet"/>
      </w:pPr>
      <w:r>
        <w:t>Best model R²: 0.558</w:t>
      </w:r>
    </w:p>
    <w:p>
      <w:pPr>
        <w:pStyle w:val="Heading1"/>
      </w:pPr>
      <w:r>
        <w:t>14. Key Findings</w:t>
      </w:r>
    </w:p>
    <w:p>
      <w:pPr>
        <w:pStyle w:val="ListBullet"/>
      </w:pPr>
      <w:r>
        <w:t>The historical dataset exhibits meaningful temporal variation in NO2.</w:t>
      </w:r>
    </w:p>
    <w:p>
      <w:pPr>
        <w:pStyle w:val="ListBullet"/>
      </w:pPr>
      <w:r>
        <w:t>19:00 was the peak average NO2 hour in the completed analysis.</w:t>
      </w:r>
    </w:p>
    <w:p>
      <w:pPr>
        <w:pStyle w:val="ListBullet"/>
      </w:pPr>
      <w:r>
        <w:t>February had the highest average NO2 among the analyzed months.</w:t>
      </w:r>
    </w:p>
    <w:p>
      <w:pPr>
        <w:pStyle w:val="ListBullet"/>
      </w:pPr>
      <w:r>
        <w:t>20.6% of observations were classified as High or Very High by the project's relative pressure bands.</w:t>
      </w:r>
    </w:p>
    <w:p>
      <w:pPr>
        <w:pStyle w:val="ListBullet"/>
      </w:pPr>
      <w:r>
        <w:t>Linear Regression achieved the lowest holdout RMSE among the evaluated models.</w:t>
      </w:r>
    </w:p>
    <w:p>
      <w:pPr>
        <w:pStyle w:val="ListBullet"/>
      </w:pPr>
      <w:r>
        <w:t>PT08.S2(NMHC), C6H6(GT), NOx(GT), CO(GT) and PT08.S5(O3) were the strongest predictive drivers.</w:t>
      </w:r>
    </w:p>
    <w:p>
      <w:pPr>
        <w:pStyle w:val="ListBullet"/>
      </w:pPr>
      <w:r>
        <w:t>3.0% of observations were flagged as multivariate anomalies.</w:t>
      </w:r>
    </w:p>
    <w:p>
      <w:pPr>
        <w:pStyle w:val="Heading1"/>
      </w:pPr>
      <w:r>
        <w:t>15. Business and SDG-Oriented Recommendations</w:t>
      </w:r>
    </w:p>
    <w:p>
      <w:r>
        <w:rPr>
          <w:b/>
        </w:rPr>
        <w:t xml:space="preserve">Time-aware monitoring: </w:t>
      </w:r>
      <w:r>
        <w:t>Prioritize deeper inspection during recurring high-NO2 periods.</w:t>
      </w:r>
    </w:p>
    <w:p>
      <w:r>
        <w:rPr>
          <w:b/>
        </w:rPr>
        <w:t xml:space="preserve">Sensor-quality monitoring: </w:t>
      </w:r>
      <w:r>
        <w:t>Review anomalous multivariate observations before operational use.</w:t>
      </w:r>
    </w:p>
    <w:p>
      <w:r>
        <w:rPr>
          <w:b/>
        </w:rPr>
        <w:t xml:space="preserve">Predictive analytics: </w:t>
      </w:r>
      <w:r>
        <w:t>Validate the selected model on newer and local data before deployment.</w:t>
      </w:r>
    </w:p>
    <w:p>
      <w:r>
        <w:rPr>
          <w:b/>
        </w:rPr>
        <w:t xml:space="preserve">Dashboard layer: </w:t>
      </w:r>
      <w:r>
        <w:t>Track average NO2, pressure-band distribution, anomaly count and model error.</w:t>
      </w:r>
    </w:p>
    <w:p>
      <w:r>
        <w:rPr>
          <w:b/>
        </w:rPr>
        <w:t xml:space="preserve">Responsible AI: </w:t>
      </w:r>
      <w:r>
        <w:t>Keep the relative pressure index separate from regulatory thresholds and validate deployment with domain experts.</w:t>
      </w:r>
    </w:p>
    <w:p>
      <w:r>
        <w:t>SDG alignment: SDG 3 — Good Health and Well-Being; SDG 11 — Sustainable Cities and Communities.</w:t>
      </w:r>
    </w:p>
    <w:p>
      <w:pPr>
        <w:pStyle w:val="Heading1"/>
      </w:pPr>
      <w:r>
        <w:t>16. Limitations and Responsible AI</w:t>
      </w:r>
    </w:p>
    <w:p>
      <w:pPr>
        <w:pStyle w:val="ListBullet"/>
      </w:pPr>
      <w:r>
        <w:t>The dataset represents a historical monitoring deployment in an Italian city.</w:t>
      </w:r>
    </w:p>
    <w:p>
      <w:pPr>
        <w:pStyle w:val="ListBullet"/>
      </w:pPr>
      <w:r>
        <w:t>The Exposure Pressure Index is relative to this dataset and is not a regulatory or clinical metric.</w:t>
      </w:r>
    </w:p>
    <w:p>
      <w:pPr>
        <w:pStyle w:val="ListBullet"/>
      </w:pPr>
      <w:r>
        <w:t>Historical model performance does not guarantee future performance.</w:t>
      </w:r>
    </w:p>
    <w:p>
      <w:pPr>
        <w:pStyle w:val="ListBullet"/>
      </w:pPr>
      <w:r>
        <w:t>Permutation importance does not prove causal relationships.</w:t>
      </w:r>
    </w:p>
    <w:p>
      <w:pPr>
        <w:pStyle w:val="ListBullet"/>
      </w:pPr>
      <w:r>
        <w:t>Anomaly detection identifies unusual patterns but does not diagnose sensor failure.</w:t>
      </w:r>
    </w:p>
    <w:p>
      <w:pPr>
        <w:pStyle w:val="ListBullet"/>
      </w:pPr>
      <w:r>
        <w:t>Operational deployment should use current local data and domain validation.</w:t>
      </w:r>
    </w:p>
    <w:p>
      <w:pPr>
        <w:pStyle w:val="Heading1"/>
      </w:pPr>
      <w:r>
        <w:t>17. Technologies Used</w:t>
      </w:r>
    </w:p>
    <w:p>
      <w:r>
        <w:t>Python, Google Colab/Jupyter Notebook, Pandas, NumPy, Matplotlib, Seaborn, Scikit-learn and OpenPyXL.</w:t>
      </w:r>
    </w:p>
    <w:p>
      <w:pPr>
        <w:pStyle w:val="Heading1"/>
      </w:pPr>
      <w:r>
        <w:t>18. Reproducibility</w:t>
      </w:r>
    </w:p>
    <w:p>
      <w:pPr>
        <w:pStyle w:val="ListBullet"/>
      </w:pPr>
      <w:r>
        <w:t>Install dependencies from requirements.txt.</w:t>
      </w:r>
    </w:p>
    <w:p>
      <w:pPr>
        <w:pStyle w:val="ListBullet"/>
      </w:pPr>
      <w:r>
        <w:t>Open TusharBorse_AirPulseAI.ipynb in Google Colab or Jupyter Notebook.</w:t>
      </w:r>
    </w:p>
    <w:p>
      <w:pPr>
        <w:pStyle w:val="ListBullet"/>
      </w:pPr>
      <w:r>
        <w:t>Run all cells from top to bottom.</w:t>
      </w:r>
    </w:p>
    <w:p>
      <w:pPr>
        <w:pStyle w:val="ListBullet"/>
      </w:pPr>
      <w:r>
        <w:t>Internet access is required for the official UCI dataset download.</w:t>
      </w:r>
    </w:p>
    <w:p>
      <w:pPr>
        <w:pStyle w:val="ListBullet"/>
      </w:pPr>
      <w:r>
        <w:t>The notebook generates the analytical results dynamically.</w:t>
      </w:r>
    </w:p>
    <w:p>
      <w:pPr>
        <w:pStyle w:val="Heading1"/>
      </w:pPr>
      <w:r>
        <w:t>19. Deliverables</w:t>
      </w:r>
    </w:p>
    <w:p>
      <w:pPr>
        <w:pStyle w:val="ListBullet"/>
      </w:pPr>
      <w:r>
        <w:t>TusharBorse_AirPulseAI.ipynb</w:t>
      </w:r>
    </w:p>
    <w:p>
      <w:pPr>
        <w:pStyle w:val="ListBullet"/>
      </w:pPr>
      <w:r>
        <w:t>requirements.txt</w:t>
      </w:r>
    </w:p>
    <w:p>
      <w:pPr>
        <w:pStyle w:val="ListBullet"/>
      </w:pPr>
      <w:r>
        <w:t>TusharBorse_ProjectReport.docx</w:t>
      </w:r>
    </w:p>
    <w:p>
      <w:pPr>
        <w:pStyle w:val="ListBullet"/>
      </w:pPr>
      <w:r>
        <w:t>README.md</w:t>
      </w:r>
    </w:p>
    <w:p>
      <w:pPr>
        <w:pStyle w:val="Heading1"/>
      </w:pPr>
      <w:r>
        <w:t>20. Conclusion</w:t>
      </w:r>
    </w:p>
    <w:p>
      <w:r>
        <w:t>AirPulse AI demonstrates a complete Data Analytics and AI/ML workflow from raw environmental data to interpretable analytical intelligence. The final run produced measurable predictive performance, explainable model drivers, relative pressure bands and anomaly flags. The project demonstrates how analytics and machine learning can support structured environmental monitoring while maintaining appropriate responsible-AI boundaries.</w:t>
      </w:r>
    </w:p>
    <w:p>
      <w:pPr>
        <w:pStyle w:val="Heading1"/>
      </w:pPr>
      <w:r>
        <w:t>21. References</w:t>
      </w:r>
    </w:p>
    <w:p>
      <w:r>
        <w:t>UCI Machine Learning Repository. Air Quality dataset. DOI: 10.24432/C59K5F.</w:t>
      </w:r>
    </w:p>
    <w:p>
      <w:r>
        <w:t>https://archive.ics.uci.edu/dataset/360/air%2Bquality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