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3366"/>
          <w:sz w:val="36"/>
        </w:rPr>
        <w:t>PROJECT COMPLIANCE DOCUMENT</w:t>
        <w:br/>
        <w:t>METROVILLE URBAN RAIL EXPANSION</w:t>
      </w:r>
    </w:p>
    <w:p>
      <w:r>
        <w:rPr>
          <w:i/>
          <w:sz w:val="24"/>
        </w:rPr>
        <w:t>Key Performance Indicator (KPI) Strategy &amp; Monitoring Framework</w:t>
        <w:br/>
        <w:t>Siemens Mobility Project Management Office</w:t>
      </w:r>
    </w:p>
    <w:p>
      <w:r>
        <w:t>────────────────────────────────────────────────────────────</w:t>
      </w:r>
    </w:p>
    <w:p>
      <w:r>
        <w:rPr>
          <w:i/>
        </w:rPr>
        <w:t>This framework details the tracking configurations, data sources, and governance models for the Metroville Transit Line project. Developed in compliance with the requirements of the Metroville Public Transport Authority, these metrics establish technical, ecological, and civil baselines across all construction corridors.</w:t>
      </w:r>
    </w:p>
    <w:p>
      <w:pPr>
        <w:keepNext/>
        <w:spacing w:before="360" w:after="120"/>
      </w:pPr>
      <w:r>
        <w:rPr>
          <w:b/>
          <w:color w:val="003366"/>
          <w:sz w:val="28"/>
        </w:rPr>
        <w:t>1. TECHNICAL FEASIBILITY &amp; ENGINEERING INFRASTRUCTURE</w:t>
      </w:r>
    </w:p>
    <w:tbl>
      <w:tblPr>
        <w:tblW w:type="auto" w:w="0"/>
        <w:jc w:val="center"/>
        <w:tblLayout w:type="fixed"/>
        <w:tblLook w:firstColumn="1" w:firstRow="1" w:lastColumn="0" w:lastRow="0" w:noHBand="0" w:noVBand="1" w:val="04A0"/>
      </w:tblPr>
      <w:tblGrid>
        <w:gridCol w:w="4680"/>
        <w:gridCol w:w="4680"/>
      </w:tblGrid>
      <w:tr>
        <w:trPr>
          <w:cantSplit/>
        </w:trPr>
        <w:tc>
          <w:tcPr>
            <w:tcW w:type="dxa" w:w="2592"/>
            <w:shd w:fill="F2F2F2"/>
          </w:tcPr>
          <w:p>
            <w:pPr>
              <w:spacing w:after="60"/>
            </w:pPr>
            <w:r>
              <w:rPr>
                <w:b/>
              </w:rPr>
              <w:t>KPI Name</w:t>
            </w:r>
          </w:p>
        </w:tc>
        <w:tc>
          <w:tcPr>
            <w:tcW w:type="dxa" w:w="6768"/>
          </w:tcPr>
          <w:p>
            <w:pPr>
              <w:spacing w:after="60"/>
            </w:pPr>
            <w:r>
              <w:t>Terrain-Adjusted Track Installation Velocity (TIV-A)</w:t>
            </w:r>
          </w:p>
        </w:tc>
      </w:tr>
      <w:tr>
        <w:trPr>
          <w:cantSplit/>
        </w:trPr>
        <w:tc>
          <w:tcPr>
            <w:tcW w:type="dxa" w:w="2592"/>
            <w:shd w:fill="F2F2F2"/>
          </w:tcPr>
          <w:p>
            <w:pPr>
              <w:spacing w:after="60"/>
            </w:pPr>
            <w:r>
              <w:rPr>
                <w:b/>
              </w:rPr>
              <w:t>Definition</w:t>
            </w:r>
          </w:p>
        </w:tc>
        <w:tc>
          <w:tcPr>
            <w:tcW w:type="dxa" w:w="6768"/>
          </w:tcPr>
          <w:p>
            <w:pPr>
              <w:spacing w:after="60"/>
            </w:pPr>
            <w:r>
              <w:t>Measures the linear meters of rail track successfully laid and structurally certified per week, segmented by geographic sector topology to account for severe alignment hazards.</w:t>
            </w:r>
          </w:p>
        </w:tc>
      </w:tr>
      <w:tr>
        <w:trPr>
          <w:cantSplit/>
        </w:trPr>
        <w:tc>
          <w:tcPr>
            <w:tcW w:type="dxa" w:w="2592"/>
            <w:shd w:fill="F2F2F2"/>
          </w:tcPr>
          <w:p>
            <w:pPr>
              <w:spacing w:after="60"/>
            </w:pPr>
            <w:r>
              <w:rPr>
                <w:b/>
              </w:rPr>
              <w:t>Measurement Method</w:t>
            </w:r>
          </w:p>
        </w:tc>
        <w:tc>
          <w:tcPr>
            <w:tcW w:type="dxa" w:w="6768"/>
          </w:tcPr>
          <w:p>
            <w:pPr>
              <w:spacing w:after="60"/>
            </w:pPr>
            <w:r>
              <w:t>Calculated dynamically via GPS logs from mechanized track-laying units. Formula: TIV-A = Total linear meters structurally passed within target calendar week. Performance baseline is set at 600 meters/week for mountainous/dense urban zones and 1,500 meters/week for suburban flat topography.</w:t>
            </w:r>
          </w:p>
        </w:tc>
      </w:tr>
      <w:tr>
        <w:trPr>
          <w:cantSplit/>
        </w:trPr>
        <w:tc>
          <w:tcPr>
            <w:tcW w:type="dxa" w:w="2592"/>
            <w:shd w:fill="F2F2F2"/>
          </w:tcPr>
          <w:p>
            <w:pPr>
              <w:spacing w:after="60"/>
            </w:pPr>
            <w:r>
              <w:rPr>
                <w:b/>
              </w:rPr>
              <w:t>Strategic Rationale</w:t>
            </w:r>
          </w:p>
        </w:tc>
        <w:tc>
          <w:tcPr>
            <w:tcW w:type="dxa" w:w="6768"/>
          </w:tcPr>
          <w:p>
            <w:pPr>
              <w:spacing w:after="60"/>
            </w:pPr>
            <w:r>
              <w:t>Metroville's complex topography requires distinct tracking boundaries. Segmented velocity metrics eliminate aggregate reporting distortions, allowing project leads to direct specialized equipment and civil resources directly to critical path topographical bottlenecks.</w:t>
            </w:r>
          </w:p>
        </w:tc>
      </w:tr>
    </w:tbl>
    <w:p>
      <w:pPr>
        <w:spacing w:after="120"/>
      </w:pPr>
    </w:p>
    <w:tbl>
      <w:tblPr>
        <w:tblW w:type="auto" w:w="0"/>
        <w:jc w:val="center"/>
        <w:tblLayout w:type="fixed"/>
        <w:tblLook w:firstColumn="1" w:firstRow="1" w:lastColumn="0" w:lastRow="0" w:noHBand="0" w:noVBand="1" w:val="04A0"/>
      </w:tblPr>
      <w:tblGrid>
        <w:gridCol w:w="4680"/>
        <w:gridCol w:w="4680"/>
      </w:tblGrid>
      <w:tr>
        <w:trPr>
          <w:cantSplit/>
        </w:trPr>
        <w:tc>
          <w:tcPr>
            <w:tcW w:type="dxa" w:w="2592"/>
            <w:shd w:fill="F2F2F2"/>
          </w:tcPr>
          <w:p>
            <w:pPr>
              <w:spacing w:after="60"/>
            </w:pPr>
            <w:r>
              <w:rPr>
                <w:b/>
              </w:rPr>
              <w:t>KPI Name</w:t>
            </w:r>
          </w:p>
        </w:tc>
        <w:tc>
          <w:tcPr>
            <w:tcW w:type="dxa" w:w="6768"/>
          </w:tcPr>
          <w:p>
            <w:pPr>
              <w:spacing w:after="60"/>
            </w:pPr>
            <w:r>
              <w:t>Signal Interoperability Synchronization Index (SISI)</w:t>
            </w:r>
          </w:p>
        </w:tc>
      </w:tr>
      <w:tr>
        <w:trPr>
          <w:cantSplit/>
        </w:trPr>
        <w:tc>
          <w:tcPr>
            <w:tcW w:type="dxa" w:w="2592"/>
            <w:shd w:fill="F2F2F2"/>
          </w:tcPr>
          <w:p>
            <w:pPr>
              <w:spacing w:after="60"/>
            </w:pPr>
            <w:r>
              <w:rPr>
                <w:b/>
              </w:rPr>
              <w:t>Definition</w:t>
            </w:r>
          </w:p>
        </w:tc>
        <w:tc>
          <w:tcPr>
            <w:tcW w:type="dxa" w:w="6768"/>
          </w:tcPr>
          <w:p>
            <w:pPr>
              <w:spacing w:after="60"/>
            </w:pPr>
            <w:r>
              <w:t>Measures telemetry data latency and interface compatibility between the new expansion lines' Communication-Based Train Control (CBTC) systems and the legacy network infrastructure.</w:t>
            </w:r>
          </w:p>
        </w:tc>
      </w:tr>
      <w:tr>
        <w:trPr>
          <w:cantSplit/>
        </w:trPr>
        <w:tc>
          <w:tcPr>
            <w:tcW w:type="dxa" w:w="2592"/>
            <w:shd w:fill="F2F2F2"/>
          </w:tcPr>
          <w:p>
            <w:pPr>
              <w:spacing w:after="60"/>
            </w:pPr>
            <w:r>
              <w:rPr>
                <w:b/>
              </w:rPr>
              <w:t>Measurement Method</w:t>
            </w:r>
          </w:p>
        </w:tc>
        <w:tc>
          <w:tcPr>
            <w:tcW w:type="dxa" w:w="6768"/>
          </w:tcPr>
          <w:p>
            <w:pPr>
              <w:spacing w:after="60"/>
            </w:pPr>
            <w:r>
              <w:t>Continuous end-to-end signal ping cycles are conducted via the Siemens Railigent interface platform under simulated peak capacity loads. Formula: SISI = Mean data transmission cycle time in milliseconds (ms). Target threshold is constrained to an operational maximum of &lt;50ms.</w:t>
            </w:r>
          </w:p>
        </w:tc>
      </w:tr>
      <w:tr>
        <w:trPr>
          <w:cantSplit/>
        </w:trPr>
        <w:tc>
          <w:tcPr>
            <w:tcW w:type="dxa" w:w="2592"/>
            <w:shd w:fill="F2F2F2"/>
          </w:tcPr>
          <w:p>
            <w:pPr>
              <w:spacing w:after="60"/>
            </w:pPr>
            <w:r>
              <w:rPr>
                <w:b/>
              </w:rPr>
              <w:t>Strategic Rationale</w:t>
            </w:r>
          </w:p>
        </w:tc>
        <w:tc>
          <w:tcPr>
            <w:tcW w:type="dxa" w:w="6768"/>
          </w:tcPr>
          <w:p>
            <w:pPr>
              <w:spacing w:after="60"/>
            </w:pPr>
            <w:r>
              <w:t>Flawless core system integration is mandatory to clear legacy corridor bottlenecks. Achieving sub-50ms latency ensures the network safely operates at minimized headways, directly expanding passenger throughput capacity during peak urban rush hours.</w:t>
            </w:r>
          </w:p>
        </w:tc>
      </w:tr>
    </w:tbl>
    <w:p>
      <w:pPr>
        <w:spacing w:after="120"/>
      </w:pPr>
    </w:p>
    <w:p>
      <w:pPr>
        <w:keepNext/>
        <w:spacing w:before="360" w:after="120"/>
      </w:pPr>
      <w:r>
        <w:rPr>
          <w:b/>
          <w:color w:val="003366"/>
          <w:sz w:val="28"/>
        </w:rPr>
        <w:t>2. ENVIRONMENTAL SUSTAINABILITY BENCHMARKS</w:t>
      </w:r>
    </w:p>
    <w:tbl>
      <w:tblPr>
        <w:tblW w:type="auto" w:w="0"/>
        <w:jc w:val="center"/>
        <w:tblLayout w:type="fixed"/>
        <w:tblLook w:firstColumn="1" w:firstRow="1" w:lastColumn="0" w:lastRow="0" w:noHBand="0" w:noVBand="1" w:val="04A0"/>
      </w:tblPr>
      <w:tblGrid>
        <w:gridCol w:w="4680"/>
        <w:gridCol w:w="4680"/>
      </w:tblGrid>
      <w:tr>
        <w:trPr>
          <w:cantSplit/>
        </w:trPr>
        <w:tc>
          <w:tcPr>
            <w:tcW w:type="dxa" w:w="2592"/>
            <w:shd w:fill="F2F2F2"/>
          </w:tcPr>
          <w:p>
            <w:pPr>
              <w:spacing w:after="60"/>
            </w:pPr>
            <w:r>
              <w:rPr>
                <w:b/>
              </w:rPr>
              <w:t>KPI Name</w:t>
            </w:r>
          </w:p>
        </w:tc>
        <w:tc>
          <w:tcPr>
            <w:tcW w:type="dxa" w:w="6768"/>
          </w:tcPr>
          <w:p>
            <w:pPr>
              <w:spacing w:after="60"/>
            </w:pPr>
            <w:r>
              <w:t>Infrastructure Embedded Carbon Mitigation Rate (CMR)</w:t>
            </w:r>
          </w:p>
        </w:tc>
      </w:tr>
      <w:tr>
        <w:trPr>
          <w:cantSplit/>
        </w:trPr>
        <w:tc>
          <w:tcPr>
            <w:tcW w:type="dxa" w:w="2592"/>
            <w:shd w:fill="F2F2F2"/>
          </w:tcPr>
          <w:p>
            <w:pPr>
              <w:spacing w:after="60"/>
            </w:pPr>
            <w:r>
              <w:rPr>
                <w:b/>
              </w:rPr>
              <w:t>Definition</w:t>
            </w:r>
          </w:p>
        </w:tc>
        <w:tc>
          <w:tcPr>
            <w:tcW w:type="dxa" w:w="6768"/>
          </w:tcPr>
          <w:p>
            <w:pPr>
              <w:spacing w:after="60"/>
            </w:pPr>
            <w:r>
              <w:t>Quantifies the net percentage reduction of greenhouse gas emissions (CO2 equivalent) achieved during material procurement and civil structural deployment relative to legacy projects.</w:t>
            </w:r>
          </w:p>
        </w:tc>
      </w:tr>
      <w:tr>
        <w:trPr>
          <w:cantSplit/>
        </w:trPr>
        <w:tc>
          <w:tcPr>
            <w:tcW w:type="dxa" w:w="2592"/>
            <w:shd w:fill="F2F2F2"/>
          </w:tcPr>
          <w:p>
            <w:pPr>
              <w:spacing w:after="60"/>
            </w:pPr>
            <w:r>
              <w:rPr>
                <w:b/>
              </w:rPr>
              <w:t>Measurement Method</w:t>
            </w:r>
          </w:p>
        </w:tc>
        <w:tc>
          <w:tcPr>
            <w:tcW w:type="dxa" w:w="6768"/>
          </w:tcPr>
          <w:p>
            <w:pPr>
              <w:spacing w:after="60"/>
            </w:pPr>
            <w:r>
              <w:t>Material receipts are audited quarterly against verified Environmental Product Declarations (EPDs). Formula: CMR = [1 - (Actual Metric Tons CO2e per meter built / Historical Baseline Metric Tons CO2e per meter built)] x 100%. Targeted contractual ceiling is set at a 30% reduction minimum.</w:t>
            </w:r>
          </w:p>
        </w:tc>
      </w:tr>
      <w:tr>
        <w:trPr>
          <w:cantSplit/>
        </w:trPr>
        <w:tc>
          <w:tcPr>
            <w:tcW w:type="dxa" w:w="2592"/>
            <w:shd w:fill="F2F2F2"/>
          </w:tcPr>
          <w:p>
            <w:pPr>
              <w:spacing w:after="60"/>
            </w:pPr>
            <w:r>
              <w:rPr>
                <w:b/>
              </w:rPr>
              <w:t>Strategic Rationale</w:t>
            </w:r>
          </w:p>
        </w:tc>
        <w:tc>
          <w:tcPr>
            <w:tcW w:type="dxa" w:w="6768"/>
          </w:tcPr>
          <w:p>
            <w:pPr>
              <w:spacing w:after="60"/>
            </w:pPr>
            <w:r>
              <w:t>Civil procurement accounts for the project's primary environmental impact. Verifiable embedded carbon tracking enforces supply chain accountability, demonstrating strict compliance with the municipality's clean industrial mandates before commercial operations commence.</w:t>
            </w:r>
          </w:p>
        </w:tc>
      </w:tr>
    </w:tbl>
    <w:p>
      <w:pPr>
        <w:spacing w:after="120"/>
      </w:pPr>
    </w:p>
    <w:tbl>
      <w:tblPr>
        <w:tblW w:type="auto" w:w="0"/>
        <w:jc w:val="center"/>
        <w:tblLayout w:type="fixed"/>
        <w:tblLook w:firstColumn="1" w:firstRow="1" w:lastColumn="0" w:lastRow="0" w:noHBand="0" w:noVBand="1" w:val="04A0"/>
      </w:tblPr>
      <w:tblGrid>
        <w:gridCol w:w="4680"/>
        <w:gridCol w:w="4680"/>
      </w:tblGrid>
      <w:tr>
        <w:trPr>
          <w:cantSplit/>
        </w:trPr>
        <w:tc>
          <w:tcPr>
            <w:tcW w:type="dxa" w:w="2592"/>
            <w:shd w:fill="F2F2F2"/>
          </w:tcPr>
          <w:p>
            <w:pPr>
              <w:spacing w:after="60"/>
            </w:pPr>
            <w:r>
              <w:rPr>
                <w:b/>
              </w:rPr>
              <w:t>KPI Name</w:t>
            </w:r>
          </w:p>
        </w:tc>
        <w:tc>
          <w:tcPr>
            <w:tcW w:type="dxa" w:w="6768"/>
          </w:tcPr>
          <w:p>
            <w:pPr>
              <w:spacing w:after="60"/>
            </w:pPr>
            <w:r>
              <w:t>Urban Canopy &amp; Green Space Net Gain (GSNG)</w:t>
            </w:r>
          </w:p>
        </w:tc>
      </w:tr>
      <w:tr>
        <w:trPr>
          <w:cantSplit/>
        </w:trPr>
        <w:tc>
          <w:tcPr>
            <w:tcW w:type="dxa" w:w="2592"/>
            <w:shd w:fill="F2F2F2"/>
          </w:tcPr>
          <w:p>
            <w:pPr>
              <w:spacing w:after="60"/>
            </w:pPr>
            <w:r>
              <w:rPr>
                <w:b/>
              </w:rPr>
              <w:t>Definition</w:t>
            </w:r>
          </w:p>
        </w:tc>
        <w:tc>
          <w:tcPr>
            <w:tcW w:type="dxa" w:w="6768"/>
          </w:tcPr>
          <w:p>
            <w:pPr>
              <w:spacing w:after="60"/>
            </w:pPr>
            <w:r>
              <w:t>Tracks the total net surface square meters of active urban canopy and green micro-parks established along the transit corridor relative to the acreage cleared during civil works.</w:t>
            </w:r>
          </w:p>
        </w:tc>
      </w:tr>
      <w:tr>
        <w:trPr>
          <w:cantSplit/>
        </w:trPr>
        <w:tc>
          <w:tcPr>
            <w:tcW w:type="dxa" w:w="2592"/>
            <w:shd w:fill="F2F2F2"/>
          </w:tcPr>
          <w:p>
            <w:pPr>
              <w:spacing w:after="60"/>
            </w:pPr>
            <w:r>
              <w:rPr>
                <w:b/>
              </w:rPr>
              <w:t>Measurement Method</w:t>
            </w:r>
          </w:p>
        </w:tc>
        <w:tc>
          <w:tcPr>
            <w:tcW w:type="dxa" w:w="6768"/>
          </w:tcPr>
          <w:p>
            <w:pPr>
              <w:spacing w:after="60"/>
            </w:pPr>
            <w:r>
              <w:t>Cross-verified via multi-spectral GIS mapping data and physical site surveys. Formula: GSNG = Total newly developed or restored vegetation surface area (m2) minus total permanently cleared green footprint (m2). The project mandates a minimum 1.5:1 replacement ratio.</w:t>
            </w:r>
          </w:p>
        </w:tc>
      </w:tr>
      <w:tr>
        <w:trPr>
          <w:cantSplit/>
        </w:trPr>
        <w:tc>
          <w:tcPr>
            <w:tcW w:type="dxa" w:w="2592"/>
            <w:shd w:fill="F2F2F2"/>
          </w:tcPr>
          <w:p>
            <w:pPr>
              <w:spacing w:after="60"/>
            </w:pPr>
            <w:r>
              <w:rPr>
                <w:b/>
              </w:rPr>
              <w:t>Strategic Rationale</w:t>
            </w:r>
          </w:p>
        </w:tc>
        <w:tc>
          <w:tcPr>
            <w:tcW w:type="dxa" w:w="6768"/>
          </w:tcPr>
          <w:p>
            <w:pPr>
              <w:spacing w:after="60"/>
            </w:pPr>
            <w:r>
              <w:t>Directly supports Metroville's environmental goals to improve air quality and reverse urban heat island effects. Prioritizing vegetation replacement in the congested central core ensures the project leaves a positive ecological legacy for the municipal authority.</w:t>
            </w:r>
          </w:p>
        </w:tc>
      </w:tr>
    </w:tbl>
    <w:p>
      <w:pPr>
        <w:spacing w:after="120"/>
      </w:pPr>
    </w:p>
    <w:p>
      <w:pPr>
        <w:keepNext/>
        <w:spacing w:before="360" w:after="120"/>
      </w:pPr>
      <w:r>
        <w:rPr>
          <w:b/>
          <w:color w:val="003366"/>
          <w:sz w:val="28"/>
        </w:rPr>
        <w:t>3. COMMUNITY ACCEPTANCE &amp; GOVERNANCE</w:t>
      </w:r>
    </w:p>
    <w:tbl>
      <w:tblPr>
        <w:tblW w:type="auto" w:w="0"/>
        <w:jc w:val="center"/>
        <w:tblLayout w:type="fixed"/>
        <w:tblLook w:firstColumn="1" w:firstRow="1" w:lastColumn="0" w:lastRow="0" w:noHBand="0" w:noVBand="1" w:val="04A0"/>
      </w:tblPr>
      <w:tblGrid>
        <w:gridCol w:w="4680"/>
        <w:gridCol w:w="4680"/>
      </w:tblGrid>
      <w:tr>
        <w:trPr>
          <w:cantSplit/>
        </w:trPr>
        <w:tc>
          <w:tcPr>
            <w:tcW w:type="dxa" w:w="2592"/>
            <w:shd w:fill="F2F2F2"/>
          </w:tcPr>
          <w:p>
            <w:pPr>
              <w:spacing w:after="60"/>
            </w:pPr>
            <w:r>
              <w:rPr>
                <w:b/>
              </w:rPr>
              <w:t>KPI Name</w:t>
            </w:r>
          </w:p>
        </w:tc>
        <w:tc>
          <w:tcPr>
            <w:tcW w:type="dxa" w:w="6768"/>
          </w:tcPr>
          <w:p>
            <w:pPr>
              <w:spacing w:after="60"/>
            </w:pPr>
            <w:r>
              <w:t>Local Disruption Grievance Resolution Velocity (GRV)</w:t>
            </w:r>
          </w:p>
        </w:tc>
      </w:tr>
      <w:tr>
        <w:trPr>
          <w:cantSplit/>
        </w:trPr>
        <w:tc>
          <w:tcPr>
            <w:tcW w:type="dxa" w:w="2592"/>
            <w:shd w:fill="F2F2F2"/>
          </w:tcPr>
          <w:p>
            <w:pPr>
              <w:spacing w:after="60"/>
            </w:pPr>
            <w:r>
              <w:rPr>
                <w:b/>
              </w:rPr>
              <w:t>Definition</w:t>
            </w:r>
          </w:p>
        </w:tc>
        <w:tc>
          <w:tcPr>
            <w:tcW w:type="dxa" w:w="6768"/>
          </w:tcPr>
          <w:p>
            <w:pPr>
              <w:spacing w:after="60"/>
            </w:pPr>
            <w:r>
              <w:t>Measures the operational lifecycle of public complaints regarding active construction noise, structural dust, and local detours from submission to confirmed field mitigation.</w:t>
            </w:r>
          </w:p>
        </w:tc>
      </w:tr>
      <w:tr>
        <w:trPr>
          <w:cantSplit/>
        </w:trPr>
        <w:tc>
          <w:tcPr>
            <w:tcW w:type="dxa" w:w="2592"/>
            <w:shd w:fill="F2F2F2"/>
          </w:tcPr>
          <w:p>
            <w:pPr>
              <w:spacing w:after="60"/>
            </w:pPr>
            <w:r>
              <w:rPr>
                <w:b/>
              </w:rPr>
              <w:t>Measurement Method</w:t>
            </w:r>
          </w:p>
        </w:tc>
        <w:tc>
          <w:tcPr>
            <w:tcW w:type="dxa" w:w="6768"/>
          </w:tcPr>
          <w:p>
            <w:pPr>
              <w:spacing w:after="60"/>
            </w:pPr>
            <w:r>
              <w:t>Tracked via the municipal digital engagement portal. Formula: GRV = Mean time elapsed from ticket submission to verified engineering closure. High-priority corridor issues are bound to an SLA target of &lt;2 hours.</w:t>
            </w:r>
          </w:p>
        </w:tc>
      </w:tr>
      <w:tr>
        <w:trPr>
          <w:cantSplit/>
        </w:trPr>
        <w:tc>
          <w:tcPr>
            <w:tcW w:type="dxa" w:w="2592"/>
            <w:shd w:fill="F2F2F2"/>
          </w:tcPr>
          <w:p>
            <w:pPr>
              <w:spacing w:after="60"/>
            </w:pPr>
            <w:r>
              <w:rPr>
                <w:b/>
              </w:rPr>
              <w:t>Strategic Rationale</w:t>
            </w:r>
          </w:p>
        </w:tc>
        <w:tc>
          <w:tcPr>
            <w:tcW w:type="dxa" w:w="6768"/>
          </w:tcPr>
          <w:p>
            <w:pPr>
              <w:spacing w:after="60"/>
            </w:pPr>
            <w:r>
              <w:t>Mitigating construction impacts on a population of 2.5 million is critical to maintaining project authorization. Accountable resolution timelines protect municipal relations and mitigate public resistance, preventing regulatory or localized stoppages.</w:t>
            </w:r>
          </w:p>
        </w:tc>
      </w:tr>
    </w:tbl>
    <w:p>
      <w:pPr>
        <w:spacing w:after="120"/>
      </w:pPr>
    </w:p>
    <w:tbl>
      <w:tblPr>
        <w:tblW w:type="auto" w:w="0"/>
        <w:jc w:val="center"/>
        <w:tblLayout w:type="fixed"/>
        <w:tblLook w:firstColumn="1" w:firstRow="1" w:lastColumn="0" w:lastRow="0" w:noHBand="0" w:noVBand="1" w:val="04A0"/>
      </w:tblPr>
      <w:tblGrid>
        <w:gridCol w:w="4680"/>
        <w:gridCol w:w="4680"/>
      </w:tblGrid>
      <w:tr>
        <w:trPr>
          <w:cantSplit/>
        </w:trPr>
        <w:tc>
          <w:tcPr>
            <w:tcW w:type="dxa" w:w="2592"/>
            <w:shd w:fill="F2F2F2"/>
          </w:tcPr>
          <w:p>
            <w:pPr>
              <w:spacing w:after="60"/>
            </w:pPr>
            <w:r>
              <w:rPr>
                <w:b/>
              </w:rPr>
              <w:t>KPI Name</w:t>
            </w:r>
          </w:p>
        </w:tc>
        <w:tc>
          <w:tcPr>
            <w:tcW w:type="dxa" w:w="6768"/>
          </w:tcPr>
          <w:p>
            <w:pPr>
              <w:spacing w:after="60"/>
            </w:pPr>
            <w:r>
              <w:t>Underserved Suburb Transit Accessibility Index (TAI)</w:t>
            </w:r>
          </w:p>
        </w:tc>
      </w:tr>
      <w:tr>
        <w:trPr>
          <w:cantSplit/>
        </w:trPr>
        <w:tc>
          <w:tcPr>
            <w:tcW w:type="dxa" w:w="2592"/>
            <w:shd w:fill="F2F2F2"/>
          </w:tcPr>
          <w:p>
            <w:pPr>
              <w:spacing w:after="60"/>
            </w:pPr>
            <w:r>
              <w:rPr>
                <w:b/>
              </w:rPr>
              <w:t>Definition</w:t>
            </w:r>
          </w:p>
        </w:tc>
        <w:tc>
          <w:tcPr>
            <w:tcW w:type="dxa" w:w="6768"/>
          </w:tcPr>
          <w:p>
            <w:pPr>
              <w:spacing w:after="60"/>
            </w:pPr>
            <w:r>
              <w:t>Assesses geographic connectivity equity by measuring the percentage of the suburban population brought within standard walkability of a rail transport node.</w:t>
            </w:r>
          </w:p>
        </w:tc>
      </w:tr>
      <w:tr>
        <w:trPr>
          <w:cantSplit/>
        </w:trPr>
        <w:tc>
          <w:tcPr>
            <w:tcW w:type="dxa" w:w="2592"/>
            <w:shd w:fill="F2F2F2"/>
          </w:tcPr>
          <w:p>
            <w:pPr>
              <w:spacing w:after="60"/>
            </w:pPr>
            <w:r>
              <w:rPr>
                <w:b/>
              </w:rPr>
              <w:t>Measurement Method</w:t>
            </w:r>
          </w:p>
        </w:tc>
        <w:tc>
          <w:tcPr>
            <w:tcW w:type="dxa" w:w="6768"/>
          </w:tcPr>
          <w:p>
            <w:pPr>
              <w:spacing w:after="60"/>
            </w:pPr>
            <w:r>
              <w:t>Calculated by cross-referencing regional GIS population grids with new station portal coordinates. Formula: TAI = (Suburban households situated within an 800-meter walk radius of a station access gate / Total households within the southern and eastern suburban sectors) x 100%. System target is &gt;75% coverage.</w:t>
            </w:r>
          </w:p>
        </w:tc>
      </w:tr>
      <w:tr>
        <w:trPr>
          <w:cantSplit/>
        </w:trPr>
        <w:tc>
          <w:tcPr>
            <w:tcW w:type="dxa" w:w="2592"/>
            <w:shd w:fill="F2F2F2"/>
          </w:tcPr>
          <w:p>
            <w:pPr>
              <w:spacing w:after="60"/>
            </w:pPr>
            <w:r>
              <w:rPr>
                <w:b/>
              </w:rPr>
              <w:t>Strategic Rationale</w:t>
            </w:r>
          </w:p>
        </w:tc>
        <w:tc>
          <w:tcPr>
            <w:tcW w:type="dxa" w:w="6768"/>
          </w:tcPr>
          <w:p>
            <w:pPr>
              <w:spacing w:after="60"/>
            </w:pPr>
            <w:r>
              <w:t>Directly measures performance against the project's primary social purpose: eliminating transit isolation in the southern and eastern residential suburbs. This ensures population growth tracks alongside access to economic hubs.</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