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LOAN PORTFOLIO RISK &amp; ACQUISITION ANALYTICS</w:t>
      </w:r>
    </w:p>
    <w:p>
      <w:pPr>
        <w:jc w:val="center"/>
      </w:pPr>
      <w:r>
        <w:rPr>
          <w:i/>
        </w:rPr>
        <w:t>End-to-End Project Documentation | Python • SQL • Power BI • DAX</w:t>
      </w:r>
    </w:p>
    <w:p>
      <w:pPr>
        <w:pStyle w:val="Heading1"/>
      </w:pPr>
      <w:r>
        <w:t>1. Executive Summary</w:t>
      </w:r>
    </w:p>
    <w:p>
      <w:r>
        <w:t>This project analyzes a Lending Club loan portfolio covering 2015–2018, with approximately 1.79 million loan records and 56 fields. The objective is to evaluate portfolio exposure, financial performance, recoveries, acquisition quality and borrower credit risk. The workflow combines Python-based profiling and financial analysis, SQL-based analytical validation and segmentation, and a three-page Power BI dashboard with DAX measures.</w:t>
      </w:r>
    </w:p>
    <w:p>
      <w:pPr>
        <w:pStyle w:val="Heading1"/>
      </w:pPr>
      <w:r>
        <w:t>2. Business Problem</w:t>
      </w:r>
    </w:p>
    <w:p>
      <w:r>
        <w:t>A lending portfolio can generate substantial funding volume while still producing weak financial outcomes when credit losses, borrower risk and acquisition quality are not properly managed. This project identifies risk and performance patterns across loan grades, terms, borrower characteristics and acquisition segments.</w:t>
      </w:r>
    </w:p>
    <w:p>
      <w:pPr>
        <w:pStyle w:val="Heading1"/>
      </w:pPr>
      <w:r>
        <w:t>3. Objectives</w:t>
      </w:r>
    </w:p>
    <w:p>
      <w:pPr>
        <w:pStyle w:val="ListBullet"/>
      </w:pPr>
      <w:r>
        <w:t>Measure portfolio size, funded exposure and loan-status composition.</w:t>
      </w:r>
    </w:p>
    <w:p>
      <w:pPr>
        <w:pStyle w:val="ListBullet"/>
      </w:pPr>
      <w:r>
        <w:t>Evaluate charge-off patterns across grades, FICO, DTI and borrower-risk segments.</w:t>
      </w:r>
    </w:p>
    <w:p>
      <w:pPr>
        <w:pStyle w:val="ListBullet"/>
      </w:pPr>
      <w:r>
        <w:t>Compare financial performance across loan grades and terms.</w:t>
      </w:r>
    </w:p>
    <w:p>
      <w:pPr>
        <w:pStyle w:val="ListBullet"/>
      </w:pPr>
      <w:r>
        <w:t>Analyze recoveries, payments, principal, interest and net cash outcomes.</w:t>
      </w:r>
    </w:p>
    <w:p>
      <w:pPr>
        <w:pStyle w:val="ListBullet"/>
      </w:pPr>
      <w:r>
        <w:t>Evaluate acquisition categories and their funded exposure.</w:t>
      </w:r>
    </w:p>
    <w:p>
      <w:pPr>
        <w:pStyle w:val="ListBullet"/>
      </w:pPr>
      <w:r>
        <w:t>Translate analytical findings into management-oriented recommendations.</w:t>
      </w:r>
    </w:p>
    <w:p>
      <w:pPr>
        <w:pStyle w:val="Heading1"/>
      </w:pPr>
      <w:r>
        <w:t>4. Dataset &amp; Scope</w:t>
      </w:r>
    </w:p>
    <w:tbl>
      <w:tblPr>
        <w:tblStyle w:val="TableGrid"/>
        <w:tblW w:type="auto" w:w="0"/>
        <w:tblLook w:firstColumn="1" w:firstRow="1" w:lastColumn="0" w:lastRow="0" w:noHBand="0" w:noVBand="1" w:val="04A0"/>
      </w:tblPr>
      <w:tblGrid>
        <w:gridCol w:w="5040"/>
        <w:gridCol w:w="5040"/>
      </w:tblGrid>
      <w:tr>
        <w:tc>
          <w:tcPr>
            <w:tcW w:type="dxa" w:w="5040"/>
            <w:shd w:fill="17324D"/>
          </w:tcPr>
          <w:p>
            <w:r>
              <w:t>Item</w:t>
            </w:r>
          </w:p>
        </w:tc>
        <w:tc>
          <w:tcPr>
            <w:tcW w:type="dxa" w:w="5040"/>
            <w:shd w:fill="17324D"/>
          </w:tcPr>
          <w:p>
            <w:r>
              <w:t>Detail</w:t>
            </w:r>
          </w:p>
        </w:tc>
      </w:tr>
      <w:tr>
        <w:tc>
          <w:tcPr>
            <w:tcW w:type="dxa" w:w="5040"/>
          </w:tcPr>
          <w:p>
            <w:r>
              <w:t>Source</w:t>
            </w:r>
          </w:p>
        </w:tc>
        <w:tc>
          <w:tcPr>
            <w:tcW w:type="dxa" w:w="5040"/>
          </w:tcPr>
          <w:p>
            <w:r>
              <w:t>Lending Club loan portfolio dataset</w:t>
            </w:r>
          </w:p>
        </w:tc>
      </w:tr>
      <w:tr>
        <w:tc>
          <w:tcPr>
            <w:tcW w:type="dxa" w:w="5040"/>
          </w:tcPr>
          <w:p>
            <w:r>
              <w:t>Period</w:t>
            </w:r>
          </w:p>
        </w:tc>
        <w:tc>
          <w:tcPr>
            <w:tcW w:type="dxa" w:w="5040"/>
          </w:tcPr>
          <w:p>
            <w:r>
              <w:t>2015–2018</w:t>
            </w:r>
          </w:p>
        </w:tc>
      </w:tr>
      <w:tr>
        <w:tc>
          <w:tcPr>
            <w:tcW w:type="dxa" w:w="5040"/>
          </w:tcPr>
          <w:p>
            <w:r>
              <w:t>Records</w:t>
            </w:r>
          </w:p>
        </w:tc>
        <w:tc>
          <w:tcPr>
            <w:tcW w:type="dxa" w:w="5040"/>
          </w:tcPr>
          <w:p>
            <w:r>
              <w:t>≈1.79M loans</w:t>
            </w:r>
          </w:p>
        </w:tc>
      </w:tr>
      <w:tr>
        <w:tc>
          <w:tcPr>
            <w:tcW w:type="dxa" w:w="5040"/>
          </w:tcPr>
          <w:p>
            <w:r>
              <w:t>Fields</w:t>
            </w:r>
          </w:p>
        </w:tc>
        <w:tc>
          <w:tcPr>
            <w:tcW w:type="dxa" w:w="5040"/>
          </w:tcPr>
          <w:p>
            <w:r>
              <w:t>56 columns</w:t>
            </w:r>
          </w:p>
        </w:tc>
      </w:tr>
      <w:tr>
        <w:tc>
          <w:tcPr>
            <w:tcW w:type="dxa" w:w="5040"/>
          </w:tcPr>
          <w:p>
            <w:r>
              <w:t>Themes</w:t>
            </w:r>
          </w:p>
        </w:tc>
        <w:tc>
          <w:tcPr>
            <w:tcW w:type="dxa" w:w="5040"/>
          </w:tcPr>
          <w:p>
            <w:r>
              <w:t>Portfolio, performance, recovery, acquisition and credit risk</w:t>
            </w:r>
          </w:p>
        </w:tc>
      </w:tr>
    </w:tbl>
    <w:p>
      <w:pPr>
        <w:pStyle w:val="Heading1"/>
      </w:pPr>
      <w:r>
        <w:t>5. Analytical Workflow</w:t>
      </w:r>
    </w:p>
    <w:p>
      <w:r>
        <w:rPr>
          <w:b/>
        </w:rPr>
        <w:t xml:space="preserve">Data preparation: </w:t>
      </w:r>
      <w:r>
        <w:t>Cleaned and prepared the portfolio data for analysis.</w:t>
      </w:r>
    </w:p>
    <w:p>
      <w:r>
        <w:rPr>
          <w:b/>
        </w:rPr>
        <w:t xml:space="preserve">Python: </w:t>
      </w:r>
      <w:r>
        <w:t>Performed portfolio profiling, financial analysis and exploratory visualizations.</w:t>
      </w:r>
    </w:p>
    <w:p>
      <w:r>
        <w:rPr>
          <w:b/>
        </w:rPr>
        <w:t xml:space="preserve">SQL: </w:t>
      </w:r>
      <w:r>
        <w:t>Analyzed portfolio overview, loan status, grade/term risk, FICO, DTI, delinquency, bankruptcy, inquiries, utilization and financial/recovery performance.</w:t>
      </w:r>
    </w:p>
    <w:p>
      <w:r>
        <w:rPr>
          <w:b/>
        </w:rPr>
        <w:t xml:space="preserve">Power BI: </w:t>
      </w:r>
      <w:r>
        <w:t>Built a three-page decision-support dashboard.</w:t>
      </w:r>
    </w:p>
    <w:p>
      <w:r>
        <w:rPr>
          <w:b/>
        </w:rPr>
        <w:t xml:space="preserve">DAX: </w:t>
      </w:r>
      <w:r>
        <w:t>Created portfolio, completed-loan, cash-return, recovery and charge-off measures.</w:t>
      </w:r>
    </w:p>
    <w:p>
      <w:r>
        <w:rPr>
          <w:b/>
        </w:rPr>
        <w:t xml:space="preserve">Insight generation: </w:t>
      </w:r>
      <w:r>
        <w:t>Converted results into findings, implications and recommendations.</w:t>
      </w:r>
    </w:p>
    <w:p>
      <w:pPr>
        <w:pStyle w:val="Heading1"/>
      </w:pPr>
      <w:r>
        <w:t>6. Dashboard Structure</w:t>
      </w:r>
    </w:p>
    <w:p>
      <w:pPr>
        <w:pStyle w:val="Heading2"/>
      </w:pPr>
      <w:r>
        <w:t>Page 1 — Executive Portfolio Overview</w:t>
      </w:r>
    </w:p>
    <w:p>
      <w:r>
        <w:t>Portfolio KPIs, loan status, grade-level performance, exposure, return, grade/term risk and acquisition segmentation.</w:t>
      </w:r>
    </w:p>
    <w:p>
      <w:pPr>
        <w:pStyle w:val="Heading2"/>
      </w:pPr>
      <w:r>
        <w:t>Page 2 — Financial Performance &amp; Recovery</w:t>
      </w:r>
    </w:p>
    <w:p>
      <w:r>
        <w:t>Completed-loan KPIs, recoveries, total payments, principal/interest received, acquisition funding and grade/term cash performance.</w:t>
      </w:r>
    </w:p>
    <w:p>
      <w:pPr>
        <w:pStyle w:val="Heading2"/>
      </w:pPr>
      <w:r>
        <w:t>Page 3 — Credit Risk Analysis</w:t>
      </w:r>
    </w:p>
    <w:p>
      <w:r>
        <w:t>Charge-off and exposure analysis across FICO, DTI, previous delinquency, bankruptcy, utilization and recent credit inquiry.</w:t>
      </w:r>
    </w:p>
    <w:p>
      <w:pPr>
        <w:pStyle w:val="Heading1"/>
      </w:pPr>
      <w:r>
        <w:t>7. Key Portfolio KPIs</w:t>
      </w:r>
    </w:p>
    <w:tbl>
      <w:tblPr>
        <w:tblStyle w:val="TableGrid"/>
        <w:tblW w:type="auto" w:w="0"/>
        <w:tblLook w:firstColumn="1" w:firstRow="1" w:lastColumn="0" w:lastRow="0" w:noHBand="0" w:noVBand="1" w:val="04A0"/>
      </w:tblPr>
      <w:tblGrid>
        <w:gridCol w:w="5040"/>
        <w:gridCol w:w="5040"/>
      </w:tblGrid>
      <w:tr>
        <w:tc>
          <w:tcPr>
            <w:tcW w:type="dxa" w:w="5040"/>
            <w:shd w:fill="17324D"/>
          </w:tcPr>
          <w:p>
            <w:r>
              <w:t>Metric</w:t>
            </w:r>
          </w:p>
        </w:tc>
        <w:tc>
          <w:tcPr>
            <w:tcW w:type="dxa" w:w="5040"/>
            <w:shd w:fill="17324D"/>
          </w:tcPr>
          <w:p>
            <w:r>
              <w:t>Dashboard value</w:t>
            </w:r>
          </w:p>
        </w:tc>
      </w:tr>
      <w:tr>
        <w:tc>
          <w:tcPr>
            <w:tcW w:type="dxa" w:w="5040"/>
          </w:tcPr>
          <w:p>
            <w:r>
              <w:t>Total loans</w:t>
            </w:r>
          </w:p>
        </w:tc>
        <w:tc>
          <w:tcPr>
            <w:tcW w:type="dxa" w:w="5040"/>
          </w:tcPr>
          <w:p>
            <w:r>
              <w:t>≈1.79M</w:t>
            </w:r>
          </w:p>
        </w:tc>
      </w:tr>
      <w:tr>
        <w:tc>
          <w:tcPr>
            <w:tcW w:type="dxa" w:w="5040"/>
          </w:tcPr>
          <w:p>
            <w:r>
              <w:t>Total funded amount</w:t>
            </w:r>
          </w:p>
        </w:tc>
        <w:tc>
          <w:tcPr>
            <w:tcW w:type="dxa" w:w="5040"/>
          </w:tcPr>
          <w:p>
            <w:r>
              <w:t>≈$27.34B</w:t>
            </w:r>
          </w:p>
        </w:tc>
      </w:tr>
      <w:tr>
        <w:tc>
          <w:tcPr>
            <w:tcW w:type="dxa" w:w="5040"/>
          </w:tcPr>
          <w:p>
            <w:r>
              <w:t>Overall charge-off rate</w:t>
            </w:r>
          </w:p>
        </w:tc>
        <w:tc>
          <w:tcPr>
            <w:tcW w:type="dxa" w:w="5040"/>
          </w:tcPr>
          <w:p>
            <w:r>
              <w:t>≈10.70%</w:t>
            </w:r>
          </w:p>
        </w:tc>
      </w:tr>
      <w:tr>
        <w:tc>
          <w:tcPr>
            <w:tcW w:type="dxa" w:w="5040"/>
          </w:tcPr>
          <w:p>
            <w:r>
              <w:t>Completed loans</w:t>
            </w:r>
          </w:p>
        </w:tc>
        <w:tc>
          <w:tcPr>
            <w:tcW w:type="dxa" w:w="5040"/>
          </w:tcPr>
          <w:p>
            <w:r>
              <w:t>≈894K</w:t>
            </w:r>
          </w:p>
        </w:tc>
      </w:tr>
      <w:tr>
        <w:tc>
          <w:tcPr>
            <w:tcW w:type="dxa" w:w="5040"/>
          </w:tcPr>
          <w:p>
            <w:r>
              <w:t>Completed funded amount</w:t>
            </w:r>
          </w:p>
        </w:tc>
        <w:tc>
          <w:tcPr>
            <w:tcW w:type="dxa" w:w="5040"/>
          </w:tcPr>
          <w:p>
            <w:r>
              <w:t>≈$13.00B</w:t>
            </w:r>
          </w:p>
        </w:tc>
      </w:tr>
      <w:tr>
        <w:tc>
          <w:tcPr>
            <w:tcW w:type="dxa" w:w="5040"/>
          </w:tcPr>
          <w:p>
            <w:r>
              <w:t>Completed net cash return</w:t>
            </w:r>
          </w:p>
        </w:tc>
        <w:tc>
          <w:tcPr>
            <w:tcW w:type="dxa" w:w="5040"/>
          </w:tcPr>
          <w:p>
            <w:r>
              <w:t>≈−1.62%</w:t>
            </w:r>
          </w:p>
        </w:tc>
      </w:tr>
      <w:tr>
        <w:tc>
          <w:tcPr>
            <w:tcW w:type="dxa" w:w="5040"/>
          </w:tcPr>
          <w:p>
            <w:r>
              <w:t>Completed net cash outcome</w:t>
            </w:r>
          </w:p>
        </w:tc>
        <w:tc>
          <w:tcPr>
            <w:tcW w:type="dxa" w:w="5040"/>
          </w:tcPr>
          <w:p>
            <w:r>
              <w:t>≈−$211.14M</w:t>
            </w:r>
          </w:p>
        </w:tc>
      </w:tr>
      <w:tr>
        <w:tc>
          <w:tcPr>
            <w:tcW w:type="dxa" w:w="5040"/>
          </w:tcPr>
          <w:p>
            <w:r>
              <w:t>Gross recovery ratio</w:t>
            </w:r>
          </w:p>
        </w:tc>
        <w:tc>
          <w:tcPr>
            <w:tcW w:type="dxa" w:w="5040"/>
          </w:tcPr>
          <w:p>
            <w:r>
              <w:t>≈98.68%</w:t>
            </w:r>
          </w:p>
        </w:tc>
      </w:tr>
      <w:tr>
        <w:tc>
          <w:tcPr>
            <w:tcW w:type="dxa" w:w="5040"/>
          </w:tcPr>
          <w:p>
            <w:r>
              <w:t>Current exposure</w:t>
            </w:r>
          </w:p>
        </w:tc>
        <w:tc>
          <w:tcPr>
            <w:tcW w:type="dxa" w:w="5040"/>
          </w:tcPr>
          <w:p>
            <w:r>
              <w:t>≈$13.76B</w:t>
            </w:r>
          </w:p>
        </w:tc>
      </w:tr>
    </w:tbl>
    <w:p>
      <w:pPr>
        <w:pStyle w:val="Heading1"/>
      </w:pPr>
      <w:r>
        <w:t>8. Key Analytical Findings</w:t>
      </w:r>
    </w:p>
    <w:p>
      <w:pPr>
        <w:pStyle w:val="Heading2"/>
      </w:pPr>
      <w:r>
        <w:t>Portfolio scale does not guarantee attractive returns</w:t>
      </w:r>
    </w:p>
    <w:p>
      <w:r>
        <w:t>The portfolio contains ≈1.79M loans and ≈$27.34B in funded exposure, while completed loans show a −1.62% net cash return and ≈−$211.14M net cash outcome.</w:t>
      </w:r>
    </w:p>
    <w:p>
      <w:pPr>
        <w:pStyle w:val="Heading2"/>
      </w:pPr>
      <w:r>
        <w:t>Loan grade is a major risk and performance differentiator</w:t>
      </w:r>
    </w:p>
    <w:p>
      <w:r>
        <w:t>Charge-off rates rise materially as grade deteriorates, while net cash returns move from positive for stronger grades to increasingly negative for weaker grades.</w:t>
      </w:r>
    </w:p>
    <w:p>
      <w:pPr>
        <w:pStyle w:val="Heading2"/>
      </w:pPr>
      <w:r>
        <w:t>Longer terms generally weaken net cash performance</w:t>
      </w:r>
    </w:p>
    <w:p>
      <w:r>
        <w:t>The Grade × Term analysis shows weaker net cash returns for longer-term loans, particularly in middle- and lower-grade segments.</w:t>
      </w:r>
    </w:p>
    <w:p>
      <w:pPr>
        <w:pStyle w:val="Heading2"/>
      </w:pPr>
      <w:r>
        <w:t>FICO is a strong borrower-risk signal</w:t>
      </w:r>
    </w:p>
    <w:p>
      <w:r>
        <w:t>Lower FICO bands show materially higher observed charge-off rates, with risk declining as FICO improves.</w:t>
      </w:r>
    </w:p>
    <w:p>
      <w:pPr>
        <w:pStyle w:val="Heading2"/>
      </w:pPr>
      <w:r>
        <w:t>DTI provides additional risk segmentation</w:t>
      </w:r>
    </w:p>
    <w:p>
      <w:r>
        <w:t>Charge-off rates differ meaningfully across DTI bands, supporting DTI as a complementary borrower-risk variable.</w:t>
      </w:r>
    </w:p>
    <w:p>
      <w:pPr>
        <w:pStyle w:val="Heading2"/>
      </w:pPr>
      <w:r>
        <w:t>Previous delinquency matters</w:t>
      </w:r>
    </w:p>
    <w:p>
      <w:r>
        <w:t>Borrowers with previous delinquency show higher observed charge-off rates than borrowers without previous delinquency.</w:t>
      </w:r>
    </w:p>
    <w:p>
      <w:pPr>
        <w:pStyle w:val="Heading2"/>
      </w:pPr>
      <w:r>
        <w:t>Bankruptcy history is associated with elevated observed risk</w:t>
      </w:r>
    </w:p>
    <w:p>
      <w:r>
        <w:t>The bankruptcy segmentation shows higher observed charge-off performance for borrowers with bankruptcy history.</w:t>
      </w:r>
    </w:p>
    <w:p>
      <w:pPr>
        <w:pStyle w:val="Heading2"/>
      </w:pPr>
      <w:r>
        <w:t>Revolving utilization is a useful behavioural indicator</w:t>
      </w:r>
    </w:p>
    <w:p>
      <w:r>
        <w:t>Higher utilization bands show higher observed charge-off rates than lower utilization bands.</w:t>
      </w:r>
    </w:p>
    <w:p>
      <w:pPr>
        <w:pStyle w:val="Heading2"/>
      </w:pPr>
      <w:r>
        <w:t>Recent credit inquiries show a meaningful risk difference</w:t>
      </w:r>
    </w:p>
    <w:p>
      <w:r>
        <w:t>Borrowers with recent inquiries show higher observed charge-off rates than those without recent inquiries.</w:t>
      </w:r>
    </w:p>
    <w:p>
      <w:pPr>
        <w:pStyle w:val="Heading2"/>
      </w:pPr>
      <w:r>
        <w:t>Acquisition quality is a material portfolio consideration</w:t>
      </w:r>
    </w:p>
    <w:p>
      <w:r>
        <w:t>The acquisition analysis shows substantial funded exposure in the High Risk / Avoid category alongside Attractive and Watch / Selective segments.</w:t>
      </w:r>
    </w:p>
    <w:p>
      <w:pPr>
        <w:pStyle w:val="Heading1"/>
      </w:pPr>
      <w:r>
        <w:t>9. Acquisition Exposure</w:t>
      </w:r>
    </w:p>
    <w:tbl>
      <w:tblPr>
        <w:tblStyle w:val="TableGrid"/>
        <w:tblW w:type="auto" w:w="0"/>
        <w:tblLook w:firstColumn="1" w:firstRow="1" w:lastColumn="0" w:lastRow="0" w:noHBand="0" w:noVBand="1" w:val="04A0"/>
      </w:tblPr>
      <w:tblGrid>
        <w:gridCol w:w="5040"/>
        <w:gridCol w:w="5040"/>
      </w:tblGrid>
      <w:tr>
        <w:tc>
          <w:tcPr>
            <w:tcW w:type="dxa" w:w="5040"/>
            <w:shd w:fill="17324D"/>
          </w:tcPr>
          <w:p>
            <w:r>
              <w:t>Category</w:t>
            </w:r>
          </w:p>
        </w:tc>
        <w:tc>
          <w:tcPr>
            <w:tcW w:type="dxa" w:w="5040"/>
            <w:shd w:fill="17324D"/>
          </w:tcPr>
          <w:p>
            <w:r>
              <w:t>Approx. funded exposure</w:t>
            </w:r>
          </w:p>
        </w:tc>
      </w:tr>
      <w:tr>
        <w:tc>
          <w:tcPr>
            <w:tcW w:type="dxa" w:w="5040"/>
          </w:tcPr>
          <w:p>
            <w:r>
              <w:t>High Risk / Avoid</w:t>
            </w:r>
          </w:p>
        </w:tc>
        <w:tc>
          <w:tcPr>
            <w:tcW w:type="dxa" w:w="5040"/>
          </w:tcPr>
          <w:p>
            <w:r>
              <w:t>≈$5.7B</w:t>
            </w:r>
          </w:p>
        </w:tc>
      </w:tr>
      <w:tr>
        <w:tc>
          <w:tcPr>
            <w:tcW w:type="dxa" w:w="5040"/>
          </w:tcPr>
          <w:p>
            <w:r>
              <w:t>Attractive</w:t>
            </w:r>
          </w:p>
        </w:tc>
        <w:tc>
          <w:tcPr>
            <w:tcW w:type="dxa" w:w="5040"/>
          </w:tcPr>
          <w:p>
            <w:r>
              <w:t>≈$5.0B</w:t>
            </w:r>
          </w:p>
        </w:tc>
      </w:tr>
      <w:tr>
        <w:tc>
          <w:tcPr>
            <w:tcW w:type="dxa" w:w="5040"/>
          </w:tcPr>
          <w:p>
            <w:r>
              <w:t>Watch / Selective</w:t>
            </w:r>
          </w:p>
        </w:tc>
        <w:tc>
          <w:tcPr>
            <w:tcW w:type="dxa" w:w="5040"/>
          </w:tcPr>
          <w:p>
            <w:r>
              <w:t>≈$2.4B</w:t>
            </w:r>
          </w:p>
        </w:tc>
      </w:tr>
    </w:tbl>
    <w:p>
      <w:pPr>
        <w:pStyle w:val="Heading1"/>
      </w:pPr>
      <w:r>
        <w:t>10. Business Recommendations</w:t>
      </w:r>
    </w:p>
    <w:p>
      <w:pPr>
        <w:pStyle w:val="ListBullet"/>
      </w:pPr>
      <w:r>
        <w:t>Use risk-based acquisition criteria combining loan grade with borrower characteristics.</w:t>
      </w:r>
    </w:p>
    <w:p>
      <w:pPr>
        <w:pStyle w:val="ListBullet"/>
      </w:pPr>
      <w:r>
        <w:t>Apply tighter underwriting or exposure limits to lower-grade segments with high charge-off rates and negative cash returns.</w:t>
      </w:r>
    </w:p>
    <w:p>
      <w:pPr>
        <w:pStyle w:val="ListBullet"/>
      </w:pPr>
      <w:r>
        <w:t>Evaluate loan term jointly with credit quality rather than treating term independently.</w:t>
      </w:r>
    </w:p>
    <w:p>
      <w:pPr>
        <w:pStyle w:val="ListBullet"/>
      </w:pPr>
      <w:r>
        <w:t>Use FICO, DTI, delinquency, bankruptcy, utilization and recent inquiries as supplementary risk signals.</w:t>
      </w:r>
    </w:p>
    <w:p>
      <w:pPr>
        <w:pStyle w:val="ListBullet"/>
      </w:pPr>
      <w:r>
        <w:t>Review acquisition allocation where material funding is concentrated in High Risk / Avoid.</w:t>
      </w:r>
    </w:p>
    <w:p>
      <w:pPr>
        <w:pStyle w:val="ListBullet"/>
      </w:pPr>
      <w:r>
        <w:t>Track both credit-risk metrics and cash-return metrics so portfolio growth is not evaluated independently of profitability.</w:t>
      </w:r>
    </w:p>
    <w:p>
      <w:pPr>
        <w:pStyle w:val="Heading1"/>
      </w:pPr>
      <w:r>
        <w:t>11. Skills Demonstrated</w:t>
      </w:r>
    </w:p>
    <w:p>
      <w:pPr>
        <w:pStyle w:val="ListBullet"/>
      </w:pPr>
      <w:r>
        <w:t>Python: portfolio profiling, financial analysis and exploratory visualization.</w:t>
      </w:r>
    </w:p>
    <w:p>
      <w:pPr>
        <w:pStyle w:val="ListBullet"/>
      </w:pPr>
      <w:r>
        <w:t>SQL: analytical segmentation, validation and financial/recovery analysis.</w:t>
      </w:r>
    </w:p>
    <w:p>
      <w:pPr>
        <w:pStyle w:val="ListBullet"/>
      </w:pPr>
      <w:r>
        <w:t>Power BI: three-page executive dashboard design and visual storytelling.</w:t>
      </w:r>
    </w:p>
    <w:p>
      <w:pPr>
        <w:pStyle w:val="ListBullet"/>
      </w:pPr>
      <w:r>
        <w:t>DAX: KPI, charge-off, recovery, return and cash-outcome measures.</w:t>
      </w:r>
    </w:p>
    <w:p>
      <w:pPr>
        <w:pStyle w:val="ListBullet"/>
      </w:pPr>
      <w:r>
        <w:t>Data visualization: KPI cards, bar/column charts, donut charts, matrices and conditional formatting.</w:t>
      </w:r>
    </w:p>
    <w:p>
      <w:pPr>
        <w:pStyle w:val="ListBullet"/>
      </w:pPr>
      <w:r>
        <w:t>Business analytics: converting portfolio findings into risk and acquisition recommendations.</w:t>
      </w:r>
    </w:p>
    <w:p>
      <w:pPr>
        <w:pStyle w:val="Heading1"/>
      </w:pPr>
      <w:r>
        <w:t>12. Resume-Ready Project Entry</w:t>
      </w:r>
    </w:p>
    <w:p>
      <w:r>
        <w:rPr>
          <w:b/>
        </w:rPr>
        <w:t>Loan Portfolio Risk &amp; Acquisition Analytics | Python, SQL, Power BI, DAX</w:t>
      </w:r>
    </w:p>
    <w:p>
      <w:pPr>
        <w:pStyle w:val="ListBullet"/>
      </w:pPr>
      <w:r>
        <w:t>Analyzed ≈1.79M Lending Club loans and ≈$27.34B in funded exposure across portfolio performance, acquisition quality and credit-risk dimensions.</w:t>
      </w:r>
    </w:p>
    <w:p>
      <w:pPr>
        <w:pStyle w:val="ListBullet"/>
      </w:pPr>
      <w:r>
        <w:t>Built a 3-page Power BI dashboard with DAX measures to evaluate charge-offs, net cash returns, recoveries, payments and portfolio exposure.</w:t>
      </w:r>
    </w:p>
    <w:p>
      <w:pPr>
        <w:pStyle w:val="ListBullet"/>
      </w:pPr>
      <w:r>
        <w:t>Segmented borrower risk using FICO, DTI, delinquency, bankruptcy, utilization and recent credit inquiries.</w:t>
      </w:r>
    </w:p>
    <w:p>
      <w:pPr>
        <w:pStyle w:val="ListBullet"/>
      </w:pPr>
      <w:r>
        <w:t>Used Python and SQL for portfolio profiling, financial analysis, analytical validation and risk segmentation.</w:t>
      </w:r>
    </w:p>
    <w:p>
      <w:pPr>
        <w:pStyle w:val="Heading1"/>
      </w:pPr>
      <w:r>
        <w:t>13. 60-Second Interview Explanation</w:t>
      </w:r>
    </w:p>
    <w:p>
      <w:r>
        <w:t>I developed a loan portfolio risk and acquisition analytics project using a large Lending Club dataset covering 2015–2018. The dataset contains approximately 1.79 million loans across 56 fields. I used Python for portfolio profiling and financial analysis, SQL for analytical validation and segmentation, and Power BI with DAX to build a three-page dashboard. The dashboard evaluates portfolio exposure, financial performance, recovery and borrower credit risk. A key finding was that weaker loan grades are associated with substantially higher charge-off rates and increasingly negative net cash returns. I also identified meaningful risk differences across FICO, DTI, delinquency, bankruptcy, utilization and recent inquiry segments.</w:t>
      </w:r>
    </w:p>
    <w:p>
      <w:pPr>
        <w:pStyle w:val="Heading1"/>
      </w:pPr>
      <w:r>
        <w:t>14. LinkedIn Post Draft</w:t>
      </w:r>
    </w:p>
    <w:p>
      <w:r>
        <w:t>Excited to share my Loan Portfolio Risk &amp; Acquisition Analytics project built using Python, SQL, Power BI and DAX.</w:t>
        <w:br/>
        <w:br/>
        <w:t>I analyzed approximately 1.79M Lending Club loans and $27.34B in funded exposure to understand portfolio performance, financial outcomes, acquisition quality and borrower credit risk.</w:t>
        <w:br/>
        <w:br/>
        <w:t>Key areas explored:</w:t>
        <w:br/>
        <w:t>• Charge-off and net cash performance across loan grades and terms</w:t>
        <w:br/>
        <w:t>• FICO, DTI and borrower-risk segmentation</w:t>
        <w:br/>
        <w:t>• Delinquency, bankruptcy, utilization and recent inquiry patterns</w:t>
        <w:br/>
        <w:t>• Recoveries, payments and completed-loan cash outcomes</w:t>
        <w:br/>
        <w:t>• Acquisition segments and portfolio exposure</w:t>
        <w:br/>
        <w:br/>
        <w:t>The final deliverable is a 3-page Power BI dashboard designed to translate detailed portfolio data into actionable risk and performance insights.</w:t>
        <w:br/>
        <w:br/>
        <w:t>Tools: Python | SQL | Power BI | DAX</w:t>
        <w:br/>
        <w:t>#PowerBI #DataAnalytics #SQL #Python #DAX #CreditRisk #FinancialAnalytics #BusinessIntelligence</w:t>
      </w:r>
    </w:p>
    <w:p>
      <w:pPr>
        <w:pStyle w:val="Heading1"/>
      </w:pPr>
      <w:r>
        <w:t>15. Conclusion</w:t>
      </w:r>
    </w:p>
    <w:p>
      <w:r>
        <w:t>The project demonstrates an end-to-end analytics workflow from large-scale loan portfolio profiling through SQL analysis and Power BI decision-support reporting. The findings show that credit quality, borrower characteristics, loan term and acquisition strategy are important dimensions for understanding portfolio risk and financial performance.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