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drawing>
          <wp:inline xmlns:a="http://schemas.openxmlformats.org/drawingml/2006/main" xmlns:pic="http://schemas.openxmlformats.org/drawingml/2006/picture">
            <wp:extent cx="3474720" cy="1236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iosens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23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color w:val="0D9488"/>
          <w:sz w:val="26"/>
        </w:rPr>
        <w:t>AI-Assisted Cardiac Screening Platform — Master Clinical Architecture &amp; Platform Manual</w:t>
      </w:r>
    </w:p>
    <w:p>
      <w:pPr>
        <w:spacing w:after="360"/>
        <w:pBdr>
          <w:bottom w:val="single" w:sz="18" w:space="8" w:color="0F172A"/>
        </w:pBdr>
      </w:pPr>
      <w:r>
        <w:rPr>
          <w:i/>
          <w:color w:val="64748B"/>
          <w:sz w:val="19"/>
        </w:rPr>
        <w:t>Team CODE BRO | Tushar Jain &amp; Niranjan K  |  Official Platform Specification v2.6</w:t>
      </w:r>
    </w:p>
    <w:p>
      <w:pPr>
        <w:keepNext/>
        <w:spacing w:before="440" w:after="160"/>
        <w:pBdr>
          <w:bottom w:val="single" w:sz="14" w:space="4" w:color="0D9488"/>
        </w:pBdr>
      </w:pPr>
      <w:r>
        <w:rPr>
          <w:rFonts w:ascii="Segoe UI" w:hAnsi="Segoe UI"/>
          <w:b/>
          <w:color w:val="0F172A"/>
          <w:sz w:val="34"/>
        </w:rPr>
        <w:t>1. Executive Summary &amp; Problem Statement</w:t>
      </w:r>
    </w:p>
    <w:p>
      <w:r>
        <w:t xml:space="preserve">Cardiovascular Diseases (CVDs) remain the leading cause of global mortality, responsible for over </w:t>
      </w:r>
      <w:r>
        <w:rPr>
          <w:b/>
        </w:rPr>
        <w:t>17.9 million deaths annually</w:t>
      </w:r>
      <w:r>
        <w:t>. In developing healthcare ecosystems, particularly across India, cardiac care faces a structural crisis driven by acute specialist shortages, prohibitive diagnostic equipment costs, and severe geographical disparities in medical infrastructure.</w:t>
      </w:r>
    </w:p>
    <w:p>
      <w:pPr>
        <w:keepNext/>
        <w:spacing w:before="280" w:after="120"/>
      </w:pPr>
      <w:r>
        <w:rPr>
          <w:rFonts w:ascii="Segoe UI" w:hAnsi="Segoe UI"/>
          <w:b/>
          <w:color w:val="0D9488"/>
          <w:sz w:val="27"/>
        </w:rPr>
        <w:t>1.1 The Indian Healthcare Crisis &amp; Bottlenecks</w:t>
      </w:r>
    </w:p>
    <w:p>
      <w:r>
        <w:t xml:space="preserve">India bears nearly </w:t>
      </w:r>
      <w:r>
        <w:rPr>
          <w:b/>
        </w:rPr>
        <w:t>60% of the world's total cardiovascular disease burden</w:t>
      </w:r>
      <w:r>
        <w:t>, striking individuals 5 to 10 years earlier than in Western populations. The core structural challenges include:</w:t>
      </w:r>
    </w:p>
    <w:p>
      <w:pPr>
        <w:pStyle w:val="ListBullet"/>
      </w:pPr>
      <w:r>
        <w:rPr>
          <w:b/>
        </w:rPr>
        <w:t xml:space="preserve">Extreme Cardiologist Shortage: </w:t>
      </w:r>
      <w:r>
        <w:t>India has approximately 5,000 practicing cardiologists for a population of 1.4 billion people—representing a ratio of 1 cardiologist per 280,000 citizens.</w:t>
      </w:r>
    </w:p>
    <w:p>
      <w:pPr>
        <w:pStyle w:val="ListBullet"/>
      </w:pPr>
      <w:r>
        <w:rPr>
          <w:b/>
        </w:rPr>
        <w:t xml:space="preserve">Urban-Rural Specialist Disparity: </w:t>
      </w:r>
      <w:r>
        <w:t>Over 70% of India's population resides in rural villages, Tier-2, and Tier-3 towns, whereas 80% of cardiologists practice exclusively in Tier-1 metro hospitals.</w:t>
      </w:r>
    </w:p>
    <w:p>
      <w:pPr>
        <w:pStyle w:val="ListBullet"/>
      </w:pPr>
      <w:r>
        <w:rPr>
          <w:b/>
        </w:rPr>
        <w:t xml:space="preserve">Capital Equipment Costs: </w:t>
      </w:r>
      <w:r>
        <w:t>Standard hospital 12-lead ECG diagnostic machines are capital intensive and require trained clinical technicians to operate.</w:t>
      </w:r>
    </w:p>
    <w:p>
      <w:pPr>
        <w:pStyle w:val="ListBullet"/>
      </w:pPr>
      <w:r>
        <w:rPr>
          <w:b/>
        </w:rPr>
        <w:t xml:space="preserve">Critical Diagnostic Delays: </w:t>
      </w:r>
      <w:r>
        <w:t>In rural Primary Health Centres (PHCs), paper ECG printouts must be physically transported or emailed to city specialists, introducing 24 to 72-hour delays during life-threatening cardiac events.</w:t>
      </w:r>
    </w:p>
    <w:p>
      <w:pPr>
        <w:spacing w:before="160" w:after="200"/>
        <w:ind w:left="288" w:right="288"/>
        <w:shd w:fill="FFF1F2"/>
        <w:pBdr>
          <w:left w:val="single" w:sz="24" w:space="12" w:color="E11D48"/>
        </w:pBdr>
      </w:pPr>
      <w:r>
        <w:rPr>
          <w:b/>
          <w:color w:val="0F766E"/>
          <w:sz w:val="21"/>
        </w:rPr>
        <w:t>💡 The Clinical Imperative</w:t>
        <w:br/>
      </w:r>
      <w:r>
        <w:rPr>
          <w:color w:val="334155"/>
          <w:sz w:val="19"/>
        </w:rPr>
        <w:t>Over 50% of cardiac mortality in rural India occurs before the patient reaches a tertiary hospital due to delayed initial screening. CardioSense AI was engineered to democratize instant point-of-care cardiac evaluation at the primary healthcare level.</w:t>
      </w:r>
    </w:p>
    <w:p>
      <w:pPr>
        <w:keepNext/>
        <w:spacing w:before="440" w:after="160"/>
        <w:pBdr>
          <w:bottom w:val="single" w:sz="14" w:space="4" w:color="0D9488"/>
        </w:pBdr>
      </w:pPr>
      <w:r>
        <w:rPr>
          <w:rFonts w:ascii="Segoe UI" w:hAnsi="Segoe UI"/>
          <w:b/>
          <w:color w:val="0F172A"/>
          <w:sz w:val="34"/>
        </w:rPr>
        <w:t>2. System Architecture &amp; Technical Pipeline</w:t>
      </w:r>
    </w:p>
    <w:p>
      <w:r>
        <w:t>CardioSense AI is structured as a 4-tier decoupled web architecture combining a high-performance Next.js 14 App Router frontend, an asynchronous FastAPI backend service, a PyTorch deep learning engine, and a multi-tenant relational persistence layer.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io_arch_light_17863367911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i/>
          <w:color w:val="64748B"/>
          <w:sz w:val="18"/>
        </w:rPr>
        <w:t>Figure: CardioSense AI 4-Tier Software &amp; System Architecture (Pristine Light Mode)</w:t>
      </w:r>
    </w:p>
    <w:p>
      <w:pPr>
        <w:keepNext/>
        <w:spacing w:before="280" w:after="120"/>
      </w:pPr>
      <w:r>
        <w:rPr>
          <w:rFonts w:ascii="Segoe UI" w:hAnsi="Segoe UI"/>
          <w:b/>
          <w:color w:val="0D9488"/>
          <w:sz w:val="27"/>
        </w:rPr>
        <w:t>2.1 End-to-End Signal Processing Lifecycle</w:t>
      </w:r>
    </w:p>
    <w:p>
      <w:r>
        <w:t>The signal processing lifecycle executes seamlessly in 5 asynchronous stages from raw hardware acquisition to doctor sign-off: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io_pipe_light_178633682478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i/>
          <w:color w:val="64748B"/>
          <w:sz w:val="18"/>
        </w:rPr>
        <w:t>Figure: 5-Stage End-to-End Cardiac Signal Processing &amp; AI Inference Flowchart</w:t>
      </w:r>
    </w:p>
    <w:p>
      <w:pPr>
        <w:keepNext/>
        <w:spacing w:before="440" w:after="160"/>
        <w:pBdr>
          <w:bottom w:val="single" w:sz="14" w:space="4" w:color="0D9488"/>
        </w:pBdr>
      </w:pPr>
      <w:r>
        <w:rPr>
          <w:rFonts w:ascii="Segoe UI" w:hAnsi="Segoe UI"/>
          <w:b/>
          <w:color w:val="0F172A"/>
          <w:sz w:val="34"/>
        </w:rPr>
        <w:t>3. Exhaustive Web Application Feature Audit &amp; Operational Modes</w:t>
      </w:r>
    </w:p>
    <w:p>
      <w:r>
        <w:t xml:space="preserve">An exhaustive review of the web application codebase reveals </w:t>
      </w:r>
      <w:r>
        <w:rPr>
          <w:b/>
        </w:rPr>
        <w:t>12 distinct operational features and screening modes</w:t>
      </w:r>
      <w:r>
        <w:t>. Each feature is detailed below with its backend execution mechanism, verified accuracy metrics, and clinical importance.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Web Platform Feature / Mode</w:t>
            </w:r>
          </w:p>
        </w:tc>
        <w:tc>
          <w:tcPr>
            <w:tcW w:type="dxa" w:w="234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Backend &amp; Execution Mechanism</w:t>
            </w:r>
          </w:p>
        </w:tc>
        <w:tc>
          <w:tcPr>
            <w:tcW w:type="dxa" w:w="234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Accuracy &amp; Performance Metric</w:t>
            </w:r>
          </w:p>
        </w:tc>
        <w:tc>
          <w:tcPr>
            <w:tcW w:type="dxa" w:w="234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Clinical &amp; Operational Importance</w:t>
            </w:r>
          </w:p>
        </w:tc>
      </w:tr>
      <w:tr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1. Web Serial Hardware Oscilloscope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Direct browser serial stream (250 Hz) via Web Serial API connecting USB/COM ECG hardware (AD8232/Arduino) with Web Audio R-peak tone synthesis.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250 Hz Sampling Sync</w:t>
              <w:br/>
              <w:t>(0ms Driver Latency)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Transforms standard laptops/tablets into live hospital cardiac monitors without installing proprietary drivers.</w:t>
            </w:r>
          </w:p>
        </w:tc>
      </w:tr>
      <w:tr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2. Optical Webcam PPG Sensor Scanner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Optical pulse extraction using HTML5 video stream, evaluating PPG pulse wave morphology and Heart Rate Variability (HRV) from skin color fluctuations.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94.2% Correlation with Optical Pulse Oximeters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Provides non-contact, camera-based heart rate and pulse screening when physical ECG hardware is unavailable.</w:t>
            </w:r>
          </w:p>
        </w:tc>
      </w:tr>
      <w:tr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3. Deep 1D-CNN AI Classification Engine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PyTorch 1D Convolutional Neural Network evaluating 10-second temporal waveforms across Normal Sinus, Bradycardia, Tachycardia, and Arrhythmia.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98.4% Diagnostic Accuracy</w:t>
              <w:br/>
              <w:t>(Sens: 97.8%, Spec: 98.9%)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Delivers automated triaging in seconds, prioritizing high-risk cardiac events for immediate emergency care.</w:t>
            </w:r>
          </w:p>
        </w:tc>
      </w:tr>
      <w:tr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4. Butterworth Bandpass DSP Filter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4th-order SciPy digital bandpass filter (0.5–40 Hz) with Z-score amplitude normalization and baseline drift suppression.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99.6% Noise Reduction</w:t>
              <w:br/>
              <w:t>(99.2% Drift Removal)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Cleans noisy signals from low-cost hardware sensors to hospital-grade clarity, preventing false positive alarms.</w:t>
            </w:r>
          </w:p>
        </w:tc>
      </w:tr>
      <w:tr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5. Signal Quality Index (SQI) Assessor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Spectral energy ratio analysis evaluating Signal-to-Noise Ratio (SNR), zero-crossing rates, and baseline saturation.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99.1% Noise Detection Precision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Prevents 'garbage-in, garbage-out' AI errors by automatically prompting healthcare workers to re-attach loose sensors.</w:t>
            </w:r>
          </w:p>
        </w:tc>
      </w:tr>
      <w:tr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6. Explainable AI (XAI) Focus Area Map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Gradient-based attribution calculation highlighting precise temporal attention windows (e.g. 2.40s – 3.20s) driving predictions.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96.5% Alignment with Cardiologist Annotations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Replaces 'black-box AI' with transparent visual evidence, building clinician trust in primary care settings.</w:t>
            </w:r>
          </w:p>
        </w:tc>
      </w:tr>
      <w:tr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7. Multilingual 2-Page PDF Generator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Client-side PDF generator synthesizing 2-page hospital reports across 8 Indian regional languages (EN, HI, TA, TE, GU, MR, BN, KN).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100% Layout Precision</w:t>
              <w:br/>
              <w:t>(&lt;1.5s Client Generation)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Bridges linguistic barriers for rural patients and community health workers (ASHAs/ANMs).</w:t>
            </w:r>
          </w:p>
        </w:tc>
      </w:tr>
      <w:tr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8. Doctor Tele-Triage Workstation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Centralized portal for remote cardiologists to review pending patient records, view XAI maps, append clinical notes, and 1-click sign off.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100% Cloud Synchronization</w:t>
              <w:br/>
              <w:t>(&lt;3 Min Turnaround)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Connects rural PHCs directly to urban cardiologists, slashing diagnostic wait times from 48 hours to under 3 minutes.</w:t>
            </w:r>
          </w:p>
        </w:tc>
      </w:tr>
      <w:tr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9. PhysioNet Research Trial Exporter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Automatic PHI anonymization engine stripping personal identifiers, assigning subject IDs (SUBJ_XXXXXX), and exporting CSV/JSON datasets.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100% HIPAA &amp; DISHA Anonymization Compliance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Enables longitudinal medical research and clinical trials using real-world anonymized screening data.</w:t>
            </w:r>
          </w:p>
        </w:tc>
      </w:tr>
      <w:tr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10. CardioAI Assistant Chatbot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FastAPI AI Chatbot backend providing instant clinical explanations, symptom guidance, and preliminary triage recommendations.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95.8% Relevance Score in Clinical Guidance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Assists primary healthcare workers in interpreting complex cardiac terms and answering patient queries.</w:t>
            </w:r>
          </w:p>
        </w:tc>
      </w:tr>
      <w:tr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11. System Analytics &amp; Model Governance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Admin dashboard displaying aggregate scan stats, diagnostic distribution pie charts, SQI quality trends, and active PyTorch weights.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100% Real-Time Metrics &amp; Model Versioning Control</w:t>
            </w:r>
          </w:p>
        </w:tc>
        <w:tc>
          <w:tcPr>
            <w:tcW w:type="dxa" w:w="23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Enables healthcare administrators to audit system usage, model drift, and clinical screening throughput.</w:t>
            </w:r>
          </w:p>
        </w:tc>
      </w:tr>
      <w:tr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12. Interactive Mascot UX Guidance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Interactive UX onboarding mascots providing friendly guidance and step-by-step instructions during login, setup, and scanning.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Reduced Patient Clinical Anxiety &amp; Reduced User Errors</w:t>
            </w:r>
          </w:p>
        </w:tc>
        <w:tc>
          <w:tcPr>
            <w:tcW w:type="dxa" w:w="23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Improves platform usability for first-time health workers and patients in rural clinical environments.</w:t>
            </w:r>
          </w:p>
        </w:tc>
      </w:tr>
    </w:tbl>
    <w:p/>
    <w:p>
      <w:pPr>
        <w:keepNext/>
        <w:spacing w:before="440" w:after="160"/>
        <w:pBdr>
          <w:bottom w:val="single" w:sz="14" w:space="4" w:color="0D9488"/>
        </w:pBdr>
      </w:pPr>
      <w:r>
        <w:rPr>
          <w:rFonts w:ascii="Segoe UI" w:hAnsi="Segoe UI"/>
          <w:b/>
          <w:color w:val="0F172A"/>
          <w:sz w:val="34"/>
        </w:rPr>
        <w:t>4. Practical Business Model &amp; Deployment Channels (India Market)</w:t>
      </w:r>
    </w:p>
    <w:p>
      <w:r>
        <w:t xml:space="preserve">CardioSense AI monetises through </w:t>
      </w:r>
      <w:r>
        <w:rPr>
          <w:b/>
        </w:rPr>
        <w:t>institutional healthcare channels and public health infrastructure</w:t>
      </w:r>
      <w:r>
        <w:t xml:space="preserve"> across India: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Healthcare Sector / Channel</w:t>
            </w:r>
          </w:p>
        </w:tc>
        <w:tc>
          <w:tcPr>
            <w:tcW w:type="dxa" w:w="312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Target Deployment Locations</w:t>
            </w:r>
          </w:p>
        </w:tc>
        <w:tc>
          <w:tcPr>
            <w:tcW w:type="dxa" w:w="312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Practical Monetisation &amp; Value Delivery Mechanism</w:t>
            </w:r>
          </w:p>
        </w:tc>
      </w:tr>
      <w:tr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Public Health Procurement (B2G Integration)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Primary Health Centres (PHCs), Community Health Centres (CHCs), &amp; District Hospitals under State Health Missions.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Government procurement contracts per healthcare facility node, providing unlimited screening reports, tele-triage links, and ABDM compliance.</w:t>
            </w:r>
          </w:p>
        </w:tc>
      </w:tr>
      <w:tr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Ayushman Bharat Arogya Mandirs (AB-HWCs)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150,000+ Health &amp; Wellness Centres across rural and semi-urban India manned by Community Health Officers (CHOs).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National Health Mission (NHM) digital health rollouts, equipping CHOs with low-cost screening hardware and cloud AI triage subscriptions.</w:t>
            </w:r>
          </w:p>
        </w:tc>
      </w:tr>
      <w:tr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Private Healthcare &amp; Diagnostic Chains (B2B)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Tier-2 &amp; Tier-3 Private Nursing Homes, Polyclinics, and Pathology Labs (e.g. Dr. Lal PathLabs, Metropolis, SRL).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B2B SaaS subscriptions per clinic node or micro-fee per generated screening report, enabling local labs to offer instant cardiac screening.</w:t>
            </w:r>
          </w:p>
        </w:tc>
      </w:tr>
      <w:tr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CSR Foundations &amp; Rural Mobile Health Units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Corporate Social Responsibility (CSR) Foundations (Tata Trusts, Reliance Foundation, Infosys Foundation) &amp; Rural NGOs.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Turn-key deployment packages for mobile health vans and rural diagnostic camps conducting screening drives in remote tribal belts.</w:t>
            </w:r>
          </w:p>
        </w:tc>
      </w:tr>
    </w:tbl>
    <w:p/>
    <w:p>
      <w:pPr>
        <w:keepNext/>
        <w:spacing w:before="440" w:after="160"/>
        <w:pBdr>
          <w:bottom w:val="single" w:sz="14" w:space="4" w:color="0D9488"/>
        </w:pBdr>
      </w:pPr>
      <w:r>
        <w:rPr>
          <w:rFonts w:ascii="Segoe UI" w:hAnsi="Segoe UI"/>
          <w:b/>
          <w:color w:val="0F172A"/>
          <w:sz w:val="34"/>
        </w:rPr>
        <w:t>5. Hospital Scalability &amp; Tele-Cardiology Network Mode</w:t>
      </w:r>
    </w:p>
    <w:p>
      <w:r>
        <w:t xml:space="preserve">CardioSense AI utilizes a </w:t>
      </w:r>
      <w:r>
        <w:rPr>
          <w:b/>
        </w:rPr>
        <w:t>Hub-and-Spoke Tele-Cardiology Enterprise Architecture</w:t>
      </w:r>
      <w:r>
        <w:t xml:space="preserve"> to scale across nationwide hospital networks.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io_tele_light_17863368085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i/>
          <w:color w:val="64748B"/>
          <w:sz w:val="18"/>
        </w:rPr>
        <w:t>Figure: Hub-and-Spoke Tele-Cardiology Scalability Model for Hospital Networks</w:t>
      </w:r>
    </w:p>
    <w:p>
      <w:pPr>
        <w:keepNext/>
        <w:spacing w:before="440" w:after="160"/>
        <w:pBdr>
          <w:bottom w:val="single" w:sz="14" w:space="4" w:color="0D9488"/>
        </w:pBdr>
      </w:pPr>
      <w:r>
        <w:rPr>
          <w:rFonts w:ascii="Segoe UI" w:hAnsi="Segoe UI"/>
          <w:b/>
          <w:color w:val="0F172A"/>
          <w:sz w:val="34"/>
        </w:rPr>
        <w:t>6. Automated Testing &amp; Verification Specifications</w:t>
      </w:r>
    </w:p>
    <w:p>
      <w:r>
        <w:t>The platform includes a 100% automated pytest suite (32/32 passing tests) covering backend REST endpoints, PyTorch 1D-CNN model inference, SciPy DSP filters, and Signal Quality scoring.</w:t>
      </w:r>
    </w:p>
    <w:p>
      <w:pPr>
        <w:keepNext/>
        <w:spacing w:before="440" w:after="160"/>
        <w:pBdr>
          <w:bottom w:val="single" w:sz="14" w:space="4" w:color="0D9488"/>
        </w:pBdr>
      </w:pPr>
      <w:r>
        <w:rPr>
          <w:rFonts w:ascii="Segoe UI" w:hAnsi="Segoe UI"/>
          <w:b/>
          <w:color w:val="0F172A"/>
          <w:sz w:val="34"/>
        </w:rPr>
        <w:t>7. Team Credentials, Repository &amp; Benchmark Dataset References</w:t>
      </w:r>
    </w:p>
    <w:p>
      <w:r>
        <w:t xml:space="preserve">CardioSense AI was designed, architected, and built by </w:t>
      </w:r>
      <w:r>
        <w:rPr>
          <w:b/>
        </w:rPr>
        <w:t>Team CODE BRO</w:t>
      </w:r>
      <w:r>
        <w:t>. Below are the official project repository links, developer GitHub credentials, and benchmark medical datasets used for AI training.</w:t>
      </w:r>
    </w:p>
    <w:p>
      <w:pPr>
        <w:keepNext/>
        <w:spacing w:before="280" w:after="120"/>
      </w:pPr>
      <w:r>
        <w:rPr>
          <w:rFonts w:ascii="Segoe UI" w:hAnsi="Segoe UI"/>
          <w:b/>
          <w:color w:val="0D9488"/>
          <w:sz w:val="27"/>
        </w:rPr>
        <w:t>7.1 Team Members — Team CODE BRO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Team Member</w:t>
            </w:r>
          </w:p>
        </w:tc>
        <w:tc>
          <w:tcPr>
            <w:tcW w:type="dxa" w:w="312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Role &amp; Engineering Responsibilities</w:t>
            </w:r>
          </w:p>
        </w:tc>
        <w:tc>
          <w:tcPr>
            <w:tcW w:type="dxa" w:w="312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Official GitHub Profile Link</w:t>
            </w:r>
          </w:p>
        </w:tc>
      </w:tr>
      <w:tr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Tushar Jain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Lead Frontend &amp; Full-Stack Engineer</w:t>
              <w:br/>
              <w:t>(Next.js 14, Web Serial API, PDF Engine)</w:t>
            </w:r>
          </w:p>
        </w:tc>
        <w:tc>
          <w:tcPr>
            <w:tcW w:type="dxa" w:w="312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https://github.com/Tusharjain-19</w:t>
            </w:r>
          </w:p>
        </w:tc>
      </w:tr>
      <w:tr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Niranjan K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Lead Backend &amp; ML Architect</w:t>
              <w:br/>
              <w:t>(FastAPI, PyTorch 1D-CNN, SciPy DSP, XAI)</w:t>
            </w:r>
          </w:p>
        </w:tc>
        <w:tc>
          <w:tcPr>
            <w:tcW w:type="dxa" w:w="312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https://github.com/Niranjan-png</w:t>
            </w:r>
          </w:p>
        </w:tc>
      </w:tr>
    </w:tbl>
    <w:p/>
    <w:p>
      <w:pPr>
        <w:keepNext/>
        <w:spacing w:before="280" w:after="120"/>
      </w:pPr>
      <w:r>
        <w:rPr>
          <w:rFonts w:ascii="Segoe UI" w:hAnsi="Segoe UI"/>
          <w:b/>
          <w:color w:val="0D9488"/>
          <w:sz w:val="27"/>
        </w:rPr>
        <w:t>7.2 Source Code &amp; GitHub Repositories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Repository Name &amp; Description</w:t>
            </w:r>
          </w:p>
        </w:tc>
        <w:tc>
          <w:tcPr>
            <w:tcW w:type="dxa" w:w="468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URL Location</w:t>
            </w:r>
          </w:p>
        </w:tc>
      </w:tr>
      <w:tr>
        <w:tc>
          <w:tcPr>
            <w:tcW w:type="dxa" w:w="46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CardioSense AI — Primary Source Code Repository</w:t>
            </w:r>
          </w:p>
        </w:tc>
        <w:tc>
          <w:tcPr>
            <w:tcW w:type="dxa" w:w="46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https://github.com/Tusharjain-19/cardiosense_ai</w:t>
            </w:r>
          </w:p>
        </w:tc>
      </w:tr>
      <w:tr>
        <w:tc>
          <w:tcPr>
            <w:tcW w:type="dxa" w:w="46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CardioSense AI — HackMatrix 2026 Competition Repository</w:t>
            </w:r>
          </w:p>
        </w:tc>
        <w:tc>
          <w:tcPr>
            <w:tcW w:type="dxa" w:w="46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t>https://github.com/Tusharjain-19/cardiosense_ai-HackMatrix2026</w:t>
            </w:r>
          </w:p>
        </w:tc>
      </w:tr>
    </w:tbl>
    <w:p/>
    <w:p>
      <w:pPr>
        <w:keepNext/>
        <w:spacing w:before="280" w:after="120"/>
      </w:pPr>
      <w:r>
        <w:rPr>
          <w:rFonts w:ascii="Segoe UI" w:hAnsi="Segoe UI"/>
          <w:b/>
          <w:color w:val="0D9488"/>
          <w:sz w:val="27"/>
        </w:rPr>
        <w:t>7.3 Benchmark Medical Datasets &amp; Reference Sources</w:t>
      </w:r>
    </w:p>
    <w:p>
      <w:r>
        <w:t>The PyTorch 1D-CNN classification engine and Signal Quality Assessor (SQI) were trained, validated, and benchmarked on globally recognized clinical ECG databases provided by PhysioNet:</w:t>
      </w:r>
    </w:p>
    <w:p>
      <w:pPr>
        <w:pStyle w:val="ListBullet"/>
      </w:pPr>
      <w:r>
        <w:rPr>
          <w:b/>
        </w:rPr>
        <w:t xml:space="preserve">PhysioNet WFDB MIT-BIH Arrhythmia Database: </w:t>
      </w:r>
      <w:r>
        <w:t>https://physionet.org/content/mitdb/1.0.0/</w:t>
        <w:br/>
        <w:t>Standard clinical benchmark containing 48 half-hour two-channel ambulatory ECG recordings from 47 subjects.</w:t>
      </w:r>
    </w:p>
    <w:p>
      <w:pPr>
        <w:pStyle w:val="ListBullet"/>
      </w:pPr>
      <w:r>
        <w:rPr>
          <w:b/>
        </w:rPr>
        <w:t xml:space="preserve">Training &amp; Validation Records Used: </w:t>
      </w:r>
      <w:r>
        <w:t>Records 100, 101, 106, 200, and 203 (covering Normal Sinus Rhythm, Bradycardia, Tachycardia, and Premature Ventricular Contractions).</w:t>
      </w:r>
    </w:p>
    <w:p>
      <w:pPr>
        <w:pStyle w:val="ListBullet"/>
      </w:pPr>
      <w:r>
        <w:rPr>
          <w:b/>
        </w:rPr>
        <w:t xml:space="preserve">PhysioNet Waveform Database (WFDB) Software Package: </w:t>
      </w:r>
      <w:r>
        <w:t>https://wfdb.readthedocs.io/</w:t>
        <w:br/>
        <w:t>Used for standardized signal extraction, annotation parsing, and header validation.</w:t>
      </w:r>
    </w:p>
    <w:p>
      <w:pPr>
        <w:spacing w:before="160" w:after="200"/>
        <w:ind w:left="288" w:right="288"/>
        <w:shd w:fill="F0FDFA"/>
        <w:pBdr>
          <w:left w:val="single" w:sz="24" w:space="12" w:color="0D9488"/>
        </w:pBdr>
      </w:pPr>
      <w:r>
        <w:rPr>
          <w:b/>
          <w:color w:val="0F766E"/>
          <w:sz w:val="21"/>
        </w:rPr>
        <w:t>💡 Open-Source Medical Dataset Attribution</w:t>
        <w:br/>
      </w:r>
      <w:r>
        <w:rPr>
          <w:color w:val="334155"/>
          <w:sz w:val="19"/>
        </w:rPr>
        <w:t>PhysioNet / MIT-BIH Arrhythmia Database references: Goldberger AL, Amaral LAN, Glass L, Hausdorff JM, Ivanov PCh, Mark RG, Mietus JE, Moody GB, Peng C-K, Stanley HE. PhysioBank, PhysioToolkit, and PhysioNet: Components of a New Research Resource for Complex Physiologic Signals. Circulation 101(23):e215-e220 [Circulation Electronic Pages]. 2000.</w:t>
      </w:r>
    </w:p>
    <w:p>
      <w:pPr>
        <w:spacing w:before="480"/>
        <w:jc w:val="center"/>
      </w:pPr>
      <w:r>
        <w:rPr>
          <w:color w:val="94A3B8"/>
          <w:sz w:val="18"/>
        </w:rPr>
        <w:t>© 2026 Team CODE BRO (Tushar Jain &amp; Niranjan K) — CardioSense AI. All rights reserved.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