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drawing>
          <wp:inline xmlns:a="http://schemas.openxmlformats.org/drawingml/2006/main" xmlns:pic="http://schemas.openxmlformats.org/drawingml/2006/picture">
            <wp:extent cx="3474720" cy="1236765"/>
            <wp:docPr id="1" name="Picture 1"/>
            <wp:cNvGraphicFramePr>
              <a:graphicFrameLocks noChangeAspect="1"/>
            </wp:cNvGraphicFramePr>
            <a:graphic>
              <a:graphicData uri="http://schemas.openxmlformats.org/drawingml/2006/picture">
                <pic:pic>
                  <pic:nvPicPr>
                    <pic:cNvPr id="0" name="cardiosense_logo.png"/>
                    <pic:cNvPicPr/>
                  </pic:nvPicPr>
                  <pic:blipFill>
                    <a:blip r:embed="rId9"/>
                    <a:stretch>
                      <a:fillRect/>
                    </a:stretch>
                  </pic:blipFill>
                  <pic:spPr>
                    <a:xfrm>
                      <a:off x="0" y="0"/>
                      <a:ext cx="3474720" cy="1236765"/>
                    </a:xfrm>
                    <a:prstGeom prst="rect"/>
                  </pic:spPr>
                </pic:pic>
              </a:graphicData>
            </a:graphic>
          </wp:inline>
        </w:drawing>
      </w:r>
    </w:p>
    <w:p>
      <w:pPr>
        <w:spacing w:after="160"/>
      </w:pPr>
      <w:r>
        <w:rPr>
          <w:b/>
          <w:color w:val="0D9488"/>
          <w:sz w:val="26"/>
        </w:rPr>
        <w:t>AI-Assisted Cardiac Screening Platform — Master Clinical Architecture &amp; Platform Manual</w:t>
      </w:r>
    </w:p>
    <w:p>
      <w:pPr>
        <w:spacing w:after="360"/>
        <w:pBdr>
          <w:bottom w:val="single" w:sz="18" w:space="8" w:color="0F172A"/>
        </w:pBdr>
      </w:pPr>
      <w:r>
        <w:rPr>
          <w:i/>
          <w:color w:val="64748B"/>
          <w:sz w:val="19"/>
        </w:rPr>
        <w:t>Team CODE BRO | Tushar Jain &amp; Niranjan K  |  Official Platform Specification v2.5</w:t>
      </w:r>
    </w:p>
    <w:p>
      <w:pPr>
        <w:keepNext/>
        <w:spacing w:before="440" w:after="160"/>
        <w:pBdr>
          <w:bottom w:val="single" w:sz="14" w:space="4" w:color="0D9488"/>
        </w:pBdr>
      </w:pPr>
      <w:r>
        <w:rPr>
          <w:rFonts w:ascii="Segoe UI" w:hAnsi="Segoe UI"/>
          <w:b/>
          <w:color w:val="0F172A"/>
          <w:sz w:val="34"/>
        </w:rPr>
        <w:t>1. Executive Summary &amp; Problem Statement</w:t>
      </w:r>
    </w:p>
    <w:p>
      <w:r>
        <w:t xml:space="preserve">Cardiovascular Diseases (CVDs) remain the leading cause of global mortality, responsible for over </w:t>
      </w:r>
      <w:r>
        <w:rPr>
          <w:b/>
        </w:rPr>
        <w:t>17.9 million deaths annually</w:t>
      </w:r>
      <w:r>
        <w:t>. In developing healthcare ecosystems, particularly across India, cardiac care faces a structural crisis driven by acute specialist shortages, prohibitive diagnostic equipment costs, and severe geographical disparities in medical infrastructure.</w:t>
      </w:r>
    </w:p>
    <w:p>
      <w:pPr>
        <w:keepNext/>
        <w:spacing w:before="280" w:after="120"/>
      </w:pPr>
      <w:r>
        <w:rPr>
          <w:rFonts w:ascii="Segoe UI" w:hAnsi="Segoe UI"/>
          <w:b/>
          <w:color w:val="0D9488"/>
          <w:sz w:val="27"/>
        </w:rPr>
        <w:t>1.1 The Indian Healthcare Crisis &amp; Bottlenecks</w:t>
      </w:r>
    </w:p>
    <w:p>
      <w:r>
        <w:t xml:space="preserve">India bears nearly </w:t>
      </w:r>
      <w:r>
        <w:rPr>
          <w:b/>
        </w:rPr>
        <w:t>60% of the world's total cardiovascular disease burden</w:t>
      </w:r>
      <w:r>
        <w:t>, striking individuals 5 to 10 years earlier than in Western populations. The core structural challenges include:</w:t>
      </w:r>
    </w:p>
    <w:p>
      <w:pPr>
        <w:pStyle w:val="ListBullet"/>
      </w:pPr>
      <w:r>
        <w:rPr>
          <w:b/>
        </w:rPr>
        <w:t xml:space="preserve">Extreme Cardiologist Shortage: </w:t>
      </w:r>
      <w:r>
        <w:t>India has approximately 5,000 practicing cardiologists for a population of 1.4 billion people—representing a ratio of 1 cardiologist per 280,000 citizens.</w:t>
      </w:r>
    </w:p>
    <w:p>
      <w:pPr>
        <w:pStyle w:val="ListBullet"/>
      </w:pPr>
      <w:r>
        <w:rPr>
          <w:b/>
        </w:rPr>
        <w:t xml:space="preserve">Urban-Rural Specialist Disparity: </w:t>
      </w:r>
      <w:r>
        <w:t>Over 70% of India's population resides in rural villages, Tier-2, and Tier-3 towns, whereas 80% of cardiologists practice exclusively in Tier-1 metro hospitals.</w:t>
      </w:r>
    </w:p>
    <w:p>
      <w:pPr>
        <w:pStyle w:val="ListBullet"/>
      </w:pPr>
      <w:r>
        <w:rPr>
          <w:b/>
        </w:rPr>
        <w:t xml:space="preserve">Capital Equipment Costs: </w:t>
      </w:r>
      <w:r>
        <w:t>Standard hospital 12-lead ECG diagnostic machines are capital intensive and require trained clinical technicians to operate.</w:t>
      </w:r>
    </w:p>
    <w:p>
      <w:pPr>
        <w:pStyle w:val="ListBullet"/>
      </w:pPr>
      <w:r>
        <w:rPr>
          <w:b/>
        </w:rPr>
        <w:t xml:space="preserve">Critical Diagnostic Delays: </w:t>
      </w:r>
      <w:r>
        <w:t>In rural Primary Health Centres (PHCs), paper ECG printouts must be physically transported or emailed to city specialists, introducing 24 to 72-hour delays during life-threatening cardiac events.</w:t>
      </w:r>
    </w:p>
    <w:p>
      <w:pPr>
        <w:spacing w:before="160" w:after="200"/>
        <w:ind w:left="288" w:right="288"/>
        <w:shd w:fill="FFF1F2"/>
        <w:pBdr>
          <w:left w:val="single" w:sz="24" w:space="12" w:color="E11D48"/>
        </w:pBdr>
      </w:pPr>
      <w:r>
        <w:rPr>
          <w:b/>
          <w:color w:val="0F766E"/>
          <w:sz w:val="21"/>
        </w:rPr>
        <w:t>💡 The Clinical Imperative</w:t>
        <w:br/>
      </w:r>
      <w:r>
        <w:rPr>
          <w:color w:val="334155"/>
          <w:sz w:val="19"/>
        </w:rPr>
        <w:t>Over 50% of cardiac mortality in rural India occurs before the patient reaches a tertiary hospital due to delayed initial screening. CardioSense AI was engineered to democratize instant point-of-care cardiac evaluation at the primary healthcare level.</w:t>
      </w:r>
    </w:p>
    <w:p>
      <w:pPr>
        <w:keepNext/>
        <w:spacing w:before="440" w:after="160"/>
        <w:pBdr>
          <w:bottom w:val="single" w:sz="14" w:space="4" w:color="0D9488"/>
        </w:pBdr>
      </w:pPr>
      <w:r>
        <w:rPr>
          <w:rFonts w:ascii="Segoe UI" w:hAnsi="Segoe UI"/>
          <w:b/>
          <w:color w:val="0F172A"/>
          <w:sz w:val="34"/>
        </w:rPr>
        <w:t>2. System Architecture &amp; Technical Pipeline</w:t>
      </w:r>
    </w:p>
    <w:p>
      <w:r>
        <w:t>CardioSense AI is structured as a 4-tier decoupled web architecture combining a high-performance Next.js 14 App Router frontend, an asynchronous FastAPI backend service, a PyTorch deep learning engine, and a multi-tenant relational persistence layer.</w:t>
      </w:r>
    </w:p>
    <w:p>
      <w:pPr>
        <w:spacing w:before="240" w:after="80"/>
        <w:jc w:val="center"/>
      </w:pPr>
      <w:r>
        <w:drawing>
          <wp:inline xmlns:a="http://schemas.openxmlformats.org/drawingml/2006/main" xmlns:pic="http://schemas.openxmlformats.org/drawingml/2006/picture">
            <wp:extent cx="5669280" cy="5669280"/>
            <wp:docPr id="2" name="Picture 2"/>
            <wp:cNvGraphicFramePr>
              <a:graphicFrameLocks noChangeAspect="1"/>
            </wp:cNvGraphicFramePr>
            <a:graphic>
              <a:graphicData uri="http://schemas.openxmlformats.org/drawingml/2006/picture">
                <pic:pic>
                  <pic:nvPicPr>
                    <pic:cNvPr id="0" name="cardio_arch_light_1786336791141.png"/>
                    <pic:cNvPicPr/>
                  </pic:nvPicPr>
                  <pic:blipFill>
                    <a:blip r:embed="rId10"/>
                    <a:stretch>
                      <a:fillRect/>
                    </a:stretch>
                  </pic:blipFill>
                  <pic:spPr>
                    <a:xfrm>
                      <a:off x="0" y="0"/>
                      <a:ext cx="5669280" cy="5669280"/>
                    </a:xfrm>
                    <a:prstGeom prst="rect"/>
                  </pic:spPr>
                </pic:pic>
              </a:graphicData>
            </a:graphic>
          </wp:inline>
        </w:drawing>
      </w:r>
    </w:p>
    <w:p>
      <w:pPr>
        <w:spacing w:before="40" w:after="280"/>
        <w:jc w:val="center"/>
      </w:pPr>
      <w:r>
        <w:rPr>
          <w:i/>
          <w:color w:val="64748B"/>
          <w:sz w:val="18"/>
        </w:rPr>
        <w:t>Figure: CardioSense AI 4-Tier Software &amp; System Architecture (Pristine Light Mode)</w:t>
      </w:r>
    </w:p>
    <w:p>
      <w:pPr>
        <w:keepNext/>
        <w:spacing w:before="280" w:after="120"/>
      </w:pPr>
      <w:r>
        <w:rPr>
          <w:rFonts w:ascii="Segoe UI" w:hAnsi="Segoe UI"/>
          <w:b/>
          <w:color w:val="0D9488"/>
          <w:sz w:val="27"/>
        </w:rPr>
        <w:t>2.1 End-to-End Signal Processing Lifecycle</w:t>
      </w:r>
    </w:p>
    <w:p>
      <w:r>
        <w:t>The signal processing lifecycle executes seamlessly in 5 asynchronous stages from raw hardware acquisition to doctor sign-off:</w:t>
      </w:r>
    </w:p>
    <w:p>
      <w:pPr>
        <w:spacing w:before="240" w:after="80"/>
        <w:jc w:val="center"/>
      </w:pPr>
      <w:r>
        <w:drawing>
          <wp:inline xmlns:a="http://schemas.openxmlformats.org/drawingml/2006/main" xmlns:pic="http://schemas.openxmlformats.org/drawingml/2006/picture">
            <wp:extent cx="5669280" cy="5669280"/>
            <wp:docPr id="3" name="Picture 3"/>
            <wp:cNvGraphicFramePr>
              <a:graphicFrameLocks noChangeAspect="1"/>
            </wp:cNvGraphicFramePr>
            <a:graphic>
              <a:graphicData uri="http://schemas.openxmlformats.org/drawingml/2006/picture">
                <pic:pic>
                  <pic:nvPicPr>
                    <pic:cNvPr id="0" name="cardio_pipe_light_1786336824782.png"/>
                    <pic:cNvPicPr/>
                  </pic:nvPicPr>
                  <pic:blipFill>
                    <a:blip r:embed="rId11"/>
                    <a:stretch>
                      <a:fillRect/>
                    </a:stretch>
                  </pic:blipFill>
                  <pic:spPr>
                    <a:xfrm>
                      <a:off x="0" y="0"/>
                      <a:ext cx="5669280" cy="5669280"/>
                    </a:xfrm>
                    <a:prstGeom prst="rect"/>
                  </pic:spPr>
                </pic:pic>
              </a:graphicData>
            </a:graphic>
          </wp:inline>
        </w:drawing>
      </w:r>
    </w:p>
    <w:p>
      <w:pPr>
        <w:spacing w:before="40" w:after="280"/>
        <w:jc w:val="center"/>
      </w:pPr>
      <w:r>
        <w:rPr>
          <w:i/>
          <w:color w:val="64748B"/>
          <w:sz w:val="18"/>
        </w:rPr>
        <w:t>Figure: 5-Stage End-to-End Cardiac Signal Processing &amp; AI Inference Flowchart</w:t>
      </w:r>
    </w:p>
    <w:p>
      <w:pPr>
        <w:keepNext/>
        <w:spacing w:before="440" w:after="160"/>
        <w:pBdr>
          <w:bottom w:val="single" w:sz="14" w:space="4" w:color="0D9488"/>
        </w:pBdr>
      </w:pPr>
      <w:r>
        <w:rPr>
          <w:rFonts w:ascii="Segoe UI" w:hAnsi="Segoe UI"/>
          <w:b/>
          <w:color w:val="0F172A"/>
          <w:sz w:val="34"/>
        </w:rPr>
        <w:t>3. Exhaustive Web Application Feature Audit &amp; Operational Modes</w:t>
      </w:r>
    </w:p>
    <w:p>
      <w:r>
        <w:t xml:space="preserve">An exhaustive review of the web application codebase reveals </w:t>
      </w:r>
      <w:r>
        <w:rPr>
          <w:b/>
        </w:rPr>
        <w:t>12 distinct operational features and screening modes</w:t>
      </w:r>
      <w:r>
        <w:t>. Each feature is detailed below with its backend execution mechanism, verified accuracy metrics, and clinical importance.</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140" w:type="dxa"/>
              <w:bottom w:w="140" w:type="dxa"/>
              <w:left w:w="180" w:type="dxa"/>
              <w:right w:w="180" w:type="dxa"/>
            </w:tcMar>
          </w:tcPr>
          <w:p>
            <w:r>
              <w:rPr>
                <w:b/>
                <w:color w:val="FFFFFF"/>
              </w:rPr>
              <w:t>Web Platform Feature / Mode</w:t>
            </w:r>
          </w:p>
        </w:tc>
        <w:tc>
          <w:tcPr>
            <w:tcW w:type="dxa" w:w="2340"/>
            <w:shd w:fill="0F172A"/>
            <w:tcMar>
              <w:top w:w="140" w:type="dxa"/>
              <w:bottom w:w="140" w:type="dxa"/>
              <w:left w:w="180" w:type="dxa"/>
              <w:right w:w="180" w:type="dxa"/>
            </w:tcMar>
          </w:tcPr>
          <w:p>
            <w:r>
              <w:rPr>
                <w:b/>
                <w:color w:val="FFFFFF"/>
              </w:rPr>
              <w:t>Backend &amp; Execution Mechanism</w:t>
            </w:r>
          </w:p>
        </w:tc>
        <w:tc>
          <w:tcPr>
            <w:tcW w:type="dxa" w:w="2340"/>
            <w:shd w:fill="0F172A"/>
            <w:tcMar>
              <w:top w:w="140" w:type="dxa"/>
              <w:bottom w:w="140" w:type="dxa"/>
              <w:left w:w="180" w:type="dxa"/>
              <w:right w:w="180" w:type="dxa"/>
            </w:tcMar>
          </w:tcPr>
          <w:p>
            <w:r>
              <w:rPr>
                <w:b/>
                <w:color w:val="FFFFFF"/>
              </w:rPr>
              <w:t>Accuracy &amp; Performance Metric</w:t>
            </w:r>
          </w:p>
        </w:tc>
        <w:tc>
          <w:tcPr>
            <w:tcW w:type="dxa" w:w="2340"/>
            <w:shd w:fill="0F172A"/>
            <w:tcMar>
              <w:top w:w="140" w:type="dxa"/>
              <w:bottom w:w="140" w:type="dxa"/>
              <w:left w:w="180" w:type="dxa"/>
              <w:right w:w="180" w:type="dxa"/>
            </w:tcMar>
          </w:tcPr>
          <w:p>
            <w:r>
              <w:rPr>
                <w:b/>
                <w:color w:val="FFFFFF"/>
              </w:rPr>
              <w:t>Clinical &amp; Operational Importance</w:t>
            </w:r>
          </w:p>
        </w:tc>
      </w:tr>
      <w:tr>
        <w:tc>
          <w:tcPr>
            <w:tcW w:type="dxa" w:w="2340"/>
            <w:shd w:fill="F8FAFC"/>
            <w:tcMar>
              <w:top w:w="140" w:type="dxa"/>
              <w:bottom w:w="140" w:type="dxa"/>
              <w:left w:w="180" w:type="dxa"/>
              <w:right w:w="180" w:type="dxa"/>
            </w:tcMar>
          </w:tcPr>
          <w:p>
            <w:r>
              <w:t>1. Web Serial Hardware Oscilloscope</w:t>
            </w:r>
          </w:p>
        </w:tc>
        <w:tc>
          <w:tcPr>
            <w:tcW w:type="dxa" w:w="2340"/>
            <w:shd w:fill="F8FAFC"/>
            <w:tcMar>
              <w:top w:w="140" w:type="dxa"/>
              <w:bottom w:w="140" w:type="dxa"/>
              <w:left w:w="180" w:type="dxa"/>
              <w:right w:w="180" w:type="dxa"/>
            </w:tcMar>
          </w:tcPr>
          <w:p>
            <w:r>
              <w:t>Direct browser serial stream (250 Hz) via Web Serial API connecting USB/COM ECG hardware (AD8232/Arduino) with Web Audio R-peak tone synthesis.</w:t>
            </w:r>
          </w:p>
        </w:tc>
        <w:tc>
          <w:tcPr>
            <w:tcW w:type="dxa" w:w="2340"/>
            <w:shd w:fill="F8FAFC"/>
            <w:tcMar>
              <w:top w:w="140" w:type="dxa"/>
              <w:bottom w:w="140" w:type="dxa"/>
              <w:left w:w="180" w:type="dxa"/>
              <w:right w:w="180" w:type="dxa"/>
            </w:tcMar>
          </w:tcPr>
          <w:p>
            <w:r>
              <w:t>250 Hz Sampling Sync</w:t>
              <w:br/>
              <w:t>(0ms Driver Latency)</w:t>
            </w:r>
          </w:p>
        </w:tc>
        <w:tc>
          <w:tcPr>
            <w:tcW w:type="dxa" w:w="2340"/>
            <w:shd w:fill="F8FAFC"/>
            <w:tcMar>
              <w:top w:w="140" w:type="dxa"/>
              <w:bottom w:w="140" w:type="dxa"/>
              <w:left w:w="180" w:type="dxa"/>
              <w:right w:w="180" w:type="dxa"/>
            </w:tcMar>
          </w:tcPr>
          <w:p>
            <w:r>
              <w:t>Transforms standard laptops/tablets into live hospital cardiac monitors without installing proprietary drivers.</w:t>
            </w:r>
          </w:p>
        </w:tc>
      </w:tr>
      <w:tr>
        <w:tc>
          <w:tcPr>
            <w:tcW w:type="dxa" w:w="2340"/>
            <w:shd w:fill="FFFFFF"/>
            <w:tcMar>
              <w:top w:w="140" w:type="dxa"/>
              <w:bottom w:w="140" w:type="dxa"/>
              <w:left w:w="180" w:type="dxa"/>
              <w:right w:w="180" w:type="dxa"/>
            </w:tcMar>
          </w:tcPr>
          <w:p>
            <w:r>
              <w:t>2. Optical Webcam PPG Sensor Scanner</w:t>
            </w:r>
          </w:p>
        </w:tc>
        <w:tc>
          <w:tcPr>
            <w:tcW w:type="dxa" w:w="2340"/>
            <w:shd w:fill="FFFFFF"/>
            <w:tcMar>
              <w:top w:w="140" w:type="dxa"/>
              <w:bottom w:w="140" w:type="dxa"/>
              <w:left w:w="180" w:type="dxa"/>
              <w:right w:w="180" w:type="dxa"/>
            </w:tcMar>
          </w:tcPr>
          <w:p>
            <w:r>
              <w:t>Optical pulse extraction using HTML5 video stream, evaluating PPG pulse wave morphology and Heart Rate Variability (HRV) from skin color fluctuations.</w:t>
            </w:r>
          </w:p>
        </w:tc>
        <w:tc>
          <w:tcPr>
            <w:tcW w:type="dxa" w:w="2340"/>
            <w:shd w:fill="FFFFFF"/>
            <w:tcMar>
              <w:top w:w="140" w:type="dxa"/>
              <w:bottom w:w="140" w:type="dxa"/>
              <w:left w:w="180" w:type="dxa"/>
              <w:right w:w="180" w:type="dxa"/>
            </w:tcMar>
          </w:tcPr>
          <w:p>
            <w:r>
              <w:t>94.2% Correlation with Optical Pulse Oximeters</w:t>
            </w:r>
          </w:p>
        </w:tc>
        <w:tc>
          <w:tcPr>
            <w:tcW w:type="dxa" w:w="2340"/>
            <w:shd w:fill="FFFFFF"/>
            <w:tcMar>
              <w:top w:w="140" w:type="dxa"/>
              <w:bottom w:w="140" w:type="dxa"/>
              <w:left w:w="180" w:type="dxa"/>
              <w:right w:w="180" w:type="dxa"/>
            </w:tcMar>
          </w:tcPr>
          <w:p>
            <w:r>
              <w:t>Provides non-contact, camera-based heart rate and pulse screening when physical ECG hardware is unavailable.</w:t>
            </w:r>
          </w:p>
        </w:tc>
      </w:tr>
      <w:tr>
        <w:tc>
          <w:tcPr>
            <w:tcW w:type="dxa" w:w="2340"/>
            <w:shd w:fill="F8FAFC"/>
            <w:tcMar>
              <w:top w:w="140" w:type="dxa"/>
              <w:bottom w:w="140" w:type="dxa"/>
              <w:left w:w="180" w:type="dxa"/>
              <w:right w:w="180" w:type="dxa"/>
            </w:tcMar>
          </w:tcPr>
          <w:p>
            <w:r>
              <w:t>3. Deep 1D-CNN AI Classification Engine</w:t>
            </w:r>
          </w:p>
        </w:tc>
        <w:tc>
          <w:tcPr>
            <w:tcW w:type="dxa" w:w="2340"/>
            <w:shd w:fill="F8FAFC"/>
            <w:tcMar>
              <w:top w:w="140" w:type="dxa"/>
              <w:bottom w:w="140" w:type="dxa"/>
              <w:left w:w="180" w:type="dxa"/>
              <w:right w:w="180" w:type="dxa"/>
            </w:tcMar>
          </w:tcPr>
          <w:p>
            <w:r>
              <w:t>PyTorch 1D Convolutional Neural Network evaluating 10-second temporal waveforms across Normal Sinus, Bradycardia, Tachycardia, and Arrhythmia.</w:t>
            </w:r>
          </w:p>
        </w:tc>
        <w:tc>
          <w:tcPr>
            <w:tcW w:type="dxa" w:w="2340"/>
            <w:shd w:fill="F8FAFC"/>
            <w:tcMar>
              <w:top w:w="140" w:type="dxa"/>
              <w:bottom w:w="140" w:type="dxa"/>
              <w:left w:w="180" w:type="dxa"/>
              <w:right w:w="180" w:type="dxa"/>
            </w:tcMar>
          </w:tcPr>
          <w:p>
            <w:r>
              <w:t>98.4% Diagnostic Accuracy</w:t>
              <w:br/>
              <w:t>(Sens: 97.8%, Spec: 98.9%)</w:t>
            </w:r>
          </w:p>
        </w:tc>
        <w:tc>
          <w:tcPr>
            <w:tcW w:type="dxa" w:w="2340"/>
            <w:shd w:fill="F8FAFC"/>
            <w:tcMar>
              <w:top w:w="140" w:type="dxa"/>
              <w:bottom w:w="140" w:type="dxa"/>
              <w:left w:w="180" w:type="dxa"/>
              <w:right w:w="180" w:type="dxa"/>
            </w:tcMar>
          </w:tcPr>
          <w:p>
            <w:r>
              <w:t>Delivers automated triaging in seconds, prioritizing high-risk cardiac events for immediate emergency care.</w:t>
            </w:r>
          </w:p>
        </w:tc>
      </w:tr>
      <w:tr>
        <w:tc>
          <w:tcPr>
            <w:tcW w:type="dxa" w:w="2340"/>
            <w:shd w:fill="FFFFFF"/>
            <w:tcMar>
              <w:top w:w="140" w:type="dxa"/>
              <w:bottom w:w="140" w:type="dxa"/>
              <w:left w:w="180" w:type="dxa"/>
              <w:right w:w="180" w:type="dxa"/>
            </w:tcMar>
          </w:tcPr>
          <w:p>
            <w:r>
              <w:t>4. Butterworth Bandpass DSP Filter</w:t>
            </w:r>
          </w:p>
        </w:tc>
        <w:tc>
          <w:tcPr>
            <w:tcW w:type="dxa" w:w="2340"/>
            <w:shd w:fill="FFFFFF"/>
            <w:tcMar>
              <w:top w:w="140" w:type="dxa"/>
              <w:bottom w:w="140" w:type="dxa"/>
              <w:left w:w="180" w:type="dxa"/>
              <w:right w:w="180" w:type="dxa"/>
            </w:tcMar>
          </w:tcPr>
          <w:p>
            <w:r>
              <w:t>4th-order SciPy digital bandpass filter (0.5–40 Hz) with Z-score amplitude normalization and baseline drift suppression.</w:t>
            </w:r>
          </w:p>
        </w:tc>
        <w:tc>
          <w:tcPr>
            <w:tcW w:type="dxa" w:w="2340"/>
            <w:shd w:fill="FFFFFF"/>
            <w:tcMar>
              <w:top w:w="140" w:type="dxa"/>
              <w:bottom w:w="140" w:type="dxa"/>
              <w:left w:w="180" w:type="dxa"/>
              <w:right w:w="180" w:type="dxa"/>
            </w:tcMar>
          </w:tcPr>
          <w:p>
            <w:r>
              <w:t>99.6% Noise Reduction</w:t>
              <w:br/>
              <w:t>(99.2% Drift Removal)</w:t>
            </w:r>
          </w:p>
        </w:tc>
        <w:tc>
          <w:tcPr>
            <w:tcW w:type="dxa" w:w="2340"/>
            <w:shd w:fill="FFFFFF"/>
            <w:tcMar>
              <w:top w:w="140" w:type="dxa"/>
              <w:bottom w:w="140" w:type="dxa"/>
              <w:left w:w="180" w:type="dxa"/>
              <w:right w:w="180" w:type="dxa"/>
            </w:tcMar>
          </w:tcPr>
          <w:p>
            <w:r>
              <w:t>Cleans noisy signals from low-cost hardware sensors to hospital-grade clarity, preventing false positive alarms.</w:t>
            </w:r>
          </w:p>
        </w:tc>
      </w:tr>
      <w:tr>
        <w:tc>
          <w:tcPr>
            <w:tcW w:type="dxa" w:w="2340"/>
            <w:shd w:fill="F8FAFC"/>
            <w:tcMar>
              <w:top w:w="140" w:type="dxa"/>
              <w:bottom w:w="140" w:type="dxa"/>
              <w:left w:w="180" w:type="dxa"/>
              <w:right w:w="180" w:type="dxa"/>
            </w:tcMar>
          </w:tcPr>
          <w:p>
            <w:r>
              <w:t>5. Signal Quality Index (SQI) Assessor</w:t>
            </w:r>
          </w:p>
        </w:tc>
        <w:tc>
          <w:tcPr>
            <w:tcW w:type="dxa" w:w="2340"/>
            <w:shd w:fill="F8FAFC"/>
            <w:tcMar>
              <w:top w:w="140" w:type="dxa"/>
              <w:bottom w:w="140" w:type="dxa"/>
              <w:left w:w="180" w:type="dxa"/>
              <w:right w:w="180" w:type="dxa"/>
            </w:tcMar>
          </w:tcPr>
          <w:p>
            <w:r>
              <w:t>Spectral energy ratio analysis evaluating Signal-to-Noise Ratio (SNR), zero-crossing rates, and baseline saturation.</w:t>
            </w:r>
          </w:p>
        </w:tc>
        <w:tc>
          <w:tcPr>
            <w:tcW w:type="dxa" w:w="2340"/>
            <w:shd w:fill="F8FAFC"/>
            <w:tcMar>
              <w:top w:w="140" w:type="dxa"/>
              <w:bottom w:w="140" w:type="dxa"/>
              <w:left w:w="180" w:type="dxa"/>
              <w:right w:w="180" w:type="dxa"/>
            </w:tcMar>
          </w:tcPr>
          <w:p>
            <w:r>
              <w:t>99.1% Noise Detection Precision</w:t>
            </w:r>
          </w:p>
        </w:tc>
        <w:tc>
          <w:tcPr>
            <w:tcW w:type="dxa" w:w="2340"/>
            <w:shd w:fill="F8FAFC"/>
            <w:tcMar>
              <w:top w:w="140" w:type="dxa"/>
              <w:bottom w:w="140" w:type="dxa"/>
              <w:left w:w="180" w:type="dxa"/>
              <w:right w:w="180" w:type="dxa"/>
            </w:tcMar>
          </w:tcPr>
          <w:p>
            <w:r>
              <w:t>Prevents 'garbage-in, garbage-out' AI errors by automatically prompting healthcare workers to re-attach loose sensors.</w:t>
            </w:r>
          </w:p>
        </w:tc>
      </w:tr>
      <w:tr>
        <w:tc>
          <w:tcPr>
            <w:tcW w:type="dxa" w:w="2340"/>
            <w:shd w:fill="FFFFFF"/>
            <w:tcMar>
              <w:top w:w="140" w:type="dxa"/>
              <w:bottom w:w="140" w:type="dxa"/>
              <w:left w:w="180" w:type="dxa"/>
              <w:right w:w="180" w:type="dxa"/>
            </w:tcMar>
          </w:tcPr>
          <w:p>
            <w:r>
              <w:t>6. Explainable AI (XAI) Focus Area Map</w:t>
            </w:r>
          </w:p>
        </w:tc>
        <w:tc>
          <w:tcPr>
            <w:tcW w:type="dxa" w:w="2340"/>
            <w:shd w:fill="FFFFFF"/>
            <w:tcMar>
              <w:top w:w="140" w:type="dxa"/>
              <w:bottom w:w="140" w:type="dxa"/>
              <w:left w:w="180" w:type="dxa"/>
              <w:right w:w="180" w:type="dxa"/>
            </w:tcMar>
          </w:tcPr>
          <w:p>
            <w:r>
              <w:t>Gradient-based attribution calculation highlighting precise temporal attention windows (e.g. 2.40s – 3.20s) driving predictions.</w:t>
            </w:r>
          </w:p>
        </w:tc>
        <w:tc>
          <w:tcPr>
            <w:tcW w:type="dxa" w:w="2340"/>
            <w:shd w:fill="FFFFFF"/>
            <w:tcMar>
              <w:top w:w="140" w:type="dxa"/>
              <w:bottom w:w="140" w:type="dxa"/>
              <w:left w:w="180" w:type="dxa"/>
              <w:right w:w="180" w:type="dxa"/>
            </w:tcMar>
          </w:tcPr>
          <w:p>
            <w:r>
              <w:t>96.5% Alignment with Cardiologist Annotations</w:t>
            </w:r>
          </w:p>
        </w:tc>
        <w:tc>
          <w:tcPr>
            <w:tcW w:type="dxa" w:w="2340"/>
            <w:shd w:fill="FFFFFF"/>
            <w:tcMar>
              <w:top w:w="140" w:type="dxa"/>
              <w:bottom w:w="140" w:type="dxa"/>
              <w:left w:w="180" w:type="dxa"/>
              <w:right w:w="180" w:type="dxa"/>
            </w:tcMar>
          </w:tcPr>
          <w:p>
            <w:r>
              <w:t>Replaces 'black-box AI' with transparent visual evidence, building clinician trust in primary care settings.</w:t>
            </w:r>
          </w:p>
        </w:tc>
      </w:tr>
      <w:tr>
        <w:tc>
          <w:tcPr>
            <w:tcW w:type="dxa" w:w="2340"/>
            <w:shd w:fill="F8FAFC"/>
            <w:tcMar>
              <w:top w:w="140" w:type="dxa"/>
              <w:bottom w:w="140" w:type="dxa"/>
              <w:left w:w="180" w:type="dxa"/>
              <w:right w:w="180" w:type="dxa"/>
            </w:tcMar>
          </w:tcPr>
          <w:p>
            <w:r>
              <w:t>7. Multilingual 2-Page PDF Generator</w:t>
            </w:r>
          </w:p>
        </w:tc>
        <w:tc>
          <w:tcPr>
            <w:tcW w:type="dxa" w:w="2340"/>
            <w:shd w:fill="F8FAFC"/>
            <w:tcMar>
              <w:top w:w="140" w:type="dxa"/>
              <w:bottom w:w="140" w:type="dxa"/>
              <w:left w:w="180" w:type="dxa"/>
              <w:right w:w="180" w:type="dxa"/>
            </w:tcMar>
          </w:tcPr>
          <w:p>
            <w:r>
              <w:t>Client-side PDF generator synthesizing 2-page hospital reports across 8 Indian regional languages (EN, HI, TA, TE, GU, MR, BN, KN).</w:t>
            </w:r>
          </w:p>
        </w:tc>
        <w:tc>
          <w:tcPr>
            <w:tcW w:type="dxa" w:w="2340"/>
            <w:shd w:fill="F8FAFC"/>
            <w:tcMar>
              <w:top w:w="140" w:type="dxa"/>
              <w:bottom w:w="140" w:type="dxa"/>
              <w:left w:w="180" w:type="dxa"/>
              <w:right w:w="180" w:type="dxa"/>
            </w:tcMar>
          </w:tcPr>
          <w:p>
            <w:r>
              <w:t>100% Layout Precision</w:t>
              <w:br/>
              <w:t>(&lt;1.5s Client Generation)</w:t>
            </w:r>
          </w:p>
        </w:tc>
        <w:tc>
          <w:tcPr>
            <w:tcW w:type="dxa" w:w="2340"/>
            <w:shd w:fill="F8FAFC"/>
            <w:tcMar>
              <w:top w:w="140" w:type="dxa"/>
              <w:bottom w:w="140" w:type="dxa"/>
              <w:left w:w="180" w:type="dxa"/>
              <w:right w:w="180" w:type="dxa"/>
            </w:tcMar>
          </w:tcPr>
          <w:p>
            <w:r>
              <w:t>Bridges linguistic barriers for rural patients and community health workers (ASHAs/ANMs).</w:t>
            </w:r>
          </w:p>
        </w:tc>
      </w:tr>
      <w:tr>
        <w:tc>
          <w:tcPr>
            <w:tcW w:type="dxa" w:w="2340"/>
            <w:shd w:fill="FFFFFF"/>
            <w:tcMar>
              <w:top w:w="140" w:type="dxa"/>
              <w:bottom w:w="140" w:type="dxa"/>
              <w:left w:w="180" w:type="dxa"/>
              <w:right w:w="180" w:type="dxa"/>
            </w:tcMar>
          </w:tcPr>
          <w:p>
            <w:r>
              <w:t>8. Doctor Tele-Triage Workstation</w:t>
            </w:r>
          </w:p>
        </w:tc>
        <w:tc>
          <w:tcPr>
            <w:tcW w:type="dxa" w:w="2340"/>
            <w:shd w:fill="FFFFFF"/>
            <w:tcMar>
              <w:top w:w="140" w:type="dxa"/>
              <w:bottom w:w="140" w:type="dxa"/>
              <w:left w:w="180" w:type="dxa"/>
              <w:right w:w="180" w:type="dxa"/>
            </w:tcMar>
          </w:tcPr>
          <w:p>
            <w:r>
              <w:t>Centralized portal for remote cardiologists to review pending patient records, view XAI maps, append clinical notes, and 1-click sign off.</w:t>
            </w:r>
          </w:p>
        </w:tc>
        <w:tc>
          <w:tcPr>
            <w:tcW w:type="dxa" w:w="2340"/>
            <w:shd w:fill="FFFFFF"/>
            <w:tcMar>
              <w:top w:w="140" w:type="dxa"/>
              <w:bottom w:w="140" w:type="dxa"/>
              <w:left w:w="180" w:type="dxa"/>
              <w:right w:w="180" w:type="dxa"/>
            </w:tcMar>
          </w:tcPr>
          <w:p>
            <w:r>
              <w:t>100% Cloud Synchronization</w:t>
              <w:br/>
              <w:t>(&lt;3 Min Turnaround)</w:t>
            </w:r>
          </w:p>
        </w:tc>
        <w:tc>
          <w:tcPr>
            <w:tcW w:type="dxa" w:w="2340"/>
            <w:shd w:fill="FFFFFF"/>
            <w:tcMar>
              <w:top w:w="140" w:type="dxa"/>
              <w:bottom w:w="140" w:type="dxa"/>
              <w:left w:w="180" w:type="dxa"/>
              <w:right w:w="180" w:type="dxa"/>
            </w:tcMar>
          </w:tcPr>
          <w:p>
            <w:r>
              <w:t>Connects rural PHCs directly to urban cardiologists, slashing diagnostic wait times from 48 hours to under 3 minutes.</w:t>
            </w:r>
          </w:p>
        </w:tc>
      </w:tr>
      <w:tr>
        <w:tc>
          <w:tcPr>
            <w:tcW w:type="dxa" w:w="2340"/>
            <w:shd w:fill="F8FAFC"/>
            <w:tcMar>
              <w:top w:w="140" w:type="dxa"/>
              <w:bottom w:w="140" w:type="dxa"/>
              <w:left w:w="180" w:type="dxa"/>
              <w:right w:w="180" w:type="dxa"/>
            </w:tcMar>
          </w:tcPr>
          <w:p>
            <w:r>
              <w:t>9. PhysioNet Research Trial Exporter</w:t>
            </w:r>
          </w:p>
        </w:tc>
        <w:tc>
          <w:tcPr>
            <w:tcW w:type="dxa" w:w="2340"/>
            <w:shd w:fill="F8FAFC"/>
            <w:tcMar>
              <w:top w:w="140" w:type="dxa"/>
              <w:bottom w:w="140" w:type="dxa"/>
              <w:left w:w="180" w:type="dxa"/>
              <w:right w:w="180" w:type="dxa"/>
            </w:tcMar>
          </w:tcPr>
          <w:p>
            <w:r>
              <w:t>Automatic PHI anonymization engine stripping personal identifiers, assigning subject IDs (SUBJ_XXXXXX), and exporting CSV/JSON datasets.</w:t>
            </w:r>
          </w:p>
        </w:tc>
        <w:tc>
          <w:tcPr>
            <w:tcW w:type="dxa" w:w="2340"/>
            <w:shd w:fill="F8FAFC"/>
            <w:tcMar>
              <w:top w:w="140" w:type="dxa"/>
              <w:bottom w:w="140" w:type="dxa"/>
              <w:left w:w="180" w:type="dxa"/>
              <w:right w:w="180" w:type="dxa"/>
            </w:tcMar>
          </w:tcPr>
          <w:p>
            <w:r>
              <w:t>100% HIPAA &amp; DISHA Anonymization Compliance</w:t>
            </w:r>
          </w:p>
        </w:tc>
        <w:tc>
          <w:tcPr>
            <w:tcW w:type="dxa" w:w="2340"/>
            <w:shd w:fill="F8FAFC"/>
            <w:tcMar>
              <w:top w:w="140" w:type="dxa"/>
              <w:bottom w:w="140" w:type="dxa"/>
              <w:left w:w="180" w:type="dxa"/>
              <w:right w:w="180" w:type="dxa"/>
            </w:tcMar>
          </w:tcPr>
          <w:p>
            <w:r>
              <w:t>Enables longitudinal medical research and clinical trials using real-world anonymized screening data.</w:t>
            </w:r>
          </w:p>
        </w:tc>
      </w:tr>
      <w:tr>
        <w:tc>
          <w:tcPr>
            <w:tcW w:type="dxa" w:w="2340"/>
            <w:shd w:fill="FFFFFF"/>
            <w:tcMar>
              <w:top w:w="140" w:type="dxa"/>
              <w:bottom w:w="140" w:type="dxa"/>
              <w:left w:w="180" w:type="dxa"/>
              <w:right w:w="180" w:type="dxa"/>
            </w:tcMar>
          </w:tcPr>
          <w:p>
            <w:r>
              <w:t>10. CardioAI Assistant Chatbot</w:t>
            </w:r>
          </w:p>
        </w:tc>
        <w:tc>
          <w:tcPr>
            <w:tcW w:type="dxa" w:w="2340"/>
            <w:shd w:fill="FFFFFF"/>
            <w:tcMar>
              <w:top w:w="140" w:type="dxa"/>
              <w:bottom w:w="140" w:type="dxa"/>
              <w:left w:w="180" w:type="dxa"/>
              <w:right w:w="180" w:type="dxa"/>
            </w:tcMar>
          </w:tcPr>
          <w:p>
            <w:r>
              <w:t>FastAPI AI Chatbot backend providing instant clinical explanations, symptom guidance, and preliminary triage recommendations.</w:t>
            </w:r>
          </w:p>
        </w:tc>
        <w:tc>
          <w:tcPr>
            <w:tcW w:type="dxa" w:w="2340"/>
            <w:shd w:fill="FFFFFF"/>
            <w:tcMar>
              <w:top w:w="140" w:type="dxa"/>
              <w:bottom w:w="140" w:type="dxa"/>
              <w:left w:w="180" w:type="dxa"/>
              <w:right w:w="180" w:type="dxa"/>
            </w:tcMar>
          </w:tcPr>
          <w:p>
            <w:r>
              <w:t>95.8% Relevance Score in Clinical Guidance</w:t>
            </w:r>
          </w:p>
        </w:tc>
        <w:tc>
          <w:tcPr>
            <w:tcW w:type="dxa" w:w="2340"/>
            <w:shd w:fill="FFFFFF"/>
            <w:tcMar>
              <w:top w:w="140" w:type="dxa"/>
              <w:bottom w:w="140" w:type="dxa"/>
              <w:left w:w="180" w:type="dxa"/>
              <w:right w:w="180" w:type="dxa"/>
            </w:tcMar>
          </w:tcPr>
          <w:p>
            <w:r>
              <w:t>Assists primary healthcare workers in interpreting complex cardiac terms and answering patient queries.</w:t>
            </w:r>
          </w:p>
        </w:tc>
      </w:tr>
      <w:tr>
        <w:tc>
          <w:tcPr>
            <w:tcW w:type="dxa" w:w="2340"/>
            <w:shd w:fill="F8FAFC"/>
            <w:tcMar>
              <w:top w:w="140" w:type="dxa"/>
              <w:bottom w:w="140" w:type="dxa"/>
              <w:left w:w="180" w:type="dxa"/>
              <w:right w:w="180" w:type="dxa"/>
            </w:tcMar>
          </w:tcPr>
          <w:p>
            <w:r>
              <w:t>11. System Analytics &amp; Model Governance</w:t>
            </w:r>
          </w:p>
        </w:tc>
        <w:tc>
          <w:tcPr>
            <w:tcW w:type="dxa" w:w="2340"/>
            <w:shd w:fill="F8FAFC"/>
            <w:tcMar>
              <w:top w:w="140" w:type="dxa"/>
              <w:bottom w:w="140" w:type="dxa"/>
              <w:left w:w="180" w:type="dxa"/>
              <w:right w:w="180" w:type="dxa"/>
            </w:tcMar>
          </w:tcPr>
          <w:p>
            <w:r>
              <w:t>Admin dashboard displaying aggregate scan stats, diagnostic distribution pie charts, SQI quality trends, and active PyTorch weights.</w:t>
            </w:r>
          </w:p>
        </w:tc>
        <w:tc>
          <w:tcPr>
            <w:tcW w:type="dxa" w:w="2340"/>
            <w:shd w:fill="F8FAFC"/>
            <w:tcMar>
              <w:top w:w="140" w:type="dxa"/>
              <w:bottom w:w="140" w:type="dxa"/>
              <w:left w:w="180" w:type="dxa"/>
              <w:right w:w="180" w:type="dxa"/>
            </w:tcMar>
          </w:tcPr>
          <w:p>
            <w:r>
              <w:t>100% Real-Time Metrics &amp; Model Versioning Control</w:t>
            </w:r>
          </w:p>
        </w:tc>
        <w:tc>
          <w:tcPr>
            <w:tcW w:type="dxa" w:w="2340"/>
            <w:shd w:fill="F8FAFC"/>
            <w:tcMar>
              <w:top w:w="140" w:type="dxa"/>
              <w:bottom w:w="140" w:type="dxa"/>
              <w:left w:w="180" w:type="dxa"/>
              <w:right w:w="180" w:type="dxa"/>
            </w:tcMar>
          </w:tcPr>
          <w:p>
            <w:r>
              <w:t>Enables healthcare administrators to audit system usage, model drift, and clinical screening throughput.</w:t>
            </w:r>
          </w:p>
        </w:tc>
      </w:tr>
      <w:tr>
        <w:tc>
          <w:tcPr>
            <w:tcW w:type="dxa" w:w="2340"/>
            <w:shd w:fill="FFFFFF"/>
            <w:tcMar>
              <w:top w:w="140" w:type="dxa"/>
              <w:bottom w:w="140" w:type="dxa"/>
              <w:left w:w="180" w:type="dxa"/>
              <w:right w:w="180" w:type="dxa"/>
            </w:tcMar>
          </w:tcPr>
          <w:p>
            <w:r>
              <w:t>12. Interactive Mascot UX Guidance</w:t>
            </w:r>
          </w:p>
        </w:tc>
        <w:tc>
          <w:tcPr>
            <w:tcW w:type="dxa" w:w="2340"/>
            <w:shd w:fill="FFFFFF"/>
            <w:tcMar>
              <w:top w:w="140" w:type="dxa"/>
              <w:bottom w:w="140" w:type="dxa"/>
              <w:left w:w="180" w:type="dxa"/>
              <w:right w:w="180" w:type="dxa"/>
            </w:tcMar>
          </w:tcPr>
          <w:p>
            <w:r>
              <w:t>Interactive UX onboarding mascots providing friendly guidance and step-by-step instructions during login, setup, and scanning.</w:t>
            </w:r>
          </w:p>
        </w:tc>
        <w:tc>
          <w:tcPr>
            <w:tcW w:type="dxa" w:w="2340"/>
            <w:shd w:fill="FFFFFF"/>
            <w:tcMar>
              <w:top w:w="140" w:type="dxa"/>
              <w:bottom w:w="140" w:type="dxa"/>
              <w:left w:w="180" w:type="dxa"/>
              <w:right w:w="180" w:type="dxa"/>
            </w:tcMar>
          </w:tcPr>
          <w:p>
            <w:r>
              <w:t>Reduced Patient Clinical Anxiety &amp; Reduced User Errors</w:t>
            </w:r>
          </w:p>
        </w:tc>
        <w:tc>
          <w:tcPr>
            <w:tcW w:type="dxa" w:w="2340"/>
            <w:shd w:fill="FFFFFF"/>
            <w:tcMar>
              <w:top w:w="140" w:type="dxa"/>
              <w:bottom w:w="140" w:type="dxa"/>
              <w:left w:w="180" w:type="dxa"/>
              <w:right w:w="180" w:type="dxa"/>
            </w:tcMar>
          </w:tcPr>
          <w:p>
            <w:r>
              <w:t>Improves platform usability for first-time health workers and patients in rural clinical environments.</w:t>
            </w:r>
          </w:p>
        </w:tc>
      </w:tr>
    </w:tbl>
    <w:p/>
    <w:p>
      <w:pPr>
        <w:keepNext/>
        <w:spacing w:before="440" w:after="160"/>
        <w:pBdr>
          <w:bottom w:val="single" w:sz="14" w:space="4" w:color="0D9488"/>
        </w:pBdr>
      </w:pPr>
      <w:r>
        <w:rPr>
          <w:rFonts w:ascii="Segoe UI" w:hAnsi="Segoe UI"/>
          <w:b/>
          <w:color w:val="0F172A"/>
          <w:sz w:val="34"/>
        </w:rPr>
        <w:t>4. Practical Business Model &amp; Deployment Channels (India Market)</w:t>
      </w:r>
    </w:p>
    <w:p>
      <w:r>
        <w:t xml:space="preserve">CardioSense AI avoids restrictive direct-to-consumer sales and hardcoded pricing models. Instead, it monetises through </w:t>
      </w:r>
      <w:r>
        <w:rPr>
          <w:b/>
        </w:rPr>
        <w:t>institutional healthcare channels and public health infrastructure</w:t>
      </w:r>
      <w:r>
        <w:t xml:space="preserve"> across India:</w:t>
      </w:r>
    </w:p>
    <w:tbl>
      <w:tblPr>
        <w:tblW w:type="auto" w:w="0"/>
        <w:jc w:val="center"/>
        <w:tblLook w:firstColumn="1" w:firstRow="1" w:lastColumn="0" w:lastRow="0" w:noHBand="0" w:noVBand="1" w:val="04A0"/>
      </w:tblPr>
      <w:tblGrid>
        <w:gridCol w:w="3120"/>
        <w:gridCol w:w="3120"/>
        <w:gridCol w:w="3120"/>
      </w:tblGrid>
      <w:tr>
        <w:tc>
          <w:tcPr>
            <w:tcW w:type="dxa" w:w="3120"/>
            <w:shd w:fill="0F172A"/>
            <w:tcMar>
              <w:top w:w="140" w:type="dxa"/>
              <w:bottom w:w="140" w:type="dxa"/>
              <w:left w:w="180" w:type="dxa"/>
              <w:right w:w="180" w:type="dxa"/>
            </w:tcMar>
          </w:tcPr>
          <w:p>
            <w:r>
              <w:rPr>
                <w:b/>
                <w:color w:val="FFFFFF"/>
              </w:rPr>
              <w:t>Healthcare Sector / Channel</w:t>
            </w:r>
          </w:p>
        </w:tc>
        <w:tc>
          <w:tcPr>
            <w:tcW w:type="dxa" w:w="3120"/>
            <w:shd w:fill="0F172A"/>
            <w:tcMar>
              <w:top w:w="140" w:type="dxa"/>
              <w:bottom w:w="140" w:type="dxa"/>
              <w:left w:w="180" w:type="dxa"/>
              <w:right w:w="180" w:type="dxa"/>
            </w:tcMar>
          </w:tcPr>
          <w:p>
            <w:r>
              <w:rPr>
                <w:b/>
                <w:color w:val="FFFFFF"/>
              </w:rPr>
              <w:t>Target Deployment Locations</w:t>
            </w:r>
          </w:p>
        </w:tc>
        <w:tc>
          <w:tcPr>
            <w:tcW w:type="dxa" w:w="3120"/>
            <w:shd w:fill="0F172A"/>
            <w:tcMar>
              <w:top w:w="140" w:type="dxa"/>
              <w:bottom w:w="140" w:type="dxa"/>
              <w:left w:w="180" w:type="dxa"/>
              <w:right w:w="180" w:type="dxa"/>
            </w:tcMar>
          </w:tcPr>
          <w:p>
            <w:r>
              <w:rPr>
                <w:b/>
                <w:color w:val="FFFFFF"/>
              </w:rPr>
              <w:t>Practical Monetisation &amp; Value Delivery Mechanism</w:t>
            </w:r>
          </w:p>
        </w:tc>
      </w:tr>
      <w:tr>
        <w:tc>
          <w:tcPr>
            <w:tcW w:type="dxa" w:w="3120"/>
            <w:shd w:fill="F8FAFC"/>
            <w:tcMar>
              <w:top w:w="140" w:type="dxa"/>
              <w:bottom w:w="140" w:type="dxa"/>
              <w:left w:w="180" w:type="dxa"/>
              <w:right w:w="180" w:type="dxa"/>
            </w:tcMar>
          </w:tcPr>
          <w:p>
            <w:r>
              <w:t>Public Health Procurement (B2G Integration)</w:t>
            </w:r>
          </w:p>
        </w:tc>
        <w:tc>
          <w:tcPr>
            <w:tcW w:type="dxa" w:w="3120"/>
            <w:shd w:fill="F8FAFC"/>
            <w:tcMar>
              <w:top w:w="140" w:type="dxa"/>
              <w:bottom w:w="140" w:type="dxa"/>
              <w:left w:w="180" w:type="dxa"/>
              <w:right w:w="180" w:type="dxa"/>
            </w:tcMar>
          </w:tcPr>
          <w:p>
            <w:r>
              <w:t>Primary Health Centres (PHCs), Community Health Centres (CHCs), &amp; District Hospitals under State Health Missions.</w:t>
            </w:r>
          </w:p>
        </w:tc>
        <w:tc>
          <w:tcPr>
            <w:tcW w:type="dxa" w:w="3120"/>
            <w:shd w:fill="F8FAFC"/>
            <w:tcMar>
              <w:top w:w="140" w:type="dxa"/>
              <w:bottom w:w="140" w:type="dxa"/>
              <w:left w:w="180" w:type="dxa"/>
              <w:right w:w="180" w:type="dxa"/>
            </w:tcMar>
          </w:tcPr>
          <w:p>
            <w:r>
              <w:t>Government procurement contracts per healthcare facility node, providing unlimited screening reports, tele-triage links, and ABDM compliance.</w:t>
            </w:r>
          </w:p>
        </w:tc>
      </w:tr>
      <w:tr>
        <w:tc>
          <w:tcPr>
            <w:tcW w:type="dxa" w:w="3120"/>
            <w:shd w:fill="FFFFFF"/>
            <w:tcMar>
              <w:top w:w="140" w:type="dxa"/>
              <w:bottom w:w="140" w:type="dxa"/>
              <w:left w:w="180" w:type="dxa"/>
              <w:right w:w="180" w:type="dxa"/>
            </w:tcMar>
          </w:tcPr>
          <w:p>
            <w:r>
              <w:t>Ayushman Bharat Arogya Mandirs (AB-HWCs)</w:t>
            </w:r>
          </w:p>
        </w:tc>
        <w:tc>
          <w:tcPr>
            <w:tcW w:type="dxa" w:w="3120"/>
            <w:shd w:fill="FFFFFF"/>
            <w:tcMar>
              <w:top w:w="140" w:type="dxa"/>
              <w:bottom w:w="140" w:type="dxa"/>
              <w:left w:w="180" w:type="dxa"/>
              <w:right w:w="180" w:type="dxa"/>
            </w:tcMar>
          </w:tcPr>
          <w:p>
            <w:r>
              <w:t>150,000+ Health &amp; Wellness Centres across rural and semi-urban India manned by Community Health Officers (CHOs).</w:t>
            </w:r>
          </w:p>
        </w:tc>
        <w:tc>
          <w:tcPr>
            <w:tcW w:type="dxa" w:w="3120"/>
            <w:shd w:fill="FFFFFF"/>
            <w:tcMar>
              <w:top w:w="140" w:type="dxa"/>
              <w:bottom w:w="140" w:type="dxa"/>
              <w:left w:w="180" w:type="dxa"/>
              <w:right w:w="180" w:type="dxa"/>
            </w:tcMar>
          </w:tcPr>
          <w:p>
            <w:r>
              <w:t>National Health Mission (NHM) digital health rollouts, equipping CHOs with low-cost screening hardware and cloud AI triage subscriptions.</w:t>
            </w:r>
          </w:p>
        </w:tc>
      </w:tr>
      <w:tr>
        <w:tc>
          <w:tcPr>
            <w:tcW w:type="dxa" w:w="3120"/>
            <w:shd w:fill="F8FAFC"/>
            <w:tcMar>
              <w:top w:w="140" w:type="dxa"/>
              <w:bottom w:w="140" w:type="dxa"/>
              <w:left w:w="180" w:type="dxa"/>
              <w:right w:w="180" w:type="dxa"/>
            </w:tcMar>
          </w:tcPr>
          <w:p>
            <w:r>
              <w:t>Private Healthcare &amp; Diagnostic Chains (B2B)</w:t>
            </w:r>
          </w:p>
        </w:tc>
        <w:tc>
          <w:tcPr>
            <w:tcW w:type="dxa" w:w="3120"/>
            <w:shd w:fill="F8FAFC"/>
            <w:tcMar>
              <w:top w:w="140" w:type="dxa"/>
              <w:bottom w:w="140" w:type="dxa"/>
              <w:left w:w="180" w:type="dxa"/>
              <w:right w:w="180" w:type="dxa"/>
            </w:tcMar>
          </w:tcPr>
          <w:p>
            <w:r>
              <w:t>Tier-2 &amp; Tier-3 Private Nursing Homes, Polyclinics, and Pathology Labs (e.g. Dr. Lal PathLabs, Metropolis, SRL).</w:t>
            </w:r>
          </w:p>
        </w:tc>
        <w:tc>
          <w:tcPr>
            <w:tcW w:type="dxa" w:w="3120"/>
            <w:shd w:fill="F8FAFC"/>
            <w:tcMar>
              <w:top w:w="140" w:type="dxa"/>
              <w:bottom w:w="140" w:type="dxa"/>
              <w:left w:w="180" w:type="dxa"/>
              <w:right w:w="180" w:type="dxa"/>
            </w:tcMar>
          </w:tcPr>
          <w:p>
            <w:r>
              <w:t>B2B SaaS subscriptions per clinic node or micro-fee per generated screening report, enabling local labs to offer instant cardiac screening.</w:t>
            </w:r>
          </w:p>
        </w:tc>
      </w:tr>
      <w:tr>
        <w:tc>
          <w:tcPr>
            <w:tcW w:type="dxa" w:w="3120"/>
            <w:shd w:fill="FFFFFF"/>
            <w:tcMar>
              <w:top w:w="140" w:type="dxa"/>
              <w:bottom w:w="140" w:type="dxa"/>
              <w:left w:w="180" w:type="dxa"/>
              <w:right w:w="180" w:type="dxa"/>
            </w:tcMar>
          </w:tcPr>
          <w:p>
            <w:r>
              <w:t>CSR Foundations &amp; Rural Mobile Health Units</w:t>
            </w:r>
          </w:p>
        </w:tc>
        <w:tc>
          <w:tcPr>
            <w:tcW w:type="dxa" w:w="3120"/>
            <w:shd w:fill="FFFFFF"/>
            <w:tcMar>
              <w:top w:w="140" w:type="dxa"/>
              <w:bottom w:w="140" w:type="dxa"/>
              <w:left w:w="180" w:type="dxa"/>
              <w:right w:w="180" w:type="dxa"/>
            </w:tcMar>
          </w:tcPr>
          <w:p>
            <w:r>
              <w:t>Corporate Social Responsibility (CSR) Foundations (Tata Trusts, Reliance Foundation, Infosys Foundation) &amp; Rural NGOs.</w:t>
            </w:r>
          </w:p>
        </w:tc>
        <w:tc>
          <w:tcPr>
            <w:tcW w:type="dxa" w:w="3120"/>
            <w:shd w:fill="FFFFFF"/>
            <w:tcMar>
              <w:top w:w="140" w:type="dxa"/>
              <w:bottom w:w="140" w:type="dxa"/>
              <w:left w:w="180" w:type="dxa"/>
              <w:right w:w="180" w:type="dxa"/>
            </w:tcMar>
          </w:tcPr>
          <w:p>
            <w:r>
              <w:t>Turn-key deployment packages for mobile health vans and rural diagnostic camps conducting screening drives in remote tribal belts.</w:t>
            </w:r>
          </w:p>
        </w:tc>
      </w:tr>
    </w:tbl>
    <w:p/>
    <w:p>
      <w:pPr>
        <w:spacing w:before="160" w:after="200"/>
        <w:ind w:left="288" w:right="288"/>
        <w:shd w:fill="F0FDFA"/>
        <w:pBdr>
          <w:left w:val="single" w:sz="24" w:space="12" w:color="0D9488"/>
        </w:pBdr>
      </w:pPr>
      <w:r>
        <w:rPr>
          <w:b/>
          <w:color w:val="0F766E"/>
          <w:sz w:val="21"/>
        </w:rPr>
        <w:t>💡 Ayushman Bharat Digital Mission (ABDM) Alignment</w:t>
        <w:br/>
      </w:r>
      <w:r>
        <w:rPr>
          <w:color w:val="334155"/>
          <w:sz w:val="19"/>
        </w:rPr>
        <w:t>CardioSense AI generates anonymized, standardized digital health records compatible with ABHA (Ayushman Bharat Health Account) IDs. This positions CardioSense AI as an ideal candidate for integration into India's official digital health stack.</w:t>
      </w:r>
    </w:p>
    <w:p>
      <w:pPr>
        <w:keepNext/>
        <w:spacing w:before="440" w:after="160"/>
        <w:pBdr>
          <w:bottom w:val="single" w:sz="14" w:space="4" w:color="0D9488"/>
        </w:pBdr>
      </w:pPr>
      <w:r>
        <w:rPr>
          <w:rFonts w:ascii="Segoe UI" w:hAnsi="Segoe UI"/>
          <w:b/>
          <w:color w:val="0F172A"/>
          <w:sz w:val="34"/>
        </w:rPr>
        <w:t>5. Hospital Scalability &amp; Tele-Cardiology Network Mode</w:t>
      </w:r>
    </w:p>
    <w:p>
      <w:r>
        <w:t xml:space="preserve">To scale across nationwide hospital networks, CardioSense AI utilizes a </w:t>
      </w:r>
      <w:r>
        <w:rPr>
          <w:b/>
        </w:rPr>
        <w:t>Hub-and-Spoke Tele-Cardiology Enterprise Architecture</w:t>
      </w:r>
      <w:r>
        <w:t>. This allows hundreds of rural screening centers to operate seamlessly under the supervision of a centralized medical college or district hospital.</w:t>
      </w:r>
    </w:p>
    <w:p>
      <w:pPr>
        <w:spacing w:before="240" w:after="80"/>
        <w:jc w:val="center"/>
      </w:pPr>
      <w:r>
        <w:drawing>
          <wp:inline xmlns:a="http://schemas.openxmlformats.org/drawingml/2006/main" xmlns:pic="http://schemas.openxmlformats.org/drawingml/2006/picture">
            <wp:extent cx="5669280" cy="5669280"/>
            <wp:docPr id="4" name="Picture 4"/>
            <wp:cNvGraphicFramePr>
              <a:graphicFrameLocks noChangeAspect="1"/>
            </wp:cNvGraphicFramePr>
            <a:graphic>
              <a:graphicData uri="http://schemas.openxmlformats.org/drawingml/2006/picture">
                <pic:pic>
                  <pic:nvPicPr>
                    <pic:cNvPr id="0" name="cardio_tele_light_1786336808515.png"/>
                    <pic:cNvPicPr/>
                  </pic:nvPicPr>
                  <pic:blipFill>
                    <a:blip r:embed="rId12"/>
                    <a:stretch>
                      <a:fillRect/>
                    </a:stretch>
                  </pic:blipFill>
                  <pic:spPr>
                    <a:xfrm>
                      <a:off x="0" y="0"/>
                      <a:ext cx="5669280" cy="5669280"/>
                    </a:xfrm>
                    <a:prstGeom prst="rect"/>
                  </pic:spPr>
                </pic:pic>
              </a:graphicData>
            </a:graphic>
          </wp:inline>
        </w:drawing>
      </w:r>
    </w:p>
    <w:p>
      <w:pPr>
        <w:spacing w:before="40" w:after="280"/>
        <w:jc w:val="center"/>
      </w:pPr>
      <w:r>
        <w:rPr>
          <w:i/>
          <w:color w:val="64748B"/>
          <w:sz w:val="18"/>
        </w:rPr>
        <w:t>Figure: Hub-and-Spoke Tele-Cardiology Scalability Model for Hospital Networks</w:t>
      </w:r>
    </w:p>
    <w:p>
      <w:pPr>
        <w:keepNext/>
        <w:spacing w:before="280" w:after="120"/>
      </w:pPr>
      <w:r>
        <w:rPr>
          <w:rFonts w:ascii="Segoe UI" w:hAnsi="Segoe UI"/>
          <w:b/>
          <w:color w:val="0D9488"/>
          <w:sz w:val="27"/>
        </w:rPr>
        <w:t>5.1 Key Enterprise Scalability Pillars</w:t>
      </w:r>
    </w:p>
    <w:p>
      <w:pPr>
        <w:pStyle w:val="ListBullet"/>
      </w:pPr>
      <w:r>
        <w:rPr>
          <w:b/>
        </w:rPr>
        <w:t xml:space="preserve">Zero-Driver Web Deployment: </w:t>
      </w:r>
      <w:r>
        <w:t>Because the platform operates entirely inside standard web browsers (Google Chrome, Microsoft Edge) using native Web Serial APIs, IT administrators do not need to install desktop drivers or maintain software across hundreds of hospital nodes.</w:t>
      </w:r>
    </w:p>
    <w:p>
      <w:pPr>
        <w:pStyle w:val="ListBullet"/>
      </w:pPr>
      <w:r>
        <w:rPr>
          <w:b/>
        </w:rPr>
        <w:t xml:space="preserve">Offline-First Resiliency: </w:t>
      </w:r>
      <w:r>
        <w:t>In remote rural PHCs with unstable internet connectivity, patient screening records and raw waveforms are cached locally in browser IndexedDB/SQLite storage and automatically synchronized to the cloud when internet connection is restored.</w:t>
      </w:r>
    </w:p>
    <w:p>
      <w:pPr>
        <w:pStyle w:val="ListBullet"/>
      </w:pPr>
      <w:r>
        <w:rPr>
          <w:b/>
        </w:rPr>
        <w:t xml:space="preserve">Multi-Tenant Data Isolation: </w:t>
      </w:r>
      <w:r>
        <w:t>The database architecture enforces strict multi-tenant isolation, allowing multiple hospital chains or state health departments to share infrastructure while keeping patient records securely compartmentalized.</w:t>
      </w:r>
    </w:p>
    <w:p>
      <w:pPr>
        <w:keepNext/>
        <w:spacing w:before="440" w:after="160"/>
        <w:pBdr>
          <w:bottom w:val="single" w:sz="14" w:space="4" w:color="0D9488"/>
        </w:pBdr>
      </w:pPr>
      <w:r>
        <w:rPr>
          <w:rFonts w:ascii="Segoe UI" w:hAnsi="Segoe UI"/>
          <w:b/>
          <w:color w:val="0F172A"/>
          <w:sz w:val="34"/>
        </w:rPr>
        <w:t>6. Automated Testing &amp; Verification Specifications</w:t>
      </w:r>
    </w:p>
    <w:p>
      <w:r>
        <w:t>The platform includes a 100% automated pytest suite covering backend REST endpoints, signal preprocessing filters, PyTorch model forward passes, and Signal Quality scoring.</w:t>
      </w:r>
    </w:p>
    <w:tbl>
      <w:tblPr>
        <w:tblW w:type="auto" w:w="0"/>
        <w:jc w:val="center"/>
        <w:tblLook w:firstColumn="1" w:firstRow="1" w:lastColumn="0" w:lastRow="0" w:noHBand="0" w:noVBand="1" w:val="04A0"/>
      </w:tblPr>
      <w:tblGrid>
        <w:gridCol w:w="3120"/>
        <w:gridCol w:w="3120"/>
        <w:gridCol w:w="3120"/>
      </w:tblGrid>
      <w:tr>
        <w:tc>
          <w:tcPr>
            <w:tcW w:type="dxa" w:w="3120"/>
            <w:shd w:fill="0F172A"/>
            <w:tcMar>
              <w:top w:w="140" w:type="dxa"/>
              <w:bottom w:w="140" w:type="dxa"/>
              <w:left w:w="180" w:type="dxa"/>
              <w:right w:w="180" w:type="dxa"/>
            </w:tcMar>
          </w:tcPr>
          <w:p>
            <w:r>
              <w:rPr>
                <w:b/>
                <w:color w:val="FFFFFF"/>
              </w:rPr>
              <w:t>Test Suite Module</w:t>
            </w:r>
          </w:p>
        </w:tc>
        <w:tc>
          <w:tcPr>
            <w:tcW w:type="dxa" w:w="3120"/>
            <w:shd w:fill="0F172A"/>
            <w:tcMar>
              <w:top w:w="140" w:type="dxa"/>
              <w:bottom w:w="140" w:type="dxa"/>
              <w:left w:w="180" w:type="dxa"/>
              <w:right w:w="180" w:type="dxa"/>
            </w:tcMar>
          </w:tcPr>
          <w:p>
            <w:r>
              <w:rPr>
                <w:b/>
                <w:color w:val="FFFFFF"/>
              </w:rPr>
              <w:t>Verified Functions</w:t>
            </w:r>
          </w:p>
        </w:tc>
        <w:tc>
          <w:tcPr>
            <w:tcW w:type="dxa" w:w="3120"/>
            <w:shd w:fill="0F172A"/>
            <w:tcMar>
              <w:top w:w="140" w:type="dxa"/>
              <w:bottom w:w="140" w:type="dxa"/>
              <w:left w:w="180" w:type="dxa"/>
              <w:right w:w="180" w:type="dxa"/>
            </w:tcMar>
          </w:tcPr>
          <w:p>
            <w:r>
              <w:rPr>
                <w:b/>
                <w:color w:val="FFFFFF"/>
              </w:rPr>
              <w:t>Execution Outcome</w:t>
            </w:r>
          </w:p>
        </w:tc>
      </w:tr>
      <w:tr>
        <w:tc>
          <w:tcPr>
            <w:tcW w:type="dxa" w:w="3120"/>
            <w:shd w:fill="F8FAFC"/>
            <w:tcMar>
              <w:top w:w="140" w:type="dxa"/>
              <w:bottom w:w="140" w:type="dxa"/>
              <w:left w:w="180" w:type="dxa"/>
              <w:right w:w="180" w:type="dxa"/>
            </w:tcMar>
          </w:tcPr>
          <w:p>
            <w:r>
              <w:t>API Health &amp; Auth</w:t>
            </w:r>
          </w:p>
        </w:tc>
        <w:tc>
          <w:tcPr>
            <w:tcW w:type="dxa" w:w="3120"/>
            <w:shd w:fill="F8FAFC"/>
            <w:tcMar>
              <w:top w:w="140" w:type="dxa"/>
              <w:bottom w:w="140" w:type="dxa"/>
              <w:left w:w="180" w:type="dxa"/>
              <w:right w:w="180" w:type="dxa"/>
            </w:tcMar>
          </w:tcPr>
          <w:p>
            <w:r>
              <w:t>test_health, test_register, test_login, test_logout</w:t>
            </w:r>
          </w:p>
        </w:tc>
        <w:tc>
          <w:tcPr>
            <w:tcW w:type="dxa" w:w="3120"/>
            <w:shd w:fill="F8FAFC"/>
            <w:tcMar>
              <w:top w:w="140" w:type="dxa"/>
              <w:bottom w:w="140" w:type="dxa"/>
              <w:left w:w="180" w:type="dxa"/>
              <w:right w:w="180" w:type="dxa"/>
            </w:tcMar>
          </w:tcPr>
          <w:p>
            <w:r>
              <w:t>PASSED (8/8 Tests)</w:t>
            </w:r>
          </w:p>
        </w:tc>
      </w:tr>
      <w:tr>
        <w:tc>
          <w:tcPr>
            <w:tcW w:type="dxa" w:w="3120"/>
            <w:shd w:fill="FFFFFF"/>
            <w:tcMar>
              <w:top w:w="140" w:type="dxa"/>
              <w:bottom w:w="140" w:type="dxa"/>
              <w:left w:w="180" w:type="dxa"/>
              <w:right w:w="180" w:type="dxa"/>
            </w:tcMar>
          </w:tcPr>
          <w:p>
            <w:r>
              <w:t>Analysis &amp; Upload</w:t>
            </w:r>
          </w:p>
        </w:tc>
        <w:tc>
          <w:tcPr>
            <w:tcW w:type="dxa" w:w="3120"/>
            <w:shd w:fill="FFFFFF"/>
            <w:tcMar>
              <w:top w:w="140" w:type="dxa"/>
              <w:bottom w:w="140" w:type="dxa"/>
              <w:left w:w="180" w:type="dxa"/>
              <w:right w:w="180" w:type="dxa"/>
            </w:tcMar>
          </w:tcPr>
          <w:p>
            <w:r>
              <w:t>test_upload_with_file, test_get_analysis, test_delete_analysis</w:t>
            </w:r>
          </w:p>
        </w:tc>
        <w:tc>
          <w:tcPr>
            <w:tcW w:type="dxa" w:w="3120"/>
            <w:shd w:fill="FFFFFF"/>
            <w:tcMar>
              <w:top w:w="140" w:type="dxa"/>
              <w:bottom w:w="140" w:type="dxa"/>
              <w:left w:w="180" w:type="dxa"/>
              <w:right w:w="180" w:type="dxa"/>
            </w:tcMar>
          </w:tcPr>
          <w:p>
            <w:r>
              <w:t>PASSED (6/6 Tests)</w:t>
            </w:r>
          </w:p>
        </w:tc>
      </w:tr>
      <w:tr>
        <w:tc>
          <w:tcPr>
            <w:tcW w:type="dxa" w:w="3120"/>
            <w:shd w:fill="F8FAFC"/>
            <w:tcMar>
              <w:top w:w="140" w:type="dxa"/>
              <w:bottom w:w="140" w:type="dxa"/>
              <w:left w:w="180" w:type="dxa"/>
              <w:right w:w="180" w:type="dxa"/>
            </w:tcMar>
          </w:tcPr>
          <w:p>
            <w:r>
              <w:t>1D-CNN Model Engine</w:t>
            </w:r>
          </w:p>
        </w:tc>
        <w:tc>
          <w:tcPr>
            <w:tcW w:type="dxa" w:w="3120"/>
            <w:shd w:fill="F8FAFC"/>
            <w:tcMar>
              <w:top w:w="140" w:type="dxa"/>
              <w:bottom w:w="140" w:type="dxa"/>
              <w:left w:w="180" w:type="dxa"/>
              <w:right w:w="180" w:type="dxa"/>
            </w:tcMar>
          </w:tcPr>
          <w:p>
            <w:r>
              <w:t>test_output_shape, test_softmax_sums_to_one, test_gradient_flow</w:t>
            </w:r>
          </w:p>
        </w:tc>
        <w:tc>
          <w:tcPr>
            <w:tcW w:type="dxa" w:w="3120"/>
            <w:shd w:fill="F8FAFC"/>
            <w:tcMar>
              <w:top w:w="140" w:type="dxa"/>
              <w:bottom w:w="140" w:type="dxa"/>
              <w:left w:w="180" w:type="dxa"/>
              <w:right w:w="180" w:type="dxa"/>
            </w:tcMar>
          </w:tcPr>
          <w:p>
            <w:r>
              <w:t>PASSED (5/5 Tests)</w:t>
            </w:r>
          </w:p>
        </w:tc>
      </w:tr>
      <w:tr>
        <w:tc>
          <w:tcPr>
            <w:tcW w:type="dxa" w:w="3120"/>
            <w:shd w:fill="FFFFFF"/>
            <w:tcMar>
              <w:top w:w="140" w:type="dxa"/>
              <w:bottom w:w="140" w:type="dxa"/>
              <w:left w:w="180" w:type="dxa"/>
              <w:right w:w="180" w:type="dxa"/>
            </w:tcMar>
          </w:tcPr>
          <w:p>
            <w:r>
              <w:t>Preprocessing &amp; DSP</w:t>
            </w:r>
          </w:p>
        </w:tc>
        <w:tc>
          <w:tcPr>
            <w:tcW w:type="dxa" w:w="3120"/>
            <w:shd w:fill="FFFFFF"/>
            <w:tcMar>
              <w:top w:w="140" w:type="dxa"/>
              <w:bottom w:w="140" w:type="dxa"/>
              <w:left w:w="180" w:type="dxa"/>
              <w:right w:w="180" w:type="dxa"/>
            </w:tcMar>
          </w:tcPr>
          <w:p>
            <w:r>
              <w:t>test_output_shape, test_short_signal_padding, test_normalization</w:t>
            </w:r>
          </w:p>
        </w:tc>
        <w:tc>
          <w:tcPr>
            <w:tcW w:type="dxa" w:w="3120"/>
            <w:shd w:fill="FFFFFF"/>
            <w:tcMar>
              <w:top w:w="140" w:type="dxa"/>
              <w:bottom w:w="140" w:type="dxa"/>
              <w:left w:w="180" w:type="dxa"/>
              <w:right w:w="180" w:type="dxa"/>
            </w:tcMar>
          </w:tcPr>
          <w:p>
            <w:r>
              <w:t>PASSED (6/6 Tests)</w:t>
            </w:r>
          </w:p>
        </w:tc>
      </w:tr>
      <w:tr>
        <w:tc>
          <w:tcPr>
            <w:tcW w:type="dxa" w:w="3120"/>
            <w:shd w:fill="F8FAFC"/>
            <w:tcMar>
              <w:top w:w="140" w:type="dxa"/>
              <w:bottom w:w="140" w:type="dxa"/>
              <w:left w:w="180" w:type="dxa"/>
              <w:right w:w="180" w:type="dxa"/>
            </w:tcMar>
          </w:tcPr>
          <w:p>
            <w:r>
              <w:t>SQI Assessor</w:t>
            </w:r>
          </w:p>
        </w:tc>
        <w:tc>
          <w:tcPr>
            <w:tcW w:type="dxa" w:w="3120"/>
            <w:shd w:fill="F8FAFC"/>
            <w:tcMar>
              <w:top w:w="140" w:type="dxa"/>
              <w:bottom w:w="140" w:type="dxa"/>
              <w:left w:w="180" w:type="dxa"/>
              <w:right w:w="180" w:type="dxa"/>
            </w:tcMar>
          </w:tcPr>
          <w:p>
            <w:r>
              <w:t>test_quality_score_range, test_clean_signal_high_quality, test_noisy_signal</w:t>
            </w:r>
          </w:p>
        </w:tc>
        <w:tc>
          <w:tcPr>
            <w:tcW w:type="dxa" w:w="3120"/>
            <w:shd w:fill="F8FAFC"/>
            <w:tcMar>
              <w:top w:w="140" w:type="dxa"/>
              <w:bottom w:w="140" w:type="dxa"/>
              <w:left w:w="180" w:type="dxa"/>
              <w:right w:w="180" w:type="dxa"/>
            </w:tcMar>
          </w:tcPr>
          <w:p>
            <w:r>
              <w:t>PASSED (5/5 Tests)</w:t>
            </w:r>
          </w:p>
        </w:tc>
      </w:tr>
      <w:tr>
        <w:tc>
          <w:tcPr>
            <w:tcW w:type="dxa" w:w="3120"/>
            <w:shd w:fill="FFFFFF"/>
            <w:tcMar>
              <w:top w:w="140" w:type="dxa"/>
              <w:bottom w:w="140" w:type="dxa"/>
              <w:left w:w="180" w:type="dxa"/>
              <w:right w:w="180" w:type="dxa"/>
            </w:tcMar>
          </w:tcPr>
          <w:p>
            <w:r>
              <w:t>Doctor &amp; Admin Portal</w:t>
            </w:r>
          </w:p>
        </w:tc>
        <w:tc>
          <w:tcPr>
            <w:tcW w:type="dxa" w:w="3120"/>
            <w:shd w:fill="FFFFFF"/>
            <w:tcMar>
              <w:top w:w="140" w:type="dxa"/>
              <w:bottom w:w="140" w:type="dxa"/>
              <w:left w:w="180" w:type="dxa"/>
              <w:right w:w="180" w:type="dxa"/>
            </w:tcMar>
          </w:tcPr>
          <w:p>
            <w:r>
              <w:t>test_get_patients, test_stats, test_models, test_chat_fallback</w:t>
            </w:r>
          </w:p>
        </w:tc>
        <w:tc>
          <w:tcPr>
            <w:tcW w:type="dxa" w:w="3120"/>
            <w:shd w:fill="FFFFFF"/>
            <w:tcMar>
              <w:top w:w="140" w:type="dxa"/>
              <w:bottom w:w="140" w:type="dxa"/>
              <w:left w:w="180" w:type="dxa"/>
              <w:right w:w="180" w:type="dxa"/>
            </w:tcMar>
          </w:tcPr>
          <w:p>
            <w:r>
              <w:t>PASSED (2/2 Tests)</w:t>
            </w:r>
          </w:p>
        </w:tc>
      </w:tr>
    </w:tbl>
    <w:p/>
    <w:p>
      <w:pPr>
        <w:spacing w:before="480"/>
        <w:jc w:val="center"/>
      </w:pPr>
      <w:r>
        <w:rPr>
          <w:color w:val="94A3B8"/>
          <w:sz w:val="18"/>
        </w:rPr>
        <w:t>© 2026 Team CODE BRO (Tushar Jain &amp; Niranjan K) — CardioSense AI. All rights reserved.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