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imes New Roman" w:hAnsi="Times New Roman"/>
          <w:b/>
          <w:color w:val="1F4E79"/>
          <w:sz w:val="36"/>
        </w:rPr>
        <w:t>Experiment Protocol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Purpose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This document defines the experimental methodology, ensuring all experiments are reproducible, fair, and free from data leakage.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1. Data Splitting Strategy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Engine-Level Splits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 xml:space="preserve">All splits are performed at the </w:t>
      </w:r>
      <w:r>
        <w:rPr>
          <w:rFonts w:ascii="Times New Roman" w:hAnsi="Times New Roman"/>
          <w:b/>
          <w:color w:val="262626"/>
          <w:sz w:val="22"/>
        </w:rPr>
        <w:t>engine level</w:t>
      </w:r>
      <w:r>
        <w:rPr>
          <w:rFonts w:ascii="Times New Roman" w:hAnsi="Times New Roman"/>
          <w:color w:val="262626"/>
          <w:sz w:val="22"/>
        </w:rPr>
        <w:t>, not the observation level.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Training set (70% of engines):</w:t>
      </w:r>
      <w:r>
        <w:rPr>
          <w:rFonts w:ascii="Times New Roman" w:hAnsi="Times New Roman"/>
          <w:color w:val="262626"/>
          <w:sz w:val="22"/>
        </w:rPr>
        <w:t xml:space="preserve"> Used for model training and learning normal behavior patterns.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Validation set (15% of engines):</w:t>
      </w:r>
      <w:r>
        <w:rPr>
          <w:rFonts w:ascii="Times New Roman" w:hAnsi="Times New Roman"/>
          <w:color w:val="262626"/>
          <w:sz w:val="22"/>
        </w:rPr>
        <w:t xml:space="preserve"> Used for hyperparameter tuning, threshold selection, and early stopping.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Test set (15% of engines):</w:t>
      </w:r>
      <w:r>
        <w:rPr>
          <w:rFonts w:ascii="Times New Roman" w:hAnsi="Times New Roman"/>
          <w:color w:val="262626"/>
          <w:sz w:val="22"/>
        </w:rPr>
        <w:t xml:space="preserve"> Used ONLY for final evaluation. Never accessed during model development.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Split Procedure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List all unique engine IDs in the dataset.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Shuffle engine IDs using a fixed random seed.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Assign engines to train/val/test by the specified ratios.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Verify no engine appears in multiple splits.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Log the split assignment.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Rationale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Random observation-level splits would create temporal leakage — a model could see late-life (degraded) observations from an engine in training and early-life observations in testing, artificially inflating performance.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2. Normalization Protocol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Procedure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 xml:space="preserve">Compute normalization statistics (mean, std for StandardScaler; min, max for MinMaxScaler) </w:t>
      </w:r>
      <w:r>
        <w:rPr>
          <w:rFonts w:ascii="Times New Roman" w:hAnsi="Times New Roman"/>
          <w:b/>
          <w:color w:val="262626"/>
          <w:sz w:val="22"/>
        </w:rPr>
        <w:t>using training data only</w:t>
      </w:r>
      <w:r>
        <w:rPr>
          <w:rFonts w:ascii="Times New Roman" w:hAnsi="Times New Roman"/>
          <w:color w:val="262626"/>
          <w:sz w:val="22"/>
        </w:rPr>
        <w:t>.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Apply the same transformation to validation and test data.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Save the scaler object for reproducibility.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Prohibited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Computing statistics on the full dataset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Fitting scaler on validation or test data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Re-fitting scaler for each experiment without documentation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3. Normal Data Definition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For autoencoder-based models, we train on "normal" operating data.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Definition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 xml:space="preserve">The first </w:t>
      </w:r>
      <w:r>
        <w:rPr>
          <w:rFonts w:ascii="Consolas" w:hAnsi="Consolas"/>
          <w:color w:val="990000"/>
          <w:sz w:val="20"/>
        </w:rPr>
        <w:t>normal_ratio</w:t>
      </w:r>
      <w:r>
        <w:rPr>
          <w:rFonts w:ascii="Times New Roman" w:hAnsi="Times New Roman"/>
          <w:color w:val="262626"/>
          <w:sz w:val="22"/>
        </w:rPr>
        <w:t xml:space="preserve"> fraction (default: 70%) of each training engine's life is considered "normal."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Justification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C-MAPSS engines start healthy and degrade toward failure. Early cycles represent normal operation. The exact boundary is approximate — this is acknowledged as a limitation.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Alternative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If RUL labels are used to define normal periods, this must be documented and justified. Any use of labels must be restricted to the training set.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4. Sequence Generation (LSTM Models)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Sliding Window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Window size: configurable (default: 30 cycles)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Stride: configurable (default: 1)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No cross-engine sequences</w:t>
      </w:r>
      <w:r>
        <w:rPr>
          <w:rFonts w:ascii="Times New Roman" w:hAnsi="Times New Roman"/>
          <w:color w:val="262626"/>
          <w:sz w:val="22"/>
        </w:rPr>
        <w:t>: Windows never span engine boundaries.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No future information</w:t>
      </w:r>
      <w:r>
        <w:rPr>
          <w:rFonts w:ascii="Times New Roman" w:hAnsi="Times New Roman"/>
          <w:color w:val="262626"/>
          <w:sz w:val="22"/>
        </w:rPr>
        <w:t>: Each window contains only past/current timesteps.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5. Threshold Selection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Protocol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Train the model on training data.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 xml:space="preserve">Compute anomaly scores on </w:t>
      </w:r>
      <w:r>
        <w:rPr>
          <w:rFonts w:ascii="Times New Roman" w:hAnsi="Times New Roman"/>
          <w:b/>
          <w:color w:val="262626"/>
          <w:sz w:val="22"/>
        </w:rPr>
        <w:t>validation data</w:t>
      </w:r>
      <w:r>
        <w:rPr>
          <w:rFonts w:ascii="Times New Roman" w:hAnsi="Times New Roman"/>
          <w:color w:val="262626"/>
          <w:sz w:val="22"/>
        </w:rPr>
        <w:t>.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Select threshold using the validation anomaly score distribution.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 xml:space="preserve">Apply threshold to </w:t>
      </w:r>
      <w:r>
        <w:rPr>
          <w:rFonts w:ascii="Times New Roman" w:hAnsi="Times New Roman"/>
          <w:b/>
          <w:color w:val="262626"/>
          <w:sz w:val="22"/>
        </w:rPr>
        <w:t>test data</w:t>
      </w:r>
      <w:r>
        <w:rPr>
          <w:rFonts w:ascii="Times New Roman" w:hAnsi="Times New Roman"/>
          <w:color w:val="262626"/>
          <w:sz w:val="22"/>
        </w:rPr>
        <w:t xml:space="preserve"> for final evaluation.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Threshold Strategies Under Investigation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Percentile-based:</w:t>
      </w:r>
      <w:r>
        <w:rPr>
          <w:rFonts w:ascii="Times New Roman" w:hAnsi="Times New Roman"/>
          <w:color w:val="262626"/>
          <w:sz w:val="22"/>
        </w:rPr>
        <w:t xml:space="preserve"> Threshold = P-th percentile of validation anomaly scores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F1-optimized:</w:t>
      </w:r>
      <w:r>
        <w:rPr>
          <w:rFonts w:ascii="Times New Roman" w:hAnsi="Times New Roman"/>
          <w:color w:val="262626"/>
          <w:sz w:val="22"/>
        </w:rPr>
        <w:t xml:space="preserve"> Threshold that maximizes F1 on validation set (requires validation labels)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Statistical:</w:t>
      </w:r>
      <w:r>
        <w:rPr>
          <w:rFonts w:ascii="Times New Roman" w:hAnsi="Times New Roman"/>
          <w:color w:val="262626"/>
          <w:sz w:val="22"/>
        </w:rPr>
        <w:t xml:space="preserve"> Threshold = mean + k × std of training reconstruction errors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Prohibited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Selecting threshold by looking at test performance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Tuning threshold to maximize test metrics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Changing threshold after observing test results without documentation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6. Early Warning Framework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Definitions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Anomaly flag:</w:t>
      </w:r>
      <w:r>
        <w:rPr>
          <w:rFonts w:ascii="Times New Roman" w:hAnsi="Times New Roman"/>
          <w:color w:val="262626"/>
          <w:sz w:val="22"/>
        </w:rPr>
        <w:t xml:space="preserve"> A single cycle where the anomaly score exceeds the threshold.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Warning trigger:</w:t>
      </w:r>
      <w:r>
        <w:rPr>
          <w:rFonts w:ascii="Times New Roman" w:hAnsi="Times New Roman"/>
          <w:color w:val="262626"/>
          <w:sz w:val="22"/>
        </w:rPr>
        <w:t xml:space="preserve"> The anomaly score exceeds the threshold for </w:t>
      </w:r>
      <w:r>
        <w:rPr>
          <w:rFonts w:ascii="Consolas" w:hAnsi="Consolas"/>
          <w:color w:val="990000"/>
          <w:sz w:val="20"/>
        </w:rPr>
        <w:t>persistence_window</w:t>
      </w:r>
      <w:r>
        <w:rPr>
          <w:rFonts w:ascii="Times New Roman" w:hAnsi="Times New Roman"/>
          <w:color w:val="262626"/>
          <w:sz w:val="22"/>
        </w:rPr>
        <w:t xml:space="preserve"> (default: 5) consecutive cycles.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First detection time:</w:t>
      </w:r>
      <w:r>
        <w:rPr>
          <w:rFonts w:ascii="Times New Roman" w:hAnsi="Times New Roman"/>
          <w:color w:val="262626"/>
          <w:sz w:val="22"/>
        </w:rPr>
        <w:t xml:space="preserve"> The cycle at which the first warning is triggered.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Lead time:</w:t>
      </w:r>
      <w:r>
        <w:rPr>
          <w:rFonts w:ascii="Times New Roman" w:hAnsi="Times New Roman"/>
          <w:color w:val="262626"/>
          <w:sz w:val="22"/>
        </w:rPr>
        <w:t xml:space="preserve"> Total engine life − first detection time (cycles before failure).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False alarm:</w:t>
      </w:r>
      <w:r>
        <w:rPr>
          <w:rFonts w:ascii="Times New Roman" w:hAnsi="Times New Roman"/>
          <w:color w:val="262626"/>
          <w:sz w:val="22"/>
        </w:rPr>
        <w:t xml:space="preserve"> A warning triggered on an engine during its "normal" operating period.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Missed failure:</w:t>
      </w:r>
      <w:r>
        <w:rPr>
          <w:rFonts w:ascii="Times New Roman" w:hAnsi="Times New Roman"/>
          <w:color w:val="262626"/>
          <w:sz w:val="22"/>
        </w:rPr>
        <w:t xml:space="preserve"> An engine that fails without any prior warning.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Metrics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Detection rate:</w:t>
      </w:r>
      <w:r>
        <w:rPr>
          <w:rFonts w:ascii="Times New Roman" w:hAnsi="Times New Roman"/>
          <w:color w:val="262626"/>
          <w:sz w:val="22"/>
        </w:rPr>
        <w:t xml:space="preserve"> Fraction of failed engines where a warning was triggered before failure.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Mean lead time:</w:t>
      </w:r>
      <w:r>
        <w:rPr>
          <w:rFonts w:ascii="Times New Roman" w:hAnsi="Times New Roman"/>
          <w:color w:val="262626"/>
          <w:sz w:val="22"/>
        </w:rPr>
        <w:t xml:space="preserve"> Average lead time across detected engines.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False alarm rate:</w:t>
      </w:r>
      <w:r>
        <w:rPr>
          <w:rFonts w:ascii="Times New Roman" w:hAnsi="Times New Roman"/>
          <w:color w:val="262626"/>
          <w:sz w:val="22"/>
        </w:rPr>
        <w:t xml:space="preserve"> Fraction of warning-free normal periods incorrectly flagged.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Mean detection delay:</w:t>
      </w:r>
      <w:r>
        <w:rPr>
          <w:rFonts w:ascii="Times New Roman" w:hAnsi="Times New Roman"/>
          <w:color w:val="262626"/>
          <w:sz w:val="22"/>
        </w:rPr>
        <w:t xml:space="preserve"> Average cycles from first anomaly to warning trigger.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7. Evaluation Protocol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Binary Classification Metrics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For each cycle, determine ground truth: normal or anomalous.</w:t>
      </w:r>
    </w:p>
    <w:p>
      <w:pPr>
        <w:spacing w:before="40" w:after="100" w:line="276" w:lineRule="auto"/>
      </w:pPr>
      <w:r>
        <w:rPr>
          <w:rFonts w:ascii="Times New Roman" w:hAnsi="Times New Roman"/>
          <w:b/>
          <w:color w:val="262626"/>
          <w:sz w:val="22"/>
        </w:rPr>
        <w:t>Ground truth definition:</w:t>
      </w:r>
      <w:r>
        <w:rPr>
          <w:rFonts w:ascii="Times New Roman" w:hAnsi="Times New Roman"/>
          <w:color w:val="262626"/>
          <w:sz w:val="22"/>
        </w:rPr>
        <w:t xml:space="preserve"> A cycle is "anomalous" if the engine's remaining useful life (RUL) at that cycle is below a threshold (e.g., RUL &lt; 30 cycles). This threshold should be systematically investigated.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Metrics Computed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Precision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TP / (TP + FP)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False alarm cost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Recall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TP / (TP + FN)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Missed failure cost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F1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2 × P × R / (P + R)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Balanced performance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PR-AUC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Area under PR curve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Threshold-independent ranking</w:t>
            </w:r>
          </w:p>
        </w:tc>
      </w:tr>
      <w:tr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ROC-AUC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Area under ROC curve</w:t>
            </w:r>
          </w:p>
        </w:tc>
        <w:tc>
          <w:tcPr>
            <w:tcW w:type="dxa" w:w="312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Overall discrimination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FPR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FP / (FP + TN)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False alarm frequency</w:t>
            </w:r>
          </w:p>
        </w:tc>
      </w:tr>
    </w:tbl>
    <w:p>
      <w:pPr>
        <w:spacing w:before="80" w:after="120"/>
      </w:pP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Early Warning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Detection Rate</w:t>
            </w:r>
          </w:p>
        </w:tc>
        <w:tc>
          <w:tcPr>
            <w:tcW w:type="dxa" w:w="468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% of engines with warning before failure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Mean Lead Time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Average cycles of advance warning</w:t>
            </w:r>
          </w:p>
        </w:tc>
      </w:tr>
      <w:tr>
        <w:tc>
          <w:tcPr>
            <w:tcW w:type="dxa" w:w="468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Median Lead Time</w:t>
            </w:r>
          </w:p>
        </w:tc>
        <w:tc>
          <w:tcPr>
            <w:tcW w:type="dxa" w:w="468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Median cycles of advance warning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False Alarm Rate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% of normal-phase engines with false warnings</w:t>
            </w:r>
          </w:p>
        </w:tc>
      </w:tr>
      <w:tr>
        <w:tc>
          <w:tcPr>
            <w:tcW w:type="dxa" w:w="468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Missed Failure Rate</w:t>
            </w:r>
          </w:p>
        </w:tc>
        <w:tc>
          <w:tcPr>
            <w:tcW w:type="dxa" w:w="468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% of failed engines with no warning</w:t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8. Reproducibility Requirements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Every Experiment Must Record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 xml:space="preserve">Experiment ID (e.g., </w:t>
      </w:r>
      <w:r>
        <w:rPr>
          <w:rFonts w:ascii="Consolas" w:hAnsi="Consolas"/>
          <w:color w:val="990000"/>
          <w:sz w:val="20"/>
        </w:rPr>
        <w:t>AE_FD001_SEQ30_SEED42</w:t>
      </w:r>
      <w:r>
        <w:rPr>
          <w:rFonts w:ascii="Times New Roman" w:hAnsi="Times New Roman"/>
          <w:color w:val="262626"/>
          <w:sz w:val="22"/>
        </w:rPr>
        <w:t>)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Dataset and subset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Train/val/test engine IDs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Feature selection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Normalization method and parameters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Model architecture and hyperparameters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Training configuration (epochs, batch size, LR, etc.)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Random seed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Threshold strategy and value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All evaluation metrics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Training time and inference time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Software versions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Configuration Files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 xml:space="preserve">All experiments are driven by YAML configuration files in </w:t>
      </w:r>
      <w:r>
        <w:rPr>
          <w:rFonts w:ascii="Consolas" w:hAnsi="Consolas"/>
          <w:color w:val="990000"/>
          <w:sz w:val="20"/>
        </w:rPr>
        <w:t>configs/</w:t>
      </w:r>
      <w:r>
        <w:rPr>
          <w:rFonts w:ascii="Times New Roman" w:hAnsi="Times New Roman"/>
          <w:color w:val="262626"/>
          <w:sz w:val="22"/>
        </w:rPr>
        <w:t>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Results Storage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 xml:space="preserve">Results are stored as structured JSON in </w:t>
      </w:r>
      <w:r>
        <w:rPr>
          <w:rFonts w:ascii="Consolas" w:hAnsi="Consolas"/>
          <w:color w:val="990000"/>
          <w:sz w:val="20"/>
        </w:rPr>
        <w:t>results/</w:t>
      </w:r>
      <w:r>
        <w:rPr>
          <w:rFonts w:ascii="Times New Roman" w:hAnsi="Times New Roman"/>
          <w:color w:val="262626"/>
          <w:sz w:val="22"/>
        </w:rPr>
        <w:t xml:space="preserve"> with the experiment ID.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9. Statistical Rigor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Repeated Experiments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 xml:space="preserve">For final reported results, run each experiment with </w:t>
      </w:r>
      <w:r>
        <w:rPr>
          <w:rFonts w:ascii="Times New Roman" w:hAnsi="Times New Roman"/>
          <w:b/>
          <w:color w:val="262626"/>
          <w:sz w:val="22"/>
        </w:rPr>
        <w:t>5 different random seeds</w:t>
      </w:r>
      <w:r>
        <w:rPr>
          <w:rFonts w:ascii="Times New Roman" w:hAnsi="Times New Roman"/>
          <w:color w:val="262626"/>
          <w:sz w:val="22"/>
        </w:rPr>
        <w:t xml:space="preserve"> (42, 123, 456, 789, 1024).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Reporting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Report: mean ± standard deviation for all key metrics.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Statistical Tests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When comparing two models: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Use paired tests (e.g., Wilcoxon signed-rank test) across seeds/engines.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Report p-values.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Do not claim significance without appropriate testing.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10. Leakage Prevention Checklist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[ ] Engine-level splits verified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[ ] Normalization fitted on training data only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[ ] Threshold selected on validation data only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[ ] No test data accessed during model development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[ ] Sequences do not cross engine boundaries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[ ] Sequences do not use future information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[ ] Results reported only on held-out test engines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[ ] No hyperparameter decisions based on test performance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