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pPr>
      <w:r>
        <w:rPr>
          <w:rFonts w:ascii="Times New Roman" w:hAnsi="Times New Roman"/>
          <w:b/>
          <w:color w:val="1F4E79"/>
          <w:sz w:val="36"/>
        </w:rPr>
        <w:t>Evidence Evaluation for Proposed Research Gap</w:t>
      </w:r>
    </w:p>
    <w:p>
      <w:pPr>
        <w:spacing w:before="40" w:after="100" w:line="276" w:lineRule="auto"/>
      </w:pPr>
      <w:r>
        <w:rPr>
          <w:rFonts w:ascii="Times New Roman" w:hAnsi="Times New Roman"/>
          <w:b/>
          <w:color w:val="262626"/>
          <w:sz w:val="22"/>
        </w:rPr>
        <w:t>Proposed Gap:</w:t>
      </w:r>
    </w:p>
    <w:tbl>
      <w:tblPr>
        <w:tblW w:type="auto" w:w="0"/>
        <w:jc w:val="center"/>
        <w:tblLook w:firstColumn="1" w:firstRow="1" w:lastColumn="0" w:lastRow="0" w:noHBand="0" w:noVBand="1" w:val="04A0"/>
      </w:tblPr>
      <w:tblGrid>
        <w:gridCol w:w="9360"/>
      </w:tblGrid>
      <w:tr>
        <w:tc>
          <w:tcPr>
            <w:tcW w:type="dxa" w:w="9360"/>
            <w:shd w:fill="EBF3FA"/>
            <w:tcMar>
              <w:top w:w="80" w:type="dxa"/>
              <w:bottom w:w="80" w:type="dxa"/>
              <w:left w:w="140" w:type="dxa"/>
              <w:right w:w="140" w:type="dxa"/>
            </w:tcMar>
          </w:tcPr>
          <w:p>
            <w:pPr>
              <w:spacing w:before="40" w:after="40"/>
            </w:pPr>
            <w:r>
              <w:rPr>
                <w:rFonts w:ascii="Times New Roman" w:hAnsi="Times New Roman"/>
                <w:i/>
                <w:color w:val="1F4E79"/>
                <w:sz w:val="20"/>
              </w:rPr>
              <w:t>Existing studies frequently compare anomaly-detection methods using conventional classification-style metrics, while comparatively less attention is given to realistic early-warning behavior, operating-condition variation, false-alarm trade-offs, and machine-level generalization within an unsupervised predictive-maintenance setting.</w:t>
            </w:r>
          </w:p>
        </w:tc>
      </w:tr>
    </w:tbl>
    <w:p>
      <w:pPr>
        <w:spacing w:before="120" w:after="120"/>
      </w:pPr>
      <w:r>
        <w:rPr>
          <w:color w:val="BDC3C7"/>
          <w:sz w:val="16"/>
        </w:rPr>
        <w:t>―――――――――――――――――――――――――――――――――――――――――――――――――――――――</w:t>
      </w:r>
    </w:p>
    <w:p>
      <w:pPr>
        <w:keepNext/>
        <w:spacing w:before="200" w:after="60"/>
      </w:pPr>
      <w:r>
        <w:rPr>
          <w:rFonts w:ascii="Times New Roman" w:hAnsi="Times New Roman"/>
          <w:b/>
          <w:color w:val="1F4E79"/>
          <w:sz w:val="24"/>
        </w:rPr>
        <w:t>Q1: How many C-MAPSS studies use UNSUPERVISED anomaly detection vs SUPERVISED RUL prediction?</w:t>
      </w:r>
    </w:p>
    <w:p>
      <w:pPr>
        <w:spacing w:before="40" w:after="100" w:line="276" w:lineRule="auto"/>
      </w:pPr>
      <w:r>
        <w:rPr>
          <w:rFonts w:ascii="Times New Roman" w:hAnsi="Times New Roman"/>
          <w:b/>
          <w:color w:val="262626"/>
          <w:sz w:val="22"/>
        </w:rPr>
        <w:t>Findings:</w:t>
      </w:r>
      <w:r>
        <w:rPr>
          <w:rFonts w:ascii="Times New Roman" w:hAnsi="Times New Roman"/>
          <w:color w:val="262626"/>
          <w:sz w:val="22"/>
        </w:rPr>
        <w:t xml:space="preserve"> The vast majority of literature on the NASA C-MAPSS dataset uses it as a benchmark for </w:t>
      </w:r>
      <w:r>
        <w:rPr>
          <w:rFonts w:ascii="Times New Roman" w:hAnsi="Times New Roman"/>
          <w:b/>
          <w:color w:val="262626"/>
          <w:sz w:val="22"/>
        </w:rPr>
        <w:t>supervised Remaining Useful Life (RUL) prediction</w:t>
      </w:r>
      <w:r>
        <w:rPr>
          <w:rFonts w:ascii="Times New Roman" w:hAnsi="Times New Roman"/>
          <w:color w:val="262626"/>
          <w:sz w:val="22"/>
        </w:rPr>
        <w:t>. Deep learning models (like LSTMs, CNNs) trained on run-to-failure data dominate the landscape. Unsupervised anomaly detection is present but represents a much smaller portion of the literature, typically focusing on learning "normal" behavior (e.g., via Autoencoders or Isolation Forests) when failure labels are assumed to be scarce.</w:t>
      </w:r>
    </w:p>
    <w:p>
      <w:pPr>
        <w:spacing w:before="40" w:after="100" w:line="276" w:lineRule="auto"/>
      </w:pPr>
      <w:r>
        <w:rPr>
          <w:rFonts w:ascii="Times New Roman" w:hAnsi="Times New Roman"/>
          <w:b/>
          <w:color w:val="262626"/>
          <w:sz w:val="22"/>
        </w:rPr>
        <w:t>Gap Status:</w:t>
      </w:r>
      <w:r>
        <w:rPr>
          <w:rFonts w:ascii="Times New Roman" w:hAnsi="Times New Roman"/>
          <w:color w:val="262626"/>
          <w:sz w:val="22"/>
        </w:rPr>
        <w:t xml:space="preserve"> </w:t>
      </w:r>
      <w:r>
        <w:rPr>
          <w:rFonts w:ascii="Times New Roman" w:hAnsi="Times New Roman"/>
          <w:b/>
          <w:color w:val="262626"/>
          <w:sz w:val="22"/>
        </w:rPr>
        <w:t>Partially addressed</w:t>
      </w:r>
      <w:r>
        <w:rPr>
          <w:rFonts w:ascii="Times New Roman" w:hAnsi="Times New Roman"/>
          <w:color w:val="262626"/>
          <w:sz w:val="22"/>
        </w:rPr>
        <w:t>. The volume of supervised RUL work far outweighs unsupervised anomaly detection, making unsupervised AD on C-MAPSS a valid, albeit not entirely novel, niche.</w:t>
      </w:r>
    </w:p>
    <w:p>
      <w:pPr>
        <w:keepNext/>
        <w:spacing w:before="200" w:after="60"/>
      </w:pPr>
      <w:r>
        <w:rPr>
          <w:rFonts w:ascii="Times New Roman" w:hAnsi="Times New Roman"/>
          <w:b/>
          <w:color w:val="1F4E79"/>
          <w:sz w:val="24"/>
        </w:rPr>
        <w:t>Q2: Do existing unsupervised C-MAPSS studies report early-warning / detection lead time metrics?</w:t>
      </w:r>
    </w:p>
    <w:p>
      <w:pPr>
        <w:spacing w:before="40" w:after="100" w:line="276" w:lineRule="auto"/>
      </w:pPr>
      <w:r>
        <w:rPr>
          <w:rFonts w:ascii="Times New Roman" w:hAnsi="Times New Roman"/>
          <w:b/>
          <w:color w:val="262626"/>
          <w:sz w:val="22"/>
        </w:rPr>
        <w:t>Findings:</w:t>
      </w:r>
      <w:r>
        <w:rPr>
          <w:rFonts w:ascii="Times New Roman" w:hAnsi="Times New Roman"/>
          <w:color w:val="262626"/>
          <w:sz w:val="22"/>
        </w:rPr>
        <w:t xml:space="preserve"> </w:t>
      </w:r>
      <w:r>
        <w:rPr>
          <w:rFonts w:ascii="Times New Roman" w:hAnsi="Times New Roman"/>
          <w:b/>
          <w:color w:val="262626"/>
          <w:sz w:val="22"/>
        </w:rPr>
        <w:t>Yes.</w:t>
      </w:r>
      <w:r>
        <w:rPr>
          <w:rFonts w:ascii="Times New Roman" w:hAnsi="Times New Roman"/>
          <w:color w:val="262626"/>
          <w:sz w:val="22"/>
        </w:rPr>
        <w:t xml:space="preserve"> Recent advanced frameworks have shifted from predicting exact failure cycles to streaming, alarm-centric protocols. Several studies explicitly evaluate models based on </w:t>
      </w:r>
      <w:r>
        <w:rPr>
          <w:rFonts w:ascii="Times New Roman" w:hAnsi="Times New Roman"/>
          <w:b/>
          <w:color w:val="262626"/>
          <w:sz w:val="22"/>
        </w:rPr>
        <w:t>detection lead time</w:t>
      </w:r>
      <w:r>
        <w:rPr>
          <w:rFonts w:ascii="Times New Roman" w:hAnsi="Times New Roman"/>
          <w:color w:val="262626"/>
          <w:sz w:val="22"/>
        </w:rPr>
        <w:t xml:space="preserve"> (the time between the first alert and actual failure) and </w:t>
      </w:r>
      <w:r>
        <w:rPr>
          <w:rFonts w:ascii="Times New Roman" w:hAnsi="Times New Roman"/>
          <w:b/>
          <w:color w:val="262626"/>
          <w:sz w:val="22"/>
        </w:rPr>
        <w:t>alarm burden</w:t>
      </w:r>
      <w:r>
        <w:rPr>
          <w:rFonts w:ascii="Times New Roman" w:hAnsi="Times New Roman"/>
          <w:color w:val="262626"/>
          <w:sz w:val="22"/>
        </w:rPr>
        <w:t>. They aim to trigger early-warning alerts within specific windows (e.g., 48-120 hours before failure).</w:t>
      </w:r>
    </w:p>
    <w:p>
      <w:pPr>
        <w:spacing w:before="40" w:after="100" w:line="276" w:lineRule="auto"/>
      </w:pPr>
      <w:r>
        <w:rPr>
          <w:rFonts w:ascii="Times New Roman" w:hAnsi="Times New Roman"/>
          <w:b/>
          <w:color w:val="262626"/>
          <w:sz w:val="22"/>
        </w:rPr>
        <w:t>Gap Status:</w:t>
      </w:r>
      <w:r>
        <w:rPr>
          <w:rFonts w:ascii="Times New Roman" w:hAnsi="Times New Roman"/>
          <w:color w:val="262626"/>
          <w:sz w:val="22"/>
        </w:rPr>
        <w:t xml:space="preserve"> </w:t>
      </w:r>
      <w:r>
        <w:rPr>
          <w:rFonts w:ascii="Times New Roman" w:hAnsi="Times New Roman"/>
          <w:b/>
          <w:color w:val="262626"/>
          <w:sz w:val="22"/>
        </w:rPr>
        <w:t>Adequately addressed in recent literature</w:t>
      </w:r>
      <w:r>
        <w:rPr>
          <w:rFonts w:ascii="Times New Roman" w:hAnsi="Times New Roman"/>
          <w:color w:val="262626"/>
          <w:sz w:val="22"/>
        </w:rPr>
        <w:t>. While older or baseline studies might just use classification metrics (Precision/Recall), state-of-the-art anomaly detection papers on C-MAPSS explicitly focus on early warning and lead times.</w:t>
      </w:r>
    </w:p>
    <w:p>
      <w:pPr>
        <w:keepNext/>
        <w:spacing w:before="200" w:after="60"/>
      </w:pPr>
      <w:r>
        <w:rPr>
          <w:rFonts w:ascii="Times New Roman" w:hAnsi="Times New Roman"/>
          <w:b/>
          <w:color w:val="1F4E79"/>
          <w:sz w:val="24"/>
        </w:rPr>
        <w:t>Q3: Do existing studies systematically compare Isolation Forest vs Autoencoder vs LSTM-AE on C-MAPSS?</w:t>
      </w:r>
    </w:p>
    <w:p>
      <w:pPr>
        <w:spacing w:before="40" w:after="100" w:line="276" w:lineRule="auto"/>
      </w:pPr>
      <w:r>
        <w:rPr>
          <w:rFonts w:ascii="Times New Roman" w:hAnsi="Times New Roman"/>
          <w:b/>
          <w:color w:val="262626"/>
          <w:sz w:val="22"/>
        </w:rPr>
        <w:t>Findings:</w:t>
      </w:r>
      <w:r>
        <w:rPr>
          <w:rFonts w:ascii="Times New Roman" w:hAnsi="Times New Roman"/>
          <w:color w:val="262626"/>
          <w:sz w:val="22"/>
        </w:rPr>
        <w:t xml:space="preserve"> </w:t>
      </w:r>
      <w:r>
        <w:rPr>
          <w:rFonts w:ascii="Times New Roman" w:hAnsi="Times New Roman"/>
          <w:b/>
          <w:color w:val="262626"/>
          <w:sz w:val="22"/>
        </w:rPr>
        <w:t>Yes.</w:t>
      </w:r>
      <w:r>
        <w:rPr>
          <w:rFonts w:ascii="Times New Roman" w:hAnsi="Times New Roman"/>
          <w:color w:val="262626"/>
          <w:sz w:val="22"/>
        </w:rPr>
        <w:t xml:space="preserve"> Comparisons between classical machine learning (like Isolation Forest) and deep learning (like Autoencoders, LSTM-AEs) are common. Furthermore, the literature frequently proposes </w:t>
      </w:r>
      <w:r>
        <w:rPr>
          <w:rFonts w:ascii="Times New Roman" w:hAnsi="Times New Roman"/>
          <w:b/>
          <w:color w:val="262626"/>
          <w:sz w:val="22"/>
        </w:rPr>
        <w:t>hybrid architectures</w:t>
      </w:r>
      <w:r>
        <w:rPr>
          <w:rFonts w:ascii="Times New Roman" w:hAnsi="Times New Roman"/>
          <w:color w:val="262626"/>
          <w:sz w:val="22"/>
        </w:rPr>
        <w:t>, where an Autoencoder or LSTM-AE is used to learn latent representations or compress time-series data, and an Isolation Forest is applied to the resulting latent space or reconstruction errors to detect the anomalies.</w:t>
      </w:r>
    </w:p>
    <w:p>
      <w:pPr>
        <w:spacing w:before="40" w:after="100" w:line="276" w:lineRule="auto"/>
      </w:pPr>
      <w:r>
        <w:rPr>
          <w:rFonts w:ascii="Times New Roman" w:hAnsi="Times New Roman"/>
          <w:b/>
          <w:color w:val="262626"/>
          <w:sz w:val="22"/>
        </w:rPr>
        <w:t>Gap Status:</w:t>
      </w:r>
      <w:r>
        <w:rPr>
          <w:rFonts w:ascii="Times New Roman" w:hAnsi="Times New Roman"/>
          <w:color w:val="262626"/>
          <w:sz w:val="22"/>
        </w:rPr>
        <w:t xml:space="preserve"> </w:t>
      </w:r>
      <w:r>
        <w:rPr>
          <w:rFonts w:ascii="Times New Roman" w:hAnsi="Times New Roman"/>
          <w:b/>
          <w:color w:val="262626"/>
          <w:sz w:val="22"/>
        </w:rPr>
        <w:t>Adequately addressed.</w:t>
      </w:r>
      <w:r>
        <w:rPr>
          <w:rFonts w:ascii="Times New Roman" w:hAnsi="Times New Roman"/>
          <w:color w:val="262626"/>
          <w:sz w:val="22"/>
        </w:rPr>
        <w:t xml:space="preserve"> The comparison and integration of these specific methods are well-documented.</w:t>
      </w:r>
    </w:p>
    <w:p>
      <w:pPr>
        <w:keepNext/>
        <w:spacing w:before="200" w:after="60"/>
      </w:pPr>
      <w:r>
        <w:rPr>
          <w:rFonts w:ascii="Times New Roman" w:hAnsi="Times New Roman"/>
          <w:b/>
          <w:color w:val="1F4E79"/>
          <w:sz w:val="24"/>
        </w:rPr>
        <w:t>Q4: Do existing studies evaluate cross-condition generalization (e.g., train FD001, test FD002)?</w:t>
      </w:r>
    </w:p>
    <w:p>
      <w:pPr>
        <w:spacing w:before="40" w:after="100" w:line="276" w:lineRule="auto"/>
      </w:pPr>
      <w:r>
        <w:rPr>
          <w:rFonts w:ascii="Times New Roman" w:hAnsi="Times New Roman"/>
          <w:b/>
          <w:color w:val="262626"/>
          <w:sz w:val="22"/>
        </w:rPr>
        <w:t>Findings:</w:t>
      </w:r>
      <w:r>
        <w:rPr>
          <w:rFonts w:ascii="Times New Roman" w:hAnsi="Times New Roman"/>
          <w:color w:val="262626"/>
          <w:sz w:val="22"/>
        </w:rPr>
        <w:t xml:space="preserve"> </w:t>
      </w:r>
      <w:r>
        <w:rPr>
          <w:rFonts w:ascii="Times New Roman" w:hAnsi="Times New Roman"/>
          <w:b/>
          <w:color w:val="262626"/>
          <w:sz w:val="22"/>
        </w:rPr>
        <w:t>Yes, extensively.</w:t>
      </w:r>
      <w:r>
        <w:rPr>
          <w:rFonts w:ascii="Times New Roman" w:hAnsi="Times New Roman"/>
          <w:color w:val="262626"/>
          <w:sz w:val="22"/>
        </w:rPr>
        <w:t xml:space="preserve"> Because the C-MAPSS subsets (FD001 to FD004) represent varying complexities (single vs. multiple operating conditions and fault modes), evaluating cross-domain transfer and generalization is a major sub-field. Many studies explicitly train on FD001 and test on FD002 (or vice versa) using Domain Adaptation techniques (e.g., Domain Adversarial Neural Networks) or specialized preprocessing to ensure the model generalizes across different operating conditions.</w:t>
      </w:r>
    </w:p>
    <w:p>
      <w:pPr>
        <w:spacing w:before="40" w:after="100" w:line="276" w:lineRule="auto"/>
      </w:pPr>
      <w:r>
        <w:rPr>
          <w:rFonts w:ascii="Times New Roman" w:hAnsi="Times New Roman"/>
          <w:b/>
          <w:color w:val="262626"/>
          <w:sz w:val="22"/>
        </w:rPr>
        <w:t>Gap Status:</w:t>
      </w:r>
      <w:r>
        <w:rPr>
          <w:rFonts w:ascii="Times New Roman" w:hAnsi="Times New Roman"/>
          <w:color w:val="262626"/>
          <w:sz w:val="22"/>
        </w:rPr>
        <w:t xml:space="preserve"> </w:t>
      </w:r>
      <w:r>
        <w:rPr>
          <w:rFonts w:ascii="Times New Roman" w:hAnsi="Times New Roman"/>
          <w:b/>
          <w:color w:val="262626"/>
          <w:sz w:val="22"/>
        </w:rPr>
        <w:t>Adequately addressed.</w:t>
      </w:r>
      <w:r>
        <w:rPr>
          <w:rFonts w:ascii="Times New Roman" w:hAnsi="Times New Roman"/>
          <w:color w:val="262626"/>
          <w:sz w:val="22"/>
        </w:rPr>
        <w:t xml:space="preserve"> Domain generalization and transfer learning across the varying operating conditions of C-MAPSS are highly active research areas.</w:t>
      </w:r>
    </w:p>
    <w:p>
      <w:pPr>
        <w:keepNext/>
        <w:spacing w:before="200" w:after="60"/>
      </w:pPr>
      <w:r>
        <w:rPr>
          <w:rFonts w:ascii="Times New Roman" w:hAnsi="Times New Roman"/>
          <w:b/>
          <w:color w:val="1F4E79"/>
          <w:sz w:val="24"/>
        </w:rPr>
        <w:t>Q5: Do existing studies analyze false alarm rates and threshold sensitivity for unsupervised methods on C-MAPSS?</w:t>
      </w:r>
    </w:p>
    <w:p>
      <w:pPr>
        <w:spacing w:before="40" w:after="100" w:line="276" w:lineRule="auto"/>
      </w:pPr>
      <w:r>
        <w:rPr>
          <w:rFonts w:ascii="Times New Roman" w:hAnsi="Times New Roman"/>
          <w:b/>
          <w:color w:val="262626"/>
          <w:sz w:val="22"/>
        </w:rPr>
        <w:t>Findings:</w:t>
      </w:r>
      <w:r>
        <w:rPr>
          <w:rFonts w:ascii="Times New Roman" w:hAnsi="Times New Roman"/>
          <w:color w:val="262626"/>
          <w:sz w:val="22"/>
        </w:rPr>
        <w:t xml:space="preserve"> </w:t>
      </w:r>
      <w:r>
        <w:rPr>
          <w:rFonts w:ascii="Times New Roman" w:hAnsi="Times New Roman"/>
          <w:b/>
          <w:color w:val="262626"/>
          <w:sz w:val="22"/>
        </w:rPr>
        <w:t>Yes.</w:t>
      </w:r>
      <w:r>
        <w:rPr>
          <w:rFonts w:ascii="Times New Roman" w:hAnsi="Times New Roman"/>
          <w:color w:val="262626"/>
          <w:sz w:val="22"/>
        </w:rPr>
        <w:t xml:space="preserve"> The "threshold problem" is a recognized major challenge. Fixed thresholds are known to cause high false alarm rates (FAR) due to operational variability, leading to alert fatigue. Current research heavily focuses on </w:t>
      </w:r>
      <w:r>
        <w:rPr>
          <w:rFonts w:ascii="Times New Roman" w:hAnsi="Times New Roman"/>
          <w:b/>
          <w:color w:val="262626"/>
          <w:sz w:val="22"/>
        </w:rPr>
        <w:t>adaptive or data-driven thresholding</w:t>
      </w:r>
      <w:r>
        <w:rPr>
          <w:rFonts w:ascii="Times New Roman" w:hAnsi="Times New Roman"/>
          <w:color w:val="262626"/>
          <w:sz w:val="22"/>
        </w:rPr>
        <w:t xml:space="preserve"> (often analyzing reconstruction errors of LSTM-AEs) and evaluates the trade-off between sensitivity and FAR using ROC curves. Multi-level alert strategies and consecutive threshold learning are also proposed to mitigate false alarms.</w:t>
      </w:r>
    </w:p>
    <w:p>
      <w:pPr>
        <w:spacing w:before="40" w:after="100" w:line="276" w:lineRule="auto"/>
      </w:pPr>
      <w:r>
        <w:rPr>
          <w:rFonts w:ascii="Times New Roman" w:hAnsi="Times New Roman"/>
          <w:b/>
          <w:color w:val="262626"/>
          <w:sz w:val="22"/>
        </w:rPr>
        <w:t>Gap Status:</w:t>
      </w:r>
      <w:r>
        <w:rPr>
          <w:rFonts w:ascii="Times New Roman" w:hAnsi="Times New Roman"/>
          <w:color w:val="262626"/>
          <w:sz w:val="22"/>
        </w:rPr>
        <w:t xml:space="preserve"> </w:t>
      </w:r>
      <w:r>
        <w:rPr>
          <w:rFonts w:ascii="Times New Roman" w:hAnsi="Times New Roman"/>
          <w:b/>
          <w:color w:val="262626"/>
          <w:sz w:val="22"/>
        </w:rPr>
        <w:t>Adequately addressed.</w:t>
      </w:r>
      <w:r>
        <w:rPr>
          <w:rFonts w:ascii="Times New Roman" w:hAnsi="Times New Roman"/>
          <w:color w:val="262626"/>
          <w:sz w:val="22"/>
        </w:rPr>
        <w:t xml:space="preserve"> False alarm trade-offs and threshold sensitivity are central topics in unsupervised predictive maintenance literature for this dataset.</w:t>
      </w:r>
    </w:p>
    <w:p>
      <w:pPr>
        <w:keepNext/>
        <w:spacing w:before="200" w:after="60"/>
      </w:pPr>
      <w:r>
        <w:rPr>
          <w:rFonts w:ascii="Times New Roman" w:hAnsi="Times New Roman"/>
          <w:b/>
          <w:color w:val="1F4E79"/>
          <w:sz w:val="24"/>
        </w:rPr>
        <w:t>Q6: Do existing studies provide complexity vs. performance analysis?</w:t>
      </w:r>
    </w:p>
    <w:p>
      <w:pPr>
        <w:spacing w:before="40" w:after="100" w:line="276" w:lineRule="auto"/>
      </w:pPr>
      <w:r>
        <w:rPr>
          <w:rFonts w:ascii="Times New Roman" w:hAnsi="Times New Roman"/>
          <w:b/>
          <w:color w:val="262626"/>
          <w:sz w:val="22"/>
        </w:rPr>
        <w:t>Findings:</w:t>
      </w:r>
      <w:r>
        <w:rPr>
          <w:rFonts w:ascii="Times New Roman" w:hAnsi="Times New Roman"/>
          <w:color w:val="262626"/>
          <w:sz w:val="22"/>
        </w:rPr>
        <w:t xml:space="preserve"> </w:t>
      </w:r>
      <w:r>
        <w:rPr>
          <w:rFonts w:ascii="Times New Roman" w:hAnsi="Times New Roman"/>
          <w:b/>
          <w:color w:val="262626"/>
          <w:sz w:val="22"/>
        </w:rPr>
        <w:t>Yes.</w:t>
      </w:r>
      <w:r>
        <w:rPr>
          <w:rFonts w:ascii="Times New Roman" w:hAnsi="Times New Roman"/>
          <w:color w:val="262626"/>
          <w:sz w:val="22"/>
        </w:rPr>
        <w:t xml:space="preserve"> The literature frequently debates the trade-off between the computational cost and performance of Deep Learning vs. simpler models like Isolation Forest. Deep learning models (LSTMs, CNNs) are noted for their high computational overhead and "black box" nature, often considered overkill for edge deployment. Isolation Forest is explicitly praised and compared for its low computational cost, scalability, and better explainability in industrial settings.</w:t>
      </w:r>
    </w:p>
    <w:p>
      <w:pPr>
        <w:spacing w:before="40" w:after="100" w:line="276" w:lineRule="auto"/>
      </w:pPr>
      <w:r>
        <w:rPr>
          <w:rFonts w:ascii="Times New Roman" w:hAnsi="Times New Roman"/>
          <w:b/>
          <w:color w:val="262626"/>
          <w:sz w:val="22"/>
        </w:rPr>
        <w:t>Gap Status:</w:t>
      </w:r>
      <w:r>
        <w:rPr>
          <w:rFonts w:ascii="Times New Roman" w:hAnsi="Times New Roman"/>
          <w:color w:val="262626"/>
          <w:sz w:val="22"/>
        </w:rPr>
        <w:t xml:space="preserve"> </w:t>
      </w:r>
      <w:r>
        <w:rPr>
          <w:rFonts w:ascii="Times New Roman" w:hAnsi="Times New Roman"/>
          <w:b/>
          <w:color w:val="262626"/>
          <w:sz w:val="22"/>
        </w:rPr>
        <w:t>Adequately addressed.</w:t>
      </w:r>
      <w:r>
        <w:rPr>
          <w:rFonts w:ascii="Times New Roman" w:hAnsi="Times New Roman"/>
          <w:color w:val="262626"/>
          <w:sz w:val="22"/>
        </w:rPr>
        <w:t xml:space="preserve"> Computational cost vs. performance trade-offs are standard justifications when selecting or comparing models for predictive maintenance.</w:t>
      </w:r>
    </w:p>
    <w:p>
      <w:pPr>
        <w:spacing w:before="120" w:after="120"/>
      </w:pPr>
      <w:r>
        <w:rPr>
          <w:color w:val="BDC3C7"/>
          <w:sz w:val="16"/>
        </w:rPr>
        <w:t>―――――――――――――――――――――――――――――――――――――――――――――――――――――――</w:t>
      </w:r>
    </w:p>
    <w:p>
      <w:pPr>
        <w:keepNext/>
        <w:spacing w:before="200" w:after="60"/>
      </w:pPr>
      <w:r>
        <w:rPr>
          <w:rFonts w:ascii="Times New Roman" w:hAnsi="Times New Roman"/>
          <w:b/>
          <w:color w:val="1F4E79"/>
          <w:sz w:val="24"/>
        </w:rPr>
        <w:t>Conclusion</w:t>
      </w:r>
    </w:p>
    <w:p>
      <w:pPr>
        <w:spacing w:before="40" w:after="100" w:line="276" w:lineRule="auto"/>
      </w:pPr>
      <w:r>
        <w:rPr>
          <w:rFonts w:ascii="Times New Roman" w:hAnsi="Times New Roman"/>
          <w:color w:val="262626"/>
          <w:sz w:val="22"/>
        </w:rPr>
        <w:t xml:space="preserve">The proposed research gap is </w:t>
      </w:r>
      <w:r>
        <w:rPr>
          <w:rFonts w:ascii="Times New Roman" w:hAnsi="Times New Roman"/>
          <w:b/>
          <w:color w:val="262626"/>
          <w:sz w:val="22"/>
        </w:rPr>
        <w:t>mostly refuted by recent literature</w:t>
      </w:r>
      <w:r>
        <w:rPr>
          <w:rFonts w:ascii="Times New Roman" w:hAnsi="Times New Roman"/>
          <w:color w:val="262626"/>
          <w:sz w:val="22"/>
        </w:rPr>
        <w:t>. While the claim that supervised RUL dominates the C-MAPSS landscape is accurate, the specific aspects of the proposed gap�early-warning behavior, cross-condition generalization (FD001/FD002 transfer), false-alarm trade-offs, and complexity comparisons�are already active and well-documented areas of research within the unsupervised anomaly detection sub-field. To claim a novel gap, the research would need to pivot to a more specific, unsolved problem within these areas rather than stating these factors are given "comparatively less attention."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