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imes New Roman" w:hAnsi="Times New Roman"/>
          <w:b/>
          <w:color w:val="1F4E79"/>
          <w:sz w:val="36"/>
        </w:rPr>
        <w:t>Methodology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3F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i/>
                <w:color w:val="1F4E79"/>
                <w:sz w:val="20"/>
              </w:rPr>
              <w:t>Status:</w:t>
            </w:r>
            <w:r>
              <w:rPr>
                <w:rFonts w:ascii="Times New Roman" w:hAnsi="Times New Roman"/>
                <w:i/>
                <w:color w:val="1F4E79"/>
                <w:sz w:val="20"/>
              </w:rPr>
              <w:t xml:space="preserve"> Draft outline. To be refined as experiments are designed.</w:t>
            </w:r>
          </w:p>
        </w:tc>
      </w:tr>
    </w:tbl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Overview</w:t>
      </w:r>
    </w:p>
    <w:p>
      <w:pPr>
        <w:spacing w:before="40" w:after="100" w:line="276" w:lineRule="auto"/>
      </w:pPr>
      <w:r>
        <w:rPr>
          <w:rFonts w:ascii="Times New Roman" w:hAnsi="Times New Roman"/>
          <w:color w:val="262626"/>
          <w:sz w:val="22"/>
        </w:rPr>
        <w:t>This project implements a systematic comparison of unsupervised anomaly detection methods for predictive maintenance in Industrial IoT, evaluated under realistic conditions including operating-condition variation, cross-engine generalization, and early-warning capability.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1. Dataset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NASA C-MAPSS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Commercial Modular Aero-Propulsion System Simulation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Turbofan engine degradation data (run-to-failure)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21 sensor measurements + 3 operational settings per cycle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Multiple subsets with varying complexity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Subset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Op. Conditions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Fault Modes</w:t>
            </w:r>
          </w:p>
        </w:tc>
        <w:tc>
          <w:tcPr>
            <w:tcW w:type="dxa" w:w="2340"/>
            <w:shd w:fill="1F4E7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FFFFFF"/>
                <w:sz w:val="20"/>
              </w:rPr>
              <w:t>Complexity</w:t>
            </w:r>
          </w:p>
        </w:tc>
      </w:tr>
      <w:tr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FD001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1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1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Low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FD002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1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Medium</w:t>
            </w:r>
          </w:p>
        </w:tc>
      </w:tr>
      <w:tr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FD003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1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2</w:t>
            </w:r>
          </w:p>
        </w:tc>
        <w:tc>
          <w:tcPr>
            <w:tcW w:type="dxa" w:w="2340"/>
            <w:shd w:fill="F2F5F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Medium</w:t>
            </w:r>
          </w:p>
        </w:tc>
      </w:tr>
      <w:tr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FD004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6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2</w:t>
            </w:r>
          </w:p>
        </w:tc>
        <w:tc>
          <w:tcPr>
            <w:tcW w:type="dxa" w:w="23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40" w:after="40" w:line="252" w:lineRule="auto"/>
            </w:pPr>
            <w:r/>
            <w:r>
              <w:rPr>
                <w:rFonts w:ascii="Times New Roman" w:hAnsi="Times New Roman"/>
                <w:color w:val="262626"/>
                <w:sz w:val="19"/>
              </w:rPr>
              <w:t>High</w:t>
            </w:r>
          </w:p>
        </w:tc>
      </w:tr>
    </w:tbl>
    <w:p>
      <w:pPr>
        <w:spacing w:before="80" w:after="120"/>
      </w:pP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2. Data Pipeline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Load</w:t>
      </w:r>
      <w:r>
        <w:rPr>
          <w:rFonts w:ascii="Times New Roman" w:hAnsi="Times New Roman"/>
          <w:color w:val="262626"/>
          <w:sz w:val="22"/>
        </w:rPr>
        <w:t xml:space="preserve"> raw text files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Inspect</w:t>
      </w:r>
      <w:r>
        <w:rPr>
          <w:rFonts w:ascii="Times New Roman" w:hAnsi="Times New Roman"/>
          <w:color w:val="262626"/>
          <w:sz w:val="22"/>
        </w:rPr>
        <w:t xml:space="preserve"> feature statistics, constants, correlations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Remove</w:t>
      </w:r>
      <w:r>
        <w:rPr>
          <w:rFonts w:ascii="Times New Roman" w:hAnsi="Times New Roman"/>
          <w:color w:val="262626"/>
          <w:sz w:val="22"/>
        </w:rPr>
        <w:t xml:space="preserve"> constant/near-constant features (documented)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Split</w:t>
      </w:r>
      <w:r>
        <w:rPr>
          <w:rFonts w:ascii="Times New Roman" w:hAnsi="Times New Roman"/>
          <w:color w:val="262626"/>
          <w:sz w:val="22"/>
        </w:rPr>
        <w:t xml:space="preserve"> at engine level (train / validation / test)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Normalize</w:t>
      </w:r>
      <w:r>
        <w:rPr>
          <w:rFonts w:ascii="Times New Roman" w:hAnsi="Times New Roman"/>
          <w:color w:val="262626"/>
          <w:sz w:val="22"/>
        </w:rPr>
        <w:t xml:space="preserve"> using training statistics only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Define</w:t>
      </w:r>
      <w:r>
        <w:rPr>
          <w:rFonts w:ascii="Times New Roman" w:hAnsi="Times New Roman"/>
          <w:color w:val="262626"/>
          <w:sz w:val="22"/>
        </w:rPr>
        <w:t xml:space="preserve"> normal operating period (early engine life)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Generate</w:t>
      </w:r>
      <w:r>
        <w:rPr>
          <w:rFonts w:ascii="Times New Roman" w:hAnsi="Times New Roman"/>
          <w:color w:val="262626"/>
          <w:sz w:val="22"/>
        </w:rPr>
        <w:t xml:space="preserve"> sequences for temporal models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b/>
          <w:color w:val="262626"/>
          <w:sz w:val="22"/>
        </w:rPr>
        <w:t>Verify</w:t>
      </w:r>
      <w:r>
        <w:rPr>
          <w:rFonts w:ascii="Times New Roman" w:hAnsi="Times New Roman"/>
          <w:color w:val="262626"/>
          <w:sz w:val="22"/>
        </w:rPr>
        <w:t xml:space="preserve"> no leakage at each step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3. Models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3.1 Statistical Threshold Baseline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Per-sensor z-score or percentile-based anomaly scoring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No model training required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Reference point for all other methods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3.2 Isolation Forest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Ensemble of isolation trees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Anomaly score from path length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Trained on normal operating data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3.3 Fully Connected Autoencoder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Encoder → Bottleneck → Decoder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Trained to reconstruct normal sensor readings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Anomaly score = reconstruction error (MSE/MAE)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3.4 LSTM Autoencoder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LSTM Encoder → Latent → LSTM Decoder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Trained on sequences from normal operating periods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Anomaly score = sequence reconstruction error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Captures temporal degradation patterns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4. Anomaly Scoring and Thresholding</w:t>
      </w:r>
    </w:p>
    <w:p>
      <w:pPr>
        <w:spacing w:before="40" w:after="100" w:line="276" w:lineRule="auto"/>
      </w:pPr>
      <w:r>
        <w:rPr>
          <w:rFonts w:ascii="Times New Roman" w:hAnsi="Times New Roman"/>
          <w:i/>
          <w:color w:val="262626"/>
          <w:sz w:val="22"/>
        </w:rPr>
        <w:t>Detailed in `docs/experiment_protocol.md`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5. Early Warning Framework</w:t>
      </w:r>
    </w:p>
    <w:p>
      <w:pPr>
        <w:spacing w:before="40" w:after="100" w:line="276" w:lineRule="auto"/>
      </w:pPr>
      <w:r>
        <w:rPr>
          <w:rFonts w:ascii="Times New Roman" w:hAnsi="Times New Roman"/>
          <w:i/>
          <w:color w:val="262626"/>
          <w:sz w:val="22"/>
        </w:rPr>
        <w:t>Detailed in `docs/experiment_protocol.md`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6. Evaluation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Metrics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Precision, Recall, F1, PR-AUC, ROC-AUC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False Positive Rate, Detection Rate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Detection Lead Time, Mean Detection Delay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Missed Failure Rate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Training Time, Inference Time, Parameter Count</w:t>
      </w:r>
    </w:p>
    <w:p>
      <w:pPr>
        <w:keepNext/>
        <w:spacing w:before="200" w:after="60"/>
      </w:pPr>
      <w:r>
        <w:rPr>
          <w:rFonts w:ascii="Times New Roman" w:hAnsi="Times New Roman"/>
          <w:b/>
          <w:color w:val="1F4E79"/>
          <w:sz w:val="24"/>
        </w:rPr>
        <w:t>Statistical Rigor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5 random seeds per experiment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Mean ± standard deviation reporting</w:t>
      </w:r>
    </w:p>
    <w:p>
      <w:pPr>
        <w:pStyle w:val="ListBullet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Paired statistical tests for model comparisons</w:t>
      </w:r>
    </w:p>
    <w:p>
      <w:pPr>
        <w:spacing w:before="120" w:after="120"/>
      </w:pPr>
      <w:r>
        <w:rPr>
          <w:color w:val="BDC3C7"/>
          <w:sz w:val="16"/>
        </w:rPr>
        <w:t>―――――――――――――――――――――――――――――――――――――――――――――――――――――――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imes New Roman" w:hAnsi="Times New Roman"/>
          <w:b/>
          <w:color w:val="2E75B6"/>
          <w:sz w:val="28"/>
        </w:rPr>
        <w:t>7. Experimental Dimensions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Model comparison (RQ1, RQ2, RQ7)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Cross-condition evaluation (RQ3)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Early warning analysis (RQ4)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Threshold sensitivity (RQ5)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Cross-engine generalization (RQ6)</w:t>
      </w:r>
    </w:p>
    <w:p>
      <w:pPr>
        <w:pStyle w:val="ListNumber"/>
        <w:spacing w:before="30" w:after="30" w:line="276" w:lineRule="auto"/>
      </w:pPr>
      <w:r>
        <w:rPr>
          <w:rFonts w:ascii="Times New Roman" w:hAnsi="Times New Roman"/>
          <w:color w:val="262626"/>
          <w:sz w:val="22"/>
        </w:rPr>
        <w:t>Ablation studies (sequence length, latent dim, sensor subsets)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