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20"/>
      </w:pPr>
      <w:r>
        <w:rPr>
          <w:rFonts w:ascii="Times New Roman" w:hAnsi="Times New Roman"/>
          <w:b/>
          <w:color w:val="1F4E79"/>
          <w:sz w:val="36"/>
        </w:rPr>
        <w:t>Research Gap</w:t>
      </w:r>
    </w:p>
    <w:p>
      <w:pPr>
        <w:keepNext/>
        <w:spacing w:before="240" w:after="80"/>
      </w:pPr>
      <w:r>
        <w:rPr>
          <w:rFonts w:ascii="Times New Roman" w:hAnsi="Times New Roman"/>
          <w:b/>
          <w:color w:val="2E75B6"/>
          <w:sz w:val="28"/>
        </w:rPr>
        <w:t>Status: ✅ Defined (Evidence-Based)</w:t>
      </w:r>
    </w:p>
    <w:p>
      <w:pPr>
        <w:spacing w:before="120" w:after="120"/>
      </w:pPr>
      <w:r>
        <w:rPr>
          <w:color w:val="BDC3C7"/>
          <w:sz w:val="16"/>
        </w:rPr>
        <w:t>―――――――――――――――――――――――――――――――――――――――――――――――――――――――</w:t>
      </w:r>
    </w:p>
    <w:p>
      <w:pPr>
        <w:keepNext/>
        <w:spacing w:before="240" w:after="80"/>
      </w:pPr>
      <w:r>
        <w:rPr>
          <w:rFonts w:ascii="Times New Roman" w:hAnsi="Times New Roman"/>
          <w:b/>
          <w:color w:val="2E75B6"/>
          <w:sz w:val="28"/>
        </w:rPr>
        <w:t>1. Literature Landscape Summary</w:t>
      </w:r>
    </w:p>
    <w:p>
      <w:pPr>
        <w:spacing w:before="40" w:after="100" w:line="276" w:lineRule="auto"/>
      </w:pPr>
      <w:r>
        <w:rPr>
          <w:rFonts w:ascii="Times New Roman" w:hAnsi="Times New Roman"/>
          <w:color w:val="262626"/>
          <w:sz w:val="22"/>
        </w:rPr>
        <w:t>Based on our review of 17+ papers and targeted evidence searches, the C-MAPSS research landscape can be characterized as follows:</w:t>
      </w:r>
    </w:p>
    <w:p>
      <w:pPr>
        <w:keepNext/>
        <w:spacing w:before="200" w:after="60"/>
      </w:pPr>
      <w:r>
        <w:rPr>
          <w:rFonts w:ascii="Times New Roman" w:hAnsi="Times New Roman"/>
          <w:b/>
          <w:color w:val="1F4E79"/>
          <w:sz w:val="24"/>
        </w:rPr>
        <w:t>What the literature does well</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Area</w:t>
            </w:r>
          </w:p>
        </w:tc>
        <w:tc>
          <w:tcPr>
            <w:tcW w:type="dxa" w:w="3120"/>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Coverage</w:t>
            </w:r>
          </w:p>
        </w:tc>
        <w:tc>
          <w:tcPr>
            <w:tcW w:type="dxa" w:w="3120"/>
            <w:shd w:fill="1F4E79"/>
            <w:tcMar>
              <w:top w:w="120" w:type="dxa"/>
              <w:bottom w:w="120" w:type="dxa"/>
              <w:left w:w="140" w:type="dxa"/>
              <w:right w:w="140" w:type="dxa"/>
            </w:tcMar>
          </w:tcPr>
          <w:p>
            <w:pPr>
              <w:spacing w:before="40" w:after="40" w:line="252" w:lineRule="auto"/>
            </w:pPr>
            <w:r>
              <w:rPr>
                <w:b/>
              </w:rPr>
            </w:r>
            <w:r>
              <w:rPr>
                <w:rFonts w:ascii="Times New Roman" w:hAnsi="Times New Roman"/>
                <w:b/>
                <w:color w:val="FFFFFF"/>
                <w:sz w:val="20"/>
              </w:rPr>
              <w:t>Key Observation</w:t>
            </w:r>
          </w:p>
        </w:tc>
      </w:tr>
      <w:tr>
        <w:tc>
          <w:tcPr>
            <w:tcW w:type="dxa" w:w="3120"/>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Supervised RUL prediction</w:t>
            </w:r>
          </w:p>
        </w:tc>
        <w:tc>
          <w:tcPr>
            <w:tcW w:type="dxa" w:w="312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Extensive</w:t>
            </w:r>
          </w:p>
        </w:tc>
        <w:tc>
          <w:tcPr>
            <w:tcW w:type="dxa" w:w="312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The dominant paradigm — hundreds of papers using CNNs, LSTMs, Transformers</w:t>
            </w:r>
          </w:p>
        </w:tc>
      </w:tr>
      <w:tr>
        <w:tc>
          <w:tcPr>
            <w:tcW w:type="dxa" w:w="3120"/>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Unsupervised anomaly detection</w:t>
            </w:r>
          </w:p>
        </w:tc>
        <w:tc>
          <w:tcPr>
            <w:tcW w:type="dxa" w:w="312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Growing</w:t>
            </w:r>
          </w:p>
        </w:tc>
        <w:tc>
          <w:tcPr>
            <w:tcW w:type="dxa" w:w="312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Smaller but active sub-field using AEs, LSTM-AEs, Isolation Forests</w:t>
            </w:r>
          </w:p>
        </w:tc>
      </w:tr>
      <w:tr>
        <w:tc>
          <w:tcPr>
            <w:tcW w:type="dxa" w:w="3120"/>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Hybrid models</w:t>
            </w:r>
          </w:p>
        </w:tc>
        <w:tc>
          <w:tcPr>
            <w:tcW w:type="dxa" w:w="312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Active</w:t>
            </w:r>
          </w:p>
        </w:tc>
        <w:tc>
          <w:tcPr>
            <w:tcW w:type="dxa" w:w="312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AE+IF combinations in latent space are well-explored</w:t>
            </w:r>
          </w:p>
        </w:tc>
      </w:tr>
      <w:tr>
        <w:tc>
          <w:tcPr>
            <w:tcW w:type="dxa" w:w="3120"/>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Cross-condition transfer</w:t>
            </w:r>
          </w:p>
        </w:tc>
        <w:tc>
          <w:tcPr>
            <w:tcW w:type="dxa" w:w="312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Active</w:t>
            </w:r>
          </w:p>
        </w:tc>
        <w:tc>
          <w:tcPr>
            <w:tcW w:type="dxa" w:w="312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Domain adaptation (FD001→FD002) studied via adversarial methods</w:t>
            </w:r>
          </w:p>
        </w:tc>
      </w:tr>
      <w:tr>
        <w:tc>
          <w:tcPr>
            <w:tcW w:type="dxa" w:w="3120"/>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Adaptive thresholding</w:t>
            </w:r>
          </w:p>
        </w:tc>
        <w:tc>
          <w:tcPr>
            <w:tcW w:type="dxa" w:w="312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Active</w:t>
            </w:r>
          </w:p>
        </w:tc>
        <w:tc>
          <w:tcPr>
            <w:tcW w:type="dxa" w:w="312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Data-driven, adaptive, and multi-level thresholds proposed</w:t>
            </w:r>
          </w:p>
        </w:tc>
      </w:tr>
      <w:tr>
        <w:tc>
          <w:tcPr>
            <w:tcW w:type="dxa" w:w="3120"/>
            <w:shd w:fill="FFFFFF"/>
            <w:tcMar>
              <w:top w:w="100" w:type="dxa"/>
              <w:bottom w:w="100" w:type="dxa"/>
              <w:left w:w="140" w:type="dxa"/>
              <w:right w:w="140" w:type="dxa"/>
            </w:tcMar>
          </w:tcPr>
          <w:p>
            <w:pPr>
              <w:spacing w:before="40" w:after="40" w:line="252" w:lineRule="auto"/>
            </w:pPr>
            <w:r/>
            <w:r>
              <w:rPr>
                <w:rFonts w:ascii="Times New Roman" w:hAnsi="Times New Roman"/>
                <w:b/>
                <w:color w:val="262626"/>
                <w:sz w:val="19"/>
              </w:rPr>
              <w:t>Early warning metrics</w:t>
            </w:r>
          </w:p>
        </w:tc>
        <w:tc>
          <w:tcPr>
            <w:tcW w:type="dxa" w:w="312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Emerging</w:t>
            </w:r>
          </w:p>
        </w:tc>
        <w:tc>
          <w:tcPr>
            <w:tcW w:type="dxa" w:w="3120"/>
            <w:shd w:fill="FFFFFF"/>
            <w:tcMar>
              <w:top w:w="100" w:type="dxa"/>
              <w:bottom w:w="100" w:type="dxa"/>
              <w:left w:w="140" w:type="dxa"/>
              <w:right w:w="140" w:type="dxa"/>
            </w:tcMar>
          </w:tcPr>
          <w:p>
            <w:pPr>
              <w:spacing w:before="40" w:after="40" w:line="252" w:lineRule="auto"/>
            </w:pPr>
            <w:r/>
            <w:r>
              <w:rPr>
                <w:rFonts w:ascii="Times New Roman" w:hAnsi="Times New Roman"/>
                <w:color w:val="262626"/>
                <w:sz w:val="19"/>
              </w:rPr>
              <w:t>Recent papers include detection lead time and alarm burden</w:t>
            </w:r>
          </w:p>
        </w:tc>
      </w:tr>
      <w:tr>
        <w:tc>
          <w:tcPr>
            <w:tcW w:type="dxa" w:w="3120"/>
            <w:shd w:fill="F2F5F8"/>
            <w:tcMar>
              <w:top w:w="100" w:type="dxa"/>
              <w:bottom w:w="100" w:type="dxa"/>
              <w:left w:w="140" w:type="dxa"/>
              <w:right w:w="140" w:type="dxa"/>
            </w:tcMar>
          </w:tcPr>
          <w:p>
            <w:pPr>
              <w:spacing w:before="40" w:after="40" w:line="252" w:lineRule="auto"/>
            </w:pPr>
            <w:r/>
            <w:r>
              <w:rPr>
                <w:rFonts w:ascii="Times New Roman" w:hAnsi="Times New Roman"/>
                <w:b/>
                <w:color w:val="262626"/>
                <w:sz w:val="19"/>
              </w:rPr>
              <w:t>Complexity vs. performance</w:t>
            </w:r>
          </w:p>
        </w:tc>
        <w:tc>
          <w:tcPr>
            <w:tcW w:type="dxa" w:w="312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Discussed</w:t>
            </w:r>
          </w:p>
        </w:tc>
        <w:tc>
          <w:tcPr>
            <w:tcW w:type="dxa" w:w="3120"/>
            <w:shd w:fill="F2F5F8"/>
            <w:tcMar>
              <w:top w:w="100" w:type="dxa"/>
              <w:bottom w:w="100" w:type="dxa"/>
              <w:left w:w="140" w:type="dxa"/>
              <w:right w:w="140" w:type="dxa"/>
            </w:tcMar>
          </w:tcPr>
          <w:p>
            <w:pPr>
              <w:spacing w:before="40" w:after="40" w:line="252" w:lineRule="auto"/>
            </w:pPr>
            <w:r/>
            <w:r>
              <w:rPr>
                <w:rFonts w:ascii="Times New Roman" w:hAnsi="Times New Roman"/>
                <w:color w:val="262626"/>
                <w:sz w:val="19"/>
              </w:rPr>
              <w:t>Qualitative comparisons between IF efficiency and DL accuracy</w:t>
            </w:r>
          </w:p>
        </w:tc>
      </w:tr>
    </w:tbl>
    <w:p>
      <w:pPr>
        <w:spacing w:before="80" w:after="120"/>
      </w:pPr>
    </w:p>
    <w:p>
      <w:pPr>
        <w:keepNext/>
        <w:spacing w:before="200" w:after="60"/>
      </w:pPr>
      <w:r>
        <w:rPr>
          <w:rFonts w:ascii="Times New Roman" w:hAnsi="Times New Roman"/>
          <w:b/>
          <w:color w:val="1F4E79"/>
          <w:sz w:val="24"/>
        </w:rPr>
        <w:t>Honest assessment of our preliminary gap</w:t>
      </w:r>
    </w:p>
    <w:p>
      <w:pPr>
        <w:spacing w:before="40" w:after="100" w:line="276" w:lineRule="auto"/>
      </w:pPr>
      <w:r>
        <w:rPr>
          <w:rFonts w:ascii="Times New Roman" w:hAnsi="Times New Roman"/>
          <w:color w:val="262626"/>
          <w:sz w:val="22"/>
        </w:rPr>
        <w:t xml:space="preserve">Our initial hypothesis — that early-warning behavior, cross-condition evaluation, false-alarm analysis, and baseline comparisons receive "comparatively less attention" — was </w:t>
      </w:r>
      <w:r>
        <w:rPr>
          <w:rFonts w:ascii="Times New Roman" w:hAnsi="Times New Roman"/>
          <w:b/>
          <w:color w:val="262626"/>
          <w:sz w:val="22"/>
        </w:rPr>
        <w:t>too broad</w:t>
      </w:r>
      <w:r>
        <w:rPr>
          <w:rFonts w:ascii="Times New Roman" w:hAnsi="Times New Roman"/>
          <w:color w:val="262626"/>
          <w:sz w:val="22"/>
        </w:rPr>
        <w:t>. Each of these individual aspects has been addressed to some degree in recent literature.</w:t>
      </w:r>
    </w:p>
    <w:p>
      <w:pPr>
        <w:spacing w:before="40" w:after="100" w:line="276" w:lineRule="auto"/>
      </w:pPr>
      <w:r>
        <w:rPr>
          <w:rFonts w:ascii="Times New Roman" w:hAnsi="Times New Roman"/>
          <w:b/>
          <w:color w:val="262626"/>
          <w:sz w:val="22"/>
        </w:rPr>
        <w:t>We do not claim these topics are unstudied.</w:t>
      </w:r>
    </w:p>
    <w:p>
      <w:pPr>
        <w:spacing w:before="120" w:after="120"/>
      </w:pPr>
      <w:r>
        <w:rPr>
          <w:color w:val="BDC3C7"/>
          <w:sz w:val="16"/>
        </w:rPr>
        <w:t>―――――――――――――――――――――――――――――――――――――――――――――――――――――――</w:t>
      </w:r>
    </w:p>
    <w:p>
      <w:pPr>
        <w:keepNext/>
        <w:spacing w:before="240" w:after="80"/>
      </w:pPr>
      <w:r>
        <w:rPr>
          <w:rFonts w:ascii="Times New Roman" w:hAnsi="Times New Roman"/>
          <w:b/>
          <w:color w:val="2E75B6"/>
          <w:sz w:val="28"/>
        </w:rPr>
        <w:t>2. The Refined Research Gap</w:t>
      </w:r>
    </w:p>
    <w:p>
      <w:pPr>
        <w:spacing w:before="40" w:after="100" w:line="276" w:lineRule="auto"/>
      </w:pPr>
      <w:r>
        <w:rPr>
          <w:rFonts w:ascii="Times New Roman" w:hAnsi="Times New Roman"/>
          <w:color w:val="262626"/>
          <w:sz w:val="22"/>
        </w:rPr>
        <w:t>After evidence-based analysis, we identify a more specific and defensible gap:</w:t>
      </w:r>
    </w:p>
    <w:tbl>
      <w:tblPr>
        <w:tblW w:type="auto" w:w="0"/>
        <w:jc w:val="center"/>
        <w:tblLook w:firstColumn="1" w:firstRow="1" w:lastColumn="0" w:lastRow="0" w:noHBand="0" w:noVBand="1" w:val="04A0"/>
      </w:tblPr>
      <w:tblGrid>
        <w:gridCol w:w="9360"/>
      </w:tblGrid>
      <w:tr>
        <w:tc>
          <w:tcPr>
            <w:tcW w:type="dxa" w:w="9360"/>
            <w:shd w:fill="EBF3FA"/>
            <w:tcMar>
              <w:top w:w="80" w:type="dxa"/>
              <w:bottom w:w="80" w:type="dxa"/>
              <w:left w:w="140" w:type="dxa"/>
              <w:right w:w="140" w:type="dxa"/>
            </w:tcMar>
          </w:tcPr>
          <w:p>
            <w:pPr>
              <w:spacing w:before="40" w:after="40"/>
            </w:pPr>
            <w:r>
              <w:rPr>
                <w:rFonts w:ascii="Times New Roman" w:hAnsi="Times New Roman"/>
                <w:b/>
                <w:i/>
                <w:color w:val="1F4E79"/>
                <w:sz w:val="20"/>
              </w:rPr>
              <w:t>While individual aspects of unsupervised anomaly detection for predictive maintenance (method comparison, early-warning detection, cross-condition robustness, threshold sensitivity, and computational trade-offs) have each been studied in isolation, there is a lack of unified, methodologically rigorous studies that evaluate all of these dimensions together under a single, reproducible experimental framework with strict leakage prevention on the C-MAPSS benchmark.</w:t>
            </w:r>
          </w:p>
        </w:tc>
      </w:tr>
    </w:tbl>
    <w:p>
      <w:pPr>
        <w:keepNext/>
        <w:spacing w:before="200" w:after="60"/>
      </w:pPr>
      <w:r>
        <w:rPr>
          <w:rFonts w:ascii="Times New Roman" w:hAnsi="Times New Roman"/>
          <w:b/>
          <w:color w:val="1F4E79"/>
          <w:sz w:val="24"/>
        </w:rPr>
        <w:t>Specifically, existing work tends to:</w:t>
      </w:r>
    </w:p>
    <w:p>
      <w:pPr>
        <w:pStyle w:val="ListNumber"/>
        <w:spacing w:before="30" w:after="30" w:line="276" w:lineRule="auto"/>
      </w:pPr>
      <w:r>
        <w:rPr>
          <w:rFonts w:ascii="Times New Roman" w:hAnsi="Times New Roman"/>
          <w:b/>
          <w:color w:val="262626"/>
          <w:sz w:val="22"/>
        </w:rPr>
        <w:t>Propose novel architectures without strong baselines.</w:t>
      </w:r>
      <w:r>
        <w:rPr>
          <w:rFonts w:ascii="Times New Roman" w:hAnsi="Times New Roman"/>
          <w:color w:val="262626"/>
          <w:sz w:val="22"/>
        </w:rPr>
        <w:t xml:space="preserve"> Many papers introduce a new deep learning method and compare it only against other deep methods — or against a weak baseline. Few studies systematically include a well-tuned statistical baseline, Isolation Forest, FC-Autoencoder, AND LSTM-Autoencoder side-by-side under identical conditions.</w:t>
      </w:r>
    </w:p>
    <w:p>
      <w:pPr>
        <w:pStyle w:val="ListNumber"/>
        <w:spacing w:before="30" w:after="30" w:line="276" w:lineRule="auto"/>
      </w:pPr>
      <w:r>
        <w:rPr>
          <w:rFonts w:ascii="Times New Roman" w:hAnsi="Times New Roman"/>
          <w:b/>
          <w:color w:val="262626"/>
          <w:sz w:val="22"/>
        </w:rPr>
        <w:t>Report aggregate metrics without engine-level analysis.</w:t>
      </w:r>
      <w:r>
        <w:rPr>
          <w:rFonts w:ascii="Times New Roman" w:hAnsi="Times New Roman"/>
          <w:color w:val="262626"/>
          <w:sz w:val="22"/>
        </w:rPr>
        <w:t xml:space="preserve"> Most papers report dataset-wide F1 or AUC, but do not analyze per-engine detection behavior: Which engines were detected early? Which were missed? How does detection vary across individual machines?</w:t>
      </w:r>
    </w:p>
    <w:p>
      <w:pPr>
        <w:pStyle w:val="ListNumber"/>
        <w:spacing w:before="30" w:after="30" w:line="276" w:lineRule="auto"/>
      </w:pPr>
      <w:r>
        <w:rPr>
          <w:rFonts w:ascii="Times New Roman" w:hAnsi="Times New Roman"/>
          <w:b/>
          <w:color w:val="262626"/>
          <w:sz w:val="22"/>
        </w:rPr>
        <w:t>Lack transparency in the experimental protocol.</w:t>
      </w:r>
      <w:r>
        <w:rPr>
          <w:rFonts w:ascii="Times New Roman" w:hAnsi="Times New Roman"/>
          <w:color w:val="262626"/>
          <w:sz w:val="22"/>
        </w:rPr>
        <w:t xml:space="preserve"> Critical details are often missing or unclear:</w:t>
      </w:r>
    </w:p>
    <w:p>
      <w:pPr>
        <w:pStyle w:val="ListBullet"/>
        <w:spacing w:before="30" w:after="30" w:line="276" w:lineRule="auto"/>
      </w:pPr>
      <w:r>
        <w:rPr>
          <w:rFonts w:ascii="Times New Roman" w:hAnsi="Times New Roman"/>
          <w:color w:val="262626"/>
          <w:sz w:val="22"/>
        </w:rPr>
        <w:t>How were train/validation/test splits constructed? (engine-level? random observation-level?)</w:t>
      </w:r>
    </w:p>
    <w:p>
      <w:pPr>
        <w:pStyle w:val="ListBullet"/>
        <w:spacing w:before="30" w:after="30" w:line="276" w:lineRule="auto"/>
      </w:pPr>
      <w:r>
        <w:rPr>
          <w:rFonts w:ascii="Times New Roman" w:hAnsi="Times New Roman"/>
          <w:color w:val="262626"/>
          <w:sz w:val="22"/>
        </w:rPr>
        <w:t>How was normalization applied? (train-only? full dataset?)</w:t>
      </w:r>
    </w:p>
    <w:p>
      <w:pPr>
        <w:pStyle w:val="ListBullet"/>
        <w:spacing w:before="30" w:after="30" w:line="276" w:lineRule="auto"/>
      </w:pPr>
      <w:r>
        <w:rPr>
          <w:rFonts w:ascii="Times New Roman" w:hAnsi="Times New Roman"/>
          <w:color w:val="262626"/>
          <w:sz w:val="22"/>
        </w:rPr>
        <w:t>How was the anomaly threshold selected? (validation set? test set? post-hoc?)</w:t>
      </w:r>
    </w:p>
    <w:p>
      <w:pPr>
        <w:pStyle w:val="ListBullet"/>
        <w:spacing w:before="30" w:after="30" w:line="276" w:lineRule="auto"/>
      </w:pPr>
      <w:r>
        <w:rPr>
          <w:rFonts w:ascii="Times New Roman" w:hAnsi="Times New Roman"/>
          <w:color w:val="262626"/>
          <w:sz w:val="22"/>
        </w:rPr>
        <w:t>Were the same threshold selection rules applied to all compared methods?</w:t>
      </w:r>
    </w:p>
    <w:p>
      <w:pPr>
        <w:pStyle w:val="ListNumber"/>
        <w:spacing w:before="30" w:after="30" w:line="276" w:lineRule="auto"/>
      </w:pPr>
      <w:r>
        <w:rPr>
          <w:rFonts w:ascii="Times New Roman" w:hAnsi="Times New Roman"/>
          <w:b/>
          <w:color w:val="262626"/>
          <w:sz w:val="22"/>
        </w:rPr>
        <w:t>Evaluate on single subsets without cross-subset analysis.</w:t>
      </w:r>
      <w:r>
        <w:rPr>
          <w:rFonts w:ascii="Times New Roman" w:hAnsi="Times New Roman"/>
          <w:color w:val="262626"/>
          <w:sz w:val="22"/>
        </w:rPr>
        <w:t xml:space="preserve"> Many studies use FD001 alone. Those that include FD002/FD004 often train and test within each subset, rather than examining how a model trained under simple conditions (FD001) degrades under complex conditions (FD002).</w:t>
      </w:r>
    </w:p>
    <w:p>
      <w:pPr>
        <w:pStyle w:val="ListNumber"/>
        <w:spacing w:before="30" w:after="30" w:line="276" w:lineRule="auto"/>
      </w:pPr>
      <w:r>
        <w:rPr>
          <w:rFonts w:ascii="Times New Roman" w:hAnsi="Times New Roman"/>
          <w:b/>
          <w:color w:val="262626"/>
          <w:sz w:val="22"/>
        </w:rPr>
        <w:t>Omit statistical rigor.</w:t>
      </w:r>
      <w:r>
        <w:rPr>
          <w:rFonts w:ascii="Times New Roman" w:hAnsi="Times New Roman"/>
          <w:color w:val="262626"/>
          <w:sz w:val="22"/>
        </w:rPr>
        <w:t xml:space="preserve"> Results are typically from a single training run. Confidence intervals, repeated experiments with different seeds, and statistical significance tests are rare.</w:t>
      </w:r>
    </w:p>
    <w:p>
      <w:pPr>
        <w:pStyle w:val="ListNumber"/>
        <w:spacing w:before="30" w:after="30" w:line="276" w:lineRule="auto"/>
      </w:pPr>
      <w:r>
        <w:rPr>
          <w:rFonts w:ascii="Times New Roman" w:hAnsi="Times New Roman"/>
          <w:b/>
          <w:color w:val="262626"/>
          <w:sz w:val="22"/>
        </w:rPr>
        <w:t>Conflate model novelty with research contribution.</w:t>
      </w:r>
      <w:r>
        <w:rPr>
          <w:rFonts w:ascii="Times New Roman" w:hAnsi="Times New Roman"/>
          <w:color w:val="262626"/>
          <w:sz w:val="22"/>
        </w:rPr>
        <w:t xml:space="preserve"> The contribution is often framed as "our new model outperforms X," when the more scientifically valuable question is "under what conditions and at what cost does each method succeed or fail?"</w:t>
      </w:r>
    </w:p>
    <w:p>
      <w:pPr>
        <w:spacing w:before="120" w:after="120"/>
      </w:pPr>
      <w:r>
        <w:rPr>
          <w:color w:val="BDC3C7"/>
          <w:sz w:val="16"/>
        </w:rPr>
        <w:t>―――――――――――――――――――――――――――――――――――――――――――――――――――――――</w:t>
      </w:r>
    </w:p>
    <w:p>
      <w:pPr>
        <w:keepNext/>
        <w:spacing w:before="240" w:after="80"/>
      </w:pPr>
      <w:r>
        <w:rPr>
          <w:rFonts w:ascii="Times New Roman" w:hAnsi="Times New Roman"/>
          <w:b/>
          <w:color w:val="2E75B6"/>
          <w:sz w:val="28"/>
        </w:rPr>
        <w:t>3. Our Proposed Investigation</w:t>
      </w:r>
    </w:p>
    <w:p>
      <w:pPr>
        <w:spacing w:before="40" w:after="100" w:line="276" w:lineRule="auto"/>
      </w:pPr>
      <w:r>
        <w:rPr>
          <w:rFonts w:ascii="Times New Roman" w:hAnsi="Times New Roman"/>
          <w:color w:val="262626"/>
          <w:sz w:val="22"/>
        </w:rPr>
        <w:t xml:space="preserve">Rather than proposing a novel architecture, our contribution is a </w:t>
      </w:r>
      <w:r>
        <w:rPr>
          <w:rFonts w:ascii="Times New Roman" w:hAnsi="Times New Roman"/>
          <w:b/>
          <w:color w:val="262626"/>
          <w:sz w:val="22"/>
        </w:rPr>
        <w:t>systematic empirical study</w:t>
      </w:r>
      <w:r>
        <w:rPr>
          <w:rFonts w:ascii="Times New Roman" w:hAnsi="Times New Roman"/>
          <w:color w:val="262626"/>
          <w:sz w:val="22"/>
        </w:rPr>
        <w:t xml:space="preserve"> that provides:</w:t>
      </w:r>
    </w:p>
    <w:p>
      <w:pPr>
        <w:keepNext/>
        <w:spacing w:before="200" w:after="60"/>
      </w:pPr>
      <w:r>
        <w:rPr>
          <w:rFonts w:ascii="Times New Roman" w:hAnsi="Times New Roman"/>
          <w:b/>
          <w:color w:val="1F4E79"/>
          <w:sz w:val="24"/>
        </w:rPr>
        <w:t>3.1 Unified Experimental Framework</w:t>
      </w:r>
    </w:p>
    <w:p>
      <w:pPr>
        <w:spacing w:before="40" w:after="100" w:line="276" w:lineRule="auto"/>
      </w:pPr>
      <w:r>
        <w:rPr>
          <w:rFonts w:ascii="Times New Roman" w:hAnsi="Times New Roman"/>
          <w:color w:val="262626"/>
          <w:sz w:val="22"/>
        </w:rPr>
        <w:t>A single, reproducible codebase that evaluates Statistical Threshold, Isolation Forest, Autoencoder, and LSTM-Autoencoder under identical:</w:t>
      </w:r>
    </w:p>
    <w:p>
      <w:pPr>
        <w:pStyle w:val="ListBullet"/>
        <w:spacing w:before="30" w:after="30" w:line="276" w:lineRule="auto"/>
      </w:pPr>
      <w:r>
        <w:rPr>
          <w:rFonts w:ascii="Times New Roman" w:hAnsi="Times New Roman"/>
          <w:color w:val="262626"/>
          <w:sz w:val="22"/>
        </w:rPr>
        <w:t>Data splits (engine-level, documented engine IDs)</w:t>
      </w:r>
    </w:p>
    <w:p>
      <w:pPr>
        <w:pStyle w:val="ListBullet"/>
        <w:spacing w:before="30" w:after="30" w:line="276" w:lineRule="auto"/>
      </w:pPr>
      <w:r>
        <w:rPr>
          <w:rFonts w:ascii="Times New Roman" w:hAnsi="Times New Roman"/>
          <w:color w:val="262626"/>
          <w:sz w:val="22"/>
        </w:rPr>
        <w:t>Normalization (train-only statistics)</w:t>
      </w:r>
    </w:p>
    <w:p>
      <w:pPr>
        <w:pStyle w:val="ListBullet"/>
        <w:spacing w:before="30" w:after="30" w:line="276" w:lineRule="auto"/>
      </w:pPr>
      <w:r>
        <w:rPr>
          <w:rFonts w:ascii="Times New Roman" w:hAnsi="Times New Roman"/>
          <w:color w:val="262626"/>
          <w:sz w:val="22"/>
        </w:rPr>
        <w:t>Threshold selection (validation-set only, multiple strategies)</w:t>
      </w:r>
    </w:p>
    <w:p>
      <w:pPr>
        <w:pStyle w:val="ListBullet"/>
        <w:spacing w:before="30" w:after="30" w:line="276" w:lineRule="auto"/>
      </w:pPr>
      <w:r>
        <w:rPr>
          <w:rFonts w:ascii="Times New Roman" w:hAnsi="Times New Roman"/>
          <w:color w:val="262626"/>
          <w:sz w:val="22"/>
        </w:rPr>
        <w:t>Evaluation metrics (classification + early-warning + computational)</w:t>
      </w:r>
    </w:p>
    <w:p>
      <w:pPr>
        <w:pStyle w:val="ListBullet"/>
        <w:spacing w:before="30" w:after="30" w:line="276" w:lineRule="auto"/>
      </w:pPr>
      <w:r>
        <w:rPr>
          <w:rFonts w:ascii="Times New Roman" w:hAnsi="Times New Roman"/>
          <w:color w:val="262626"/>
          <w:sz w:val="22"/>
        </w:rPr>
        <w:t>Random seeds (5 seeds per experiment, mean ± std reporting)</w:t>
      </w:r>
    </w:p>
    <w:p>
      <w:pPr>
        <w:keepNext/>
        <w:spacing w:before="200" w:after="60"/>
      </w:pPr>
      <w:r>
        <w:rPr>
          <w:rFonts w:ascii="Times New Roman" w:hAnsi="Times New Roman"/>
          <w:b/>
          <w:color w:val="1F4E79"/>
          <w:sz w:val="24"/>
        </w:rPr>
        <w:t>3.2 Multi-Dimensional Evaluation</w:t>
      </w:r>
    </w:p>
    <w:p>
      <w:pPr>
        <w:spacing w:before="40" w:after="100" w:line="276" w:lineRule="auto"/>
      </w:pPr>
      <w:r>
        <w:rPr>
          <w:rFonts w:ascii="Times New Roman" w:hAnsi="Times New Roman"/>
          <w:color w:val="262626"/>
          <w:sz w:val="22"/>
        </w:rPr>
        <w:t>Going beyond aggregate F1/AUC to include:</w:t>
      </w:r>
    </w:p>
    <w:p>
      <w:pPr>
        <w:pStyle w:val="ListBullet"/>
        <w:spacing w:before="30" w:after="30" w:line="276" w:lineRule="auto"/>
      </w:pPr>
      <w:r>
        <w:rPr>
          <w:rFonts w:ascii="Times New Roman" w:hAnsi="Times New Roman"/>
          <w:b/>
          <w:color w:val="262626"/>
          <w:sz w:val="22"/>
        </w:rPr>
        <w:t>Per-engine detection analysis</w:t>
      </w:r>
      <w:r>
        <w:rPr>
          <w:rFonts w:ascii="Times New Roman" w:hAnsi="Times New Roman"/>
          <w:color w:val="262626"/>
          <w:sz w:val="22"/>
        </w:rPr>
        <w:t xml:space="preserve"> — Which engines are detected? How early?</w:t>
      </w:r>
    </w:p>
    <w:p>
      <w:pPr>
        <w:pStyle w:val="ListBullet"/>
        <w:spacing w:before="30" w:after="30" w:line="276" w:lineRule="auto"/>
      </w:pPr>
      <w:r>
        <w:rPr>
          <w:rFonts w:ascii="Times New Roman" w:hAnsi="Times New Roman"/>
          <w:b/>
          <w:color w:val="262626"/>
          <w:sz w:val="22"/>
        </w:rPr>
        <w:t>Detection lead time distribution</w:t>
      </w:r>
      <w:r>
        <w:rPr>
          <w:rFonts w:ascii="Times New Roman" w:hAnsi="Times New Roman"/>
          <w:color w:val="262626"/>
          <w:sz w:val="22"/>
        </w:rPr>
        <w:t xml:space="preserve"> — Not just mean, but full distribution across engines</w:t>
      </w:r>
    </w:p>
    <w:p>
      <w:pPr>
        <w:pStyle w:val="ListBullet"/>
        <w:spacing w:before="30" w:after="30" w:line="276" w:lineRule="auto"/>
      </w:pPr>
      <w:r>
        <w:rPr>
          <w:rFonts w:ascii="Times New Roman" w:hAnsi="Times New Roman"/>
          <w:b/>
          <w:color w:val="262626"/>
          <w:sz w:val="22"/>
        </w:rPr>
        <w:t>False alarm characterization</w:t>
      </w:r>
      <w:r>
        <w:rPr>
          <w:rFonts w:ascii="Times New Roman" w:hAnsi="Times New Roman"/>
          <w:color w:val="262626"/>
          <w:sz w:val="22"/>
        </w:rPr>
        <w:t xml:space="preserve"> — Under what conditions do false alarms occur?</w:t>
      </w:r>
    </w:p>
    <w:p>
      <w:pPr>
        <w:pStyle w:val="ListBullet"/>
        <w:spacing w:before="30" w:after="30" w:line="276" w:lineRule="auto"/>
      </w:pPr>
      <w:r>
        <w:rPr>
          <w:rFonts w:ascii="Times New Roman" w:hAnsi="Times New Roman"/>
          <w:b/>
          <w:color w:val="262626"/>
          <w:sz w:val="22"/>
        </w:rPr>
        <w:t>Threshold sensitivity analysis</w:t>
      </w:r>
      <w:r>
        <w:rPr>
          <w:rFonts w:ascii="Times New Roman" w:hAnsi="Times New Roman"/>
          <w:color w:val="262626"/>
          <w:sz w:val="22"/>
        </w:rPr>
        <w:t xml:space="preserve"> — How do results change across threshold strategies?</w:t>
      </w:r>
    </w:p>
    <w:p>
      <w:pPr>
        <w:keepNext/>
        <w:spacing w:before="200" w:after="60"/>
      </w:pPr>
      <w:r>
        <w:rPr>
          <w:rFonts w:ascii="Times New Roman" w:hAnsi="Times New Roman"/>
          <w:b/>
          <w:color w:val="1F4E79"/>
          <w:sz w:val="24"/>
        </w:rPr>
        <w:t>3.3 Cross-Condition Degradation Analysis</w:t>
      </w:r>
    </w:p>
    <w:p>
      <w:pPr>
        <w:spacing w:before="40" w:after="100" w:line="276" w:lineRule="auto"/>
      </w:pPr>
      <w:r>
        <w:rPr>
          <w:rFonts w:ascii="Times New Roman" w:hAnsi="Times New Roman"/>
          <w:color w:val="262626"/>
          <w:sz w:val="22"/>
        </w:rPr>
        <w:t>Systematic experiments examining:</w:t>
      </w:r>
    </w:p>
    <w:p>
      <w:pPr>
        <w:pStyle w:val="ListBullet"/>
        <w:spacing w:before="30" w:after="30" w:line="276" w:lineRule="auto"/>
      </w:pPr>
      <w:r>
        <w:rPr>
          <w:rFonts w:ascii="Times New Roman" w:hAnsi="Times New Roman"/>
          <w:color w:val="262626"/>
          <w:sz w:val="22"/>
        </w:rPr>
        <w:t>Performance within a single operating condition (FD001)</w:t>
      </w:r>
    </w:p>
    <w:p>
      <w:pPr>
        <w:pStyle w:val="ListBullet"/>
        <w:spacing w:before="30" w:after="30" w:line="276" w:lineRule="auto"/>
      </w:pPr>
      <w:r>
        <w:rPr>
          <w:rFonts w:ascii="Times New Roman" w:hAnsi="Times New Roman"/>
          <w:color w:val="262626"/>
          <w:sz w:val="22"/>
        </w:rPr>
        <w:t>Performance under multiple operating conditions (FD002)</w:t>
      </w:r>
    </w:p>
    <w:p>
      <w:pPr>
        <w:pStyle w:val="ListBullet"/>
        <w:spacing w:before="30" w:after="30" w:line="276" w:lineRule="auto"/>
      </w:pPr>
      <w:r>
        <w:rPr>
          <w:rFonts w:ascii="Times New Roman" w:hAnsi="Times New Roman"/>
          <w:color w:val="262626"/>
          <w:sz w:val="22"/>
        </w:rPr>
        <w:t>Performance with multiple fault modes (FD003)</w:t>
      </w:r>
    </w:p>
    <w:p>
      <w:pPr>
        <w:pStyle w:val="ListBullet"/>
        <w:spacing w:before="30" w:after="30" w:line="276" w:lineRule="auto"/>
      </w:pPr>
      <w:r>
        <w:rPr>
          <w:rFonts w:ascii="Times New Roman" w:hAnsi="Times New Roman"/>
          <w:color w:val="262626"/>
          <w:sz w:val="22"/>
        </w:rPr>
        <w:t>Performance under combined complexity (FD004)</w:t>
      </w:r>
    </w:p>
    <w:p>
      <w:pPr>
        <w:pStyle w:val="ListBullet"/>
        <w:spacing w:before="30" w:after="30" w:line="276" w:lineRule="auto"/>
      </w:pPr>
      <w:r>
        <w:rPr>
          <w:rFonts w:ascii="Times New Roman" w:hAnsi="Times New Roman"/>
          <w:color w:val="262626"/>
          <w:sz w:val="22"/>
        </w:rPr>
        <w:t>Cross-subset evaluation (train FD001, evaluate FD002)</w:t>
      </w:r>
    </w:p>
    <w:p>
      <w:pPr>
        <w:keepNext/>
        <w:spacing w:before="200" w:after="60"/>
      </w:pPr>
      <w:r>
        <w:rPr>
          <w:rFonts w:ascii="Times New Roman" w:hAnsi="Times New Roman"/>
          <w:b/>
          <w:color w:val="1F4E79"/>
          <w:sz w:val="24"/>
        </w:rPr>
        <w:t>3.4 Honest Complexity Assessment</w:t>
      </w:r>
    </w:p>
    <w:p>
      <w:pPr>
        <w:spacing w:before="40" w:after="100" w:line="276" w:lineRule="auto"/>
      </w:pPr>
      <w:r>
        <w:rPr>
          <w:rFonts w:ascii="Times New Roman" w:hAnsi="Times New Roman"/>
          <w:color w:val="262626"/>
          <w:sz w:val="22"/>
        </w:rPr>
        <w:t>Quantitative analysis of whether added model complexity is justified:</w:t>
      </w:r>
    </w:p>
    <w:p>
      <w:pPr>
        <w:pStyle w:val="ListBullet"/>
        <w:spacing w:before="30" w:after="30" w:line="276" w:lineRule="auto"/>
      </w:pPr>
      <w:r>
        <w:rPr>
          <w:rFonts w:ascii="Times New Roman" w:hAnsi="Times New Roman"/>
          <w:color w:val="262626"/>
          <w:sz w:val="22"/>
        </w:rPr>
        <w:t>Parameter count</w:t>
      </w:r>
    </w:p>
    <w:p>
      <w:pPr>
        <w:pStyle w:val="ListBullet"/>
        <w:spacing w:before="30" w:after="30" w:line="276" w:lineRule="auto"/>
      </w:pPr>
      <w:r>
        <w:rPr>
          <w:rFonts w:ascii="Times New Roman" w:hAnsi="Times New Roman"/>
          <w:color w:val="262626"/>
          <w:sz w:val="22"/>
        </w:rPr>
        <w:t>Training time</w:t>
      </w:r>
    </w:p>
    <w:p>
      <w:pPr>
        <w:pStyle w:val="ListBullet"/>
        <w:spacing w:before="30" w:after="30" w:line="276" w:lineRule="auto"/>
      </w:pPr>
      <w:r>
        <w:rPr>
          <w:rFonts w:ascii="Times New Roman" w:hAnsi="Times New Roman"/>
          <w:color w:val="262626"/>
          <w:sz w:val="22"/>
        </w:rPr>
        <w:t>Inference time</w:t>
      </w:r>
    </w:p>
    <w:p>
      <w:pPr>
        <w:pStyle w:val="ListBullet"/>
        <w:spacing w:before="30" w:after="30" w:line="276" w:lineRule="auto"/>
      </w:pPr>
      <w:r>
        <w:rPr>
          <w:rFonts w:ascii="Times New Roman" w:hAnsi="Times New Roman"/>
          <w:color w:val="262626"/>
          <w:sz w:val="22"/>
        </w:rPr>
        <w:t>Performance gain per unit of complexity</w:t>
      </w:r>
    </w:p>
    <w:p>
      <w:pPr>
        <w:pStyle w:val="ListBullet"/>
        <w:spacing w:before="30" w:after="30" w:line="276" w:lineRule="auto"/>
      </w:pPr>
      <w:r>
        <w:rPr>
          <w:rFonts w:ascii="Times New Roman" w:hAnsi="Times New Roman"/>
          <w:color w:val="262626"/>
          <w:sz w:val="22"/>
        </w:rPr>
        <w:t>Concrete recommendation: "When is Isolation Forest sufficient?"</w:t>
      </w:r>
    </w:p>
    <w:p>
      <w:pPr>
        <w:keepNext/>
        <w:spacing w:before="200" w:after="60"/>
      </w:pPr>
      <w:r>
        <w:rPr>
          <w:rFonts w:ascii="Times New Roman" w:hAnsi="Times New Roman"/>
          <w:b/>
          <w:color w:val="1F4E79"/>
          <w:sz w:val="24"/>
        </w:rPr>
        <w:t>3.5 Strict Methodological Transparency</w:t>
      </w:r>
    </w:p>
    <w:p>
      <w:pPr>
        <w:spacing w:before="40" w:after="100" w:line="276" w:lineRule="auto"/>
      </w:pPr>
      <w:r>
        <w:rPr>
          <w:rFonts w:ascii="Times New Roman" w:hAnsi="Times New Roman"/>
          <w:color w:val="262626"/>
          <w:sz w:val="22"/>
        </w:rPr>
        <w:t>Every experimental decision fully documented:</w:t>
      </w:r>
    </w:p>
    <w:p>
      <w:pPr>
        <w:pStyle w:val="ListBullet"/>
        <w:spacing w:before="30" w:after="30" w:line="276" w:lineRule="auto"/>
      </w:pPr>
      <w:r>
        <w:rPr>
          <w:rFonts w:ascii="Times New Roman" w:hAnsi="Times New Roman"/>
          <w:color w:val="262626"/>
          <w:sz w:val="22"/>
        </w:rPr>
        <w:t>Explicit leakage prevention verification</w:t>
      </w:r>
    </w:p>
    <w:p>
      <w:pPr>
        <w:pStyle w:val="ListBullet"/>
        <w:spacing w:before="30" w:after="30" w:line="276" w:lineRule="auto"/>
      </w:pPr>
      <w:r>
        <w:rPr>
          <w:rFonts w:ascii="Times New Roman" w:hAnsi="Times New Roman"/>
          <w:color w:val="262626"/>
          <w:sz w:val="22"/>
        </w:rPr>
        <w:t>Published engine ID assignments for each split</w:t>
      </w:r>
    </w:p>
    <w:p>
      <w:pPr>
        <w:pStyle w:val="ListBullet"/>
        <w:spacing w:before="30" w:after="30" w:line="276" w:lineRule="auto"/>
      </w:pPr>
      <w:r>
        <w:rPr>
          <w:rFonts w:ascii="Times New Roman" w:hAnsi="Times New Roman"/>
          <w:color w:val="262626"/>
          <w:sz w:val="22"/>
        </w:rPr>
        <w:t>Configuration files for every experiment</w:t>
      </w:r>
    </w:p>
    <w:p>
      <w:pPr>
        <w:pStyle w:val="ListBullet"/>
        <w:spacing w:before="30" w:after="30" w:line="276" w:lineRule="auto"/>
      </w:pPr>
      <w:r>
        <w:rPr>
          <w:rFonts w:ascii="Times New Roman" w:hAnsi="Times New Roman"/>
          <w:color w:val="262626"/>
          <w:sz w:val="22"/>
        </w:rPr>
        <w:t>Statistical tests for claimed differences</w:t>
      </w:r>
    </w:p>
    <w:p>
      <w:pPr>
        <w:spacing w:before="120" w:after="120"/>
      </w:pPr>
      <w:r>
        <w:rPr>
          <w:color w:val="BDC3C7"/>
          <w:sz w:val="16"/>
        </w:rPr>
        <w:t>―――――――――――――――――――――――――――――――――――――――――――――――――――――――</w:t>
      </w:r>
    </w:p>
    <w:p>
      <w:pPr>
        <w:keepNext/>
        <w:spacing w:before="240" w:after="80"/>
      </w:pPr>
      <w:r>
        <w:rPr>
          <w:rFonts w:ascii="Times New Roman" w:hAnsi="Times New Roman"/>
          <w:b/>
          <w:color w:val="2E75B6"/>
          <w:sz w:val="28"/>
        </w:rPr>
        <w:t>4. Why This Gap Matters</w:t>
      </w:r>
    </w:p>
    <w:p>
      <w:pPr>
        <w:keepNext/>
        <w:spacing w:before="200" w:after="60"/>
      </w:pPr>
      <w:r>
        <w:rPr>
          <w:rFonts w:ascii="Times New Roman" w:hAnsi="Times New Roman"/>
          <w:b/>
          <w:color w:val="1F4E79"/>
          <w:sz w:val="24"/>
        </w:rPr>
        <w:t>For the research community</w:t>
      </w:r>
    </w:p>
    <w:p>
      <w:pPr>
        <w:pStyle w:val="ListBullet"/>
        <w:spacing w:before="30" w:after="30" w:line="276" w:lineRule="auto"/>
      </w:pPr>
      <w:r>
        <w:rPr>
          <w:rFonts w:ascii="Times New Roman" w:hAnsi="Times New Roman"/>
          <w:color w:val="262626"/>
          <w:sz w:val="22"/>
        </w:rPr>
        <w:t xml:space="preserve">Provides a </w:t>
      </w:r>
      <w:r>
        <w:rPr>
          <w:rFonts w:ascii="Times New Roman" w:hAnsi="Times New Roman"/>
          <w:b/>
          <w:color w:val="262626"/>
          <w:sz w:val="22"/>
        </w:rPr>
        <w:t>reproducible baseline</w:t>
      </w:r>
      <w:r>
        <w:rPr>
          <w:rFonts w:ascii="Times New Roman" w:hAnsi="Times New Roman"/>
          <w:color w:val="262626"/>
          <w:sz w:val="22"/>
        </w:rPr>
        <w:t xml:space="preserve"> that future papers can build on and compare against</w:t>
      </w:r>
    </w:p>
    <w:p>
      <w:pPr>
        <w:pStyle w:val="ListBullet"/>
        <w:spacing w:before="30" w:after="30" w:line="276" w:lineRule="auto"/>
      </w:pPr>
      <w:r>
        <w:rPr>
          <w:rFonts w:ascii="Times New Roman" w:hAnsi="Times New Roman"/>
          <w:color w:val="262626"/>
          <w:sz w:val="22"/>
        </w:rPr>
        <w:t>Demonstrates whether deep learning is justified for this specific task, or whether simpler methods suffice</w:t>
      </w:r>
    </w:p>
    <w:p>
      <w:pPr>
        <w:pStyle w:val="ListBullet"/>
        <w:spacing w:before="30" w:after="30" w:line="276" w:lineRule="auto"/>
      </w:pPr>
      <w:r>
        <w:rPr>
          <w:rFonts w:ascii="Times New Roman" w:hAnsi="Times New Roman"/>
          <w:color w:val="262626"/>
          <w:sz w:val="22"/>
        </w:rPr>
        <w:t>Offers methodological template for fair unsupervised AD evaluation</w:t>
      </w:r>
    </w:p>
    <w:p>
      <w:pPr>
        <w:keepNext/>
        <w:spacing w:before="200" w:after="60"/>
      </w:pPr>
      <w:r>
        <w:rPr>
          <w:rFonts w:ascii="Times New Roman" w:hAnsi="Times New Roman"/>
          <w:b/>
          <w:color w:val="1F4E79"/>
          <w:sz w:val="24"/>
        </w:rPr>
        <w:t>For practitioners</w:t>
      </w:r>
    </w:p>
    <w:p>
      <w:pPr>
        <w:pStyle w:val="ListBullet"/>
        <w:spacing w:before="30" w:after="30" w:line="276" w:lineRule="auto"/>
      </w:pPr>
      <w:r>
        <w:rPr>
          <w:rFonts w:ascii="Times New Roman" w:hAnsi="Times New Roman"/>
          <w:color w:val="262626"/>
          <w:sz w:val="22"/>
        </w:rPr>
        <w:t>Actionable guidance on method selection under different operating conditions</w:t>
      </w:r>
    </w:p>
    <w:p>
      <w:pPr>
        <w:pStyle w:val="ListBullet"/>
        <w:spacing w:before="30" w:after="30" w:line="276" w:lineRule="auto"/>
      </w:pPr>
      <w:r>
        <w:rPr>
          <w:rFonts w:ascii="Times New Roman" w:hAnsi="Times New Roman"/>
          <w:color w:val="262626"/>
          <w:sz w:val="22"/>
        </w:rPr>
        <w:t>Realistic false alarm and detection lead time expectations</w:t>
      </w:r>
    </w:p>
    <w:p>
      <w:pPr>
        <w:pStyle w:val="ListBullet"/>
        <w:spacing w:before="30" w:after="30" w:line="276" w:lineRule="auto"/>
      </w:pPr>
      <w:r>
        <w:rPr>
          <w:rFonts w:ascii="Times New Roman" w:hAnsi="Times New Roman"/>
          <w:color w:val="262626"/>
          <w:sz w:val="22"/>
        </w:rPr>
        <w:t>Computational budget guidance (CPU vs GPU, training time)</w:t>
      </w:r>
    </w:p>
    <w:p>
      <w:pPr>
        <w:keepNext/>
        <w:spacing w:before="200" w:after="60"/>
      </w:pPr>
      <w:r>
        <w:rPr>
          <w:rFonts w:ascii="Times New Roman" w:hAnsi="Times New Roman"/>
          <w:b/>
          <w:color w:val="1F4E79"/>
          <w:sz w:val="24"/>
        </w:rPr>
        <w:t>For our BTech project</w:t>
      </w:r>
    </w:p>
    <w:p>
      <w:pPr>
        <w:pStyle w:val="ListBullet"/>
        <w:spacing w:before="30" w:after="30" w:line="276" w:lineRule="auto"/>
      </w:pPr>
      <w:r>
        <w:rPr>
          <w:rFonts w:ascii="Times New Roman" w:hAnsi="Times New Roman"/>
          <w:color w:val="262626"/>
          <w:sz w:val="22"/>
        </w:rPr>
        <w:t>Demonstrates genuine research methodology (evidence-driven, not metric-chasing)</w:t>
      </w:r>
    </w:p>
    <w:p>
      <w:pPr>
        <w:pStyle w:val="ListBullet"/>
        <w:spacing w:before="30" w:after="30" w:line="276" w:lineRule="auto"/>
      </w:pPr>
      <w:r>
        <w:rPr>
          <w:rFonts w:ascii="Times New Roman" w:hAnsi="Times New Roman"/>
          <w:color w:val="262626"/>
          <w:sz w:val="22"/>
        </w:rPr>
        <w:t>Produces defensible, honest results</w:t>
      </w:r>
    </w:p>
    <w:p>
      <w:pPr>
        <w:pStyle w:val="ListBullet"/>
        <w:spacing w:before="30" w:after="30" w:line="276" w:lineRule="auto"/>
      </w:pPr>
      <w:r>
        <w:rPr>
          <w:rFonts w:ascii="Times New Roman" w:hAnsi="Times New Roman"/>
          <w:color w:val="262626"/>
          <w:sz w:val="22"/>
        </w:rPr>
        <w:t>Suitable for publication as an empirical study / benchmarking paper</w:t>
      </w:r>
    </w:p>
    <w:p>
      <w:pPr>
        <w:spacing w:before="120" w:after="120"/>
      </w:pPr>
      <w:r>
        <w:rPr>
          <w:color w:val="BDC3C7"/>
          <w:sz w:val="16"/>
        </w:rPr>
        <w:t>―――――――――――――――――――――――――――――――――――――――――――――――――――――――</w:t>
      </w:r>
    </w:p>
    <w:p>
      <w:pPr>
        <w:keepNext/>
        <w:spacing w:before="240" w:after="80"/>
      </w:pPr>
      <w:r>
        <w:rPr>
          <w:rFonts w:ascii="Times New Roman" w:hAnsi="Times New Roman"/>
          <w:b/>
          <w:color w:val="2E75B6"/>
          <w:sz w:val="28"/>
        </w:rPr>
        <w:t>5. What Our Experiments CAN Demonstrate</w:t>
      </w:r>
    </w:p>
    <w:p>
      <w:pPr>
        <w:pStyle w:val="ListBullet"/>
        <w:spacing w:before="30" w:after="30" w:line="276" w:lineRule="auto"/>
      </w:pPr>
      <w:r>
        <w:rPr>
          <w:rFonts w:ascii="Times New Roman" w:hAnsi="Times New Roman"/>
          <w:color w:val="262626"/>
          <w:sz w:val="22"/>
        </w:rPr>
        <w:t>Relative performance of 4 unsupervised methods under controlled conditions</w:t>
      </w:r>
    </w:p>
    <w:p>
      <w:pPr>
        <w:pStyle w:val="ListBullet"/>
        <w:spacing w:before="30" w:after="30" w:line="276" w:lineRule="auto"/>
      </w:pPr>
      <w:r>
        <w:rPr>
          <w:rFonts w:ascii="Times New Roman" w:hAnsi="Times New Roman"/>
          <w:color w:val="262626"/>
          <w:sz w:val="22"/>
        </w:rPr>
        <w:t>Effect of operating conditions on detection quality</w:t>
      </w:r>
    </w:p>
    <w:p>
      <w:pPr>
        <w:pStyle w:val="ListBullet"/>
        <w:spacing w:before="30" w:after="30" w:line="276" w:lineRule="auto"/>
      </w:pPr>
      <w:r>
        <w:rPr>
          <w:rFonts w:ascii="Times New Roman" w:hAnsi="Times New Roman"/>
          <w:color w:val="262626"/>
          <w:sz w:val="22"/>
        </w:rPr>
        <w:t>Relationship between model complexity and performance</w:t>
      </w:r>
    </w:p>
    <w:p>
      <w:pPr>
        <w:pStyle w:val="ListBullet"/>
        <w:spacing w:before="30" w:after="30" w:line="276" w:lineRule="auto"/>
      </w:pPr>
      <w:r>
        <w:rPr>
          <w:rFonts w:ascii="Times New Roman" w:hAnsi="Times New Roman"/>
          <w:color w:val="262626"/>
          <w:sz w:val="22"/>
        </w:rPr>
        <w:t>Per-engine detection behavior and early-warning capability</w:t>
      </w:r>
    </w:p>
    <w:p>
      <w:pPr>
        <w:pStyle w:val="ListBullet"/>
        <w:spacing w:before="30" w:after="30" w:line="276" w:lineRule="auto"/>
      </w:pPr>
      <w:r>
        <w:rPr>
          <w:rFonts w:ascii="Times New Roman" w:hAnsi="Times New Roman"/>
          <w:color w:val="262626"/>
          <w:sz w:val="22"/>
        </w:rPr>
        <w:t>Threshold sensitivity across methods</w:t>
      </w:r>
    </w:p>
    <w:p>
      <w:pPr>
        <w:pStyle w:val="ListBullet"/>
        <w:spacing w:before="30" w:after="30" w:line="276" w:lineRule="auto"/>
      </w:pPr>
      <w:r>
        <w:rPr>
          <w:rFonts w:ascii="Times New Roman" w:hAnsi="Times New Roman"/>
          <w:color w:val="262626"/>
          <w:sz w:val="22"/>
        </w:rPr>
        <w:t>Reproducible results with documented seeds and splits</w:t>
      </w:r>
    </w:p>
    <w:p>
      <w:pPr>
        <w:keepNext/>
        <w:spacing w:before="240" w:after="80"/>
      </w:pPr>
      <w:r>
        <w:rPr>
          <w:rFonts w:ascii="Times New Roman" w:hAnsi="Times New Roman"/>
          <w:b/>
          <w:color w:val="2E75B6"/>
          <w:sz w:val="28"/>
        </w:rPr>
        <w:t>6. What Our Experiments CANNOT Demonstrate</w:t>
      </w:r>
    </w:p>
    <w:p>
      <w:pPr>
        <w:pStyle w:val="ListBullet"/>
        <w:spacing w:before="30" w:after="30" w:line="276" w:lineRule="auto"/>
      </w:pPr>
      <w:r>
        <w:rPr>
          <w:rFonts w:ascii="Times New Roman" w:hAnsi="Times New Roman"/>
          <w:color w:val="262626"/>
          <w:sz w:val="22"/>
        </w:rPr>
        <w:t>Superiority of any single method in general (only on C-MAPSS)</w:t>
      </w:r>
    </w:p>
    <w:p>
      <w:pPr>
        <w:pStyle w:val="ListBullet"/>
        <w:spacing w:before="30" w:after="30" w:line="276" w:lineRule="auto"/>
      </w:pPr>
      <w:r>
        <w:rPr>
          <w:rFonts w:ascii="Times New Roman" w:hAnsi="Times New Roman"/>
          <w:color w:val="262626"/>
          <w:sz w:val="22"/>
        </w:rPr>
        <w:t>Real-world deployment performance (C-MAPSS is simulated data)</w:t>
      </w:r>
    </w:p>
    <w:p>
      <w:pPr>
        <w:pStyle w:val="ListBullet"/>
        <w:spacing w:before="30" w:after="30" w:line="276" w:lineRule="auto"/>
      </w:pPr>
      <w:r>
        <w:rPr>
          <w:rFonts w:ascii="Times New Roman" w:hAnsi="Times New Roman"/>
          <w:color w:val="262626"/>
          <w:sz w:val="22"/>
        </w:rPr>
        <w:t>Scalability to millions of sensors or thousands of machines</w:t>
      </w:r>
    </w:p>
    <w:p>
      <w:pPr>
        <w:pStyle w:val="ListBullet"/>
        <w:spacing w:before="30" w:after="30" w:line="276" w:lineRule="auto"/>
      </w:pPr>
      <w:r>
        <w:rPr>
          <w:rFonts w:ascii="Times New Roman" w:hAnsi="Times New Roman"/>
          <w:color w:val="262626"/>
          <w:sz w:val="22"/>
        </w:rPr>
        <w:t>Online/streaming detection capability (we evaluate offline)</w:t>
      </w:r>
    </w:p>
    <w:p>
      <w:pPr>
        <w:pStyle w:val="ListBullet"/>
        <w:spacing w:before="30" w:after="30" w:line="276" w:lineRule="auto"/>
      </w:pPr>
      <w:r>
        <w:rPr>
          <w:rFonts w:ascii="Times New Roman" w:hAnsi="Times New Roman"/>
          <w:color w:val="262626"/>
          <w:sz w:val="22"/>
        </w:rPr>
        <w:t>Performance on non-turbofan industrial systems</w:t>
      </w:r>
    </w:p>
    <w:p>
      <w:pPr>
        <w:pStyle w:val="ListBullet"/>
        <w:spacing w:before="30" w:after="30" w:line="276" w:lineRule="auto"/>
      </w:pPr>
      <w:r>
        <w:rPr>
          <w:rFonts w:ascii="Times New Roman" w:hAnsi="Times New Roman"/>
          <w:color w:val="262626"/>
          <w:sz w:val="22"/>
        </w:rPr>
        <w:t>Optimal hyperparameter settings (we explore reasonable ranges, not exhaustive search)</w:t>
      </w:r>
    </w:p>
    <w:p>
      <w:pPr>
        <w:spacing w:before="120" w:after="120"/>
      </w:pPr>
      <w:r>
        <w:rPr>
          <w:color w:val="BDC3C7"/>
          <w:sz w:val="16"/>
        </w:rPr>
        <w:t>―――――――――――――――――――――――――――――――――――――――――――――――――――――――</w:t>
      </w:r>
    </w:p>
    <w:p>
      <w:pPr>
        <w:keepNext/>
        <w:spacing w:before="240" w:after="80"/>
      </w:pPr>
      <w:r>
        <w:rPr>
          <w:rFonts w:ascii="Times New Roman" w:hAnsi="Times New Roman"/>
          <w:b/>
          <w:color w:val="2E75B6"/>
          <w:sz w:val="28"/>
        </w:rPr>
        <w:t>7. Validation Checklist</w:t>
      </w:r>
    </w:p>
    <w:p>
      <w:pPr>
        <w:pStyle w:val="ListBullet"/>
        <w:spacing w:before="30" w:after="30" w:line="276" w:lineRule="auto"/>
      </w:pPr>
      <w:r>
        <w:rPr>
          <w:rFonts w:ascii="Times New Roman" w:hAnsi="Times New Roman"/>
          <w:color w:val="262626"/>
          <w:sz w:val="22"/>
        </w:rPr>
        <w:t>[x] At least 15 relevant papers reviewed</w:t>
      </w:r>
    </w:p>
    <w:p>
      <w:pPr>
        <w:pStyle w:val="ListBullet"/>
        <w:spacing w:before="30" w:after="30" w:line="276" w:lineRule="auto"/>
      </w:pPr>
      <w:r>
        <w:rPr>
          <w:rFonts w:ascii="Times New Roman" w:hAnsi="Times New Roman"/>
          <w:color w:val="262626"/>
          <w:sz w:val="22"/>
        </w:rPr>
        <w:t>[x] Gap is validated against existing evidence (not assumed)</w:t>
      </w:r>
    </w:p>
    <w:p>
      <w:pPr>
        <w:pStyle w:val="ListBullet"/>
        <w:spacing w:before="30" w:after="30" w:line="276" w:lineRule="auto"/>
      </w:pPr>
      <w:r>
        <w:rPr>
          <w:rFonts w:ascii="Times New Roman" w:hAnsi="Times New Roman"/>
          <w:color w:val="262626"/>
          <w:sz w:val="22"/>
        </w:rPr>
        <w:t>[x] Individual gap components honestly assessed against literature</w:t>
      </w:r>
    </w:p>
    <w:p>
      <w:pPr>
        <w:pStyle w:val="ListBullet"/>
        <w:spacing w:before="30" w:after="30" w:line="276" w:lineRule="auto"/>
      </w:pPr>
      <w:r>
        <w:rPr>
          <w:rFonts w:ascii="Times New Roman" w:hAnsi="Times New Roman"/>
          <w:color w:val="262626"/>
          <w:sz w:val="22"/>
        </w:rPr>
        <w:t>[x] Refined gap is specific enough to evaluate</w:t>
      </w:r>
    </w:p>
    <w:p>
      <w:pPr>
        <w:pStyle w:val="ListBullet"/>
        <w:spacing w:before="30" w:after="30" w:line="276" w:lineRule="auto"/>
      </w:pPr>
      <w:r>
        <w:rPr>
          <w:rFonts w:ascii="Times New Roman" w:hAnsi="Times New Roman"/>
          <w:color w:val="262626"/>
          <w:sz w:val="22"/>
        </w:rPr>
        <w:t>[x] Gap is addressable within our experimental scope (BTech project)</w:t>
      </w:r>
    </w:p>
    <w:p>
      <w:pPr>
        <w:pStyle w:val="ListBullet"/>
        <w:spacing w:before="30" w:after="30" w:line="276" w:lineRule="auto"/>
      </w:pPr>
      <w:r>
        <w:rPr>
          <w:rFonts w:ascii="Times New Roman" w:hAnsi="Times New Roman"/>
          <w:color w:val="262626"/>
          <w:sz w:val="22"/>
        </w:rPr>
        <w:t>[x] Gap is meaningful (unified rigorous evaluation is genuinely needed)</w:t>
      </w:r>
    </w:p>
    <w:p>
      <w:pPr>
        <w:pStyle w:val="ListBullet"/>
        <w:spacing w:before="30" w:after="30" w:line="276" w:lineRule="auto"/>
      </w:pPr>
      <w:r>
        <w:rPr>
          <w:rFonts w:ascii="Times New Roman" w:hAnsi="Times New Roman"/>
          <w:color w:val="262626"/>
          <w:sz w:val="22"/>
        </w:rPr>
        <w:t>[x] Our proposed experiments can provide evidence about the gap</w:t>
      </w:r>
    </w:p>
    <w:p>
      <w:pPr>
        <w:pStyle w:val="ListBullet"/>
        <w:spacing w:before="30" w:after="30" w:line="276" w:lineRule="auto"/>
      </w:pPr>
      <w:r>
        <w:rPr>
          <w:rFonts w:ascii="Times New Roman" w:hAnsi="Times New Roman"/>
          <w:color w:val="262626"/>
          <w:sz w:val="22"/>
        </w:rPr>
        <w:t>[x] Limitations of our investigation are explicitly stated</w:t>
      </w:r>
    </w:p>
    <w:p>
      <w:pPr>
        <w:pStyle w:val="ListBullet"/>
        <w:spacing w:before="30" w:after="30" w:line="276" w:lineRule="auto"/>
      </w:pPr>
      <w:r>
        <w:rPr>
          <w:rFonts w:ascii="Times New Roman" w:hAnsi="Times New Roman"/>
          <w:color w:val="262626"/>
          <w:sz w:val="22"/>
        </w:rPr>
        <w:t>[x] Contribution is framed as empirical study, not architectural novelty</w:t>
      </w:r>
    </w:p>
    <w:p>
      <w:pPr>
        <w:spacing w:before="120" w:after="120"/>
      </w:pPr>
      <w:r>
        <w:rPr>
          <w:color w:val="BDC3C7"/>
          <w:sz w:val="16"/>
        </w:rPr>
        <w:t>―――――――――――――――――――――――――――――――――――――――――――――――――――――――</w:t>
      </w:r>
    </w:p>
    <w:p>
      <w:pPr>
        <w:keepNext/>
        <w:spacing w:before="240" w:after="80"/>
      </w:pPr>
      <w:r>
        <w:rPr>
          <w:rFonts w:ascii="Times New Roman" w:hAnsi="Times New Roman"/>
          <w:b/>
          <w:color w:val="2E75B6"/>
          <w:sz w:val="28"/>
        </w:rPr>
        <w:t>8. Positioning Statement (for the paper)</w:t>
      </w:r>
    </w:p>
    <w:tbl>
      <w:tblPr>
        <w:tblW w:type="auto" w:w="0"/>
        <w:jc w:val="center"/>
        <w:tblLook w:firstColumn="1" w:firstRow="1" w:lastColumn="0" w:lastRow="0" w:noHBand="0" w:noVBand="1" w:val="04A0"/>
      </w:tblPr>
      <w:tblGrid>
        <w:gridCol w:w="9360"/>
      </w:tblGrid>
      <w:tr>
        <w:tc>
          <w:tcPr>
            <w:tcW w:type="dxa" w:w="9360"/>
            <w:shd w:fill="EBF3FA"/>
            <w:tcMar>
              <w:top w:w="80" w:type="dxa"/>
              <w:bottom w:w="80" w:type="dxa"/>
              <w:left w:w="140" w:type="dxa"/>
              <w:right w:w="140" w:type="dxa"/>
            </w:tcMar>
          </w:tcPr>
          <w:p>
            <w:pPr>
              <w:spacing w:before="40" w:after="40"/>
            </w:pPr>
            <w:r>
              <w:rPr>
                <w:rFonts w:ascii="Times New Roman" w:hAnsi="Times New Roman"/>
                <w:i/>
                <w:color w:val="1F4E79"/>
                <w:sz w:val="20"/>
              </w:rPr>
              <w:t>This work does not propose a novel model architecture. Instead, it provides a systematic empirical comparison of unsupervised anomaly detection methods for predictive maintenance, evaluating statistical baselines, Isolation Forest, and reconstruction-based deep learning models under a unified experimental framework with strict leakage prevention. Our study analyzes detection performance, early-warning capability, threshold sensitivity, cross-condition robustness, and computational cost across the NASA C-MAPSS benchmark, offering reproducible baselines and evidence-based guidance on method selection for industrial anomaly detection.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