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Times New Roman" w:hAnsi="Times New Roman"/>
          <w:b/>
          <w:color w:val="1F4E79"/>
          <w:sz w:val="36"/>
        </w:rPr>
        <w:t>Unsupervised Anomaly Detection for Predictive Maintenance in Industrial IoT: A Systematic Empirical Comparison of Classical and Deep Learning Methods</w:t>
      </w:r>
    </w:p>
    <w:p>
      <w:pPr>
        <w:spacing w:before="40" w:after="100" w:line="276" w:lineRule="auto"/>
      </w:pPr>
      <w:r>
        <w:rPr>
          <w:rFonts w:ascii="Times New Roman" w:hAnsi="Times New Roman"/>
          <w:b/>
          <w:color w:val="262626"/>
          <w:sz w:val="22"/>
        </w:rPr>
        <w:t>Authors</w:t>
      </w:r>
      <w:r>
        <w:rPr>
          <w:rFonts w:ascii="Times New Roman" w:hAnsi="Times New Roman"/>
          <w:color w:val="262626"/>
          <w:sz w:val="22"/>
        </w:rPr>
        <w:t>: Anonymous Research Group</w:t>
      </w:r>
    </w:p>
    <w:p>
      <w:pPr>
        <w:spacing w:before="40" w:after="100" w:line="276" w:lineRule="auto"/>
      </w:pPr>
      <w:r>
        <w:rPr>
          <w:rFonts w:ascii="Times New Roman" w:hAnsi="Times New Roman"/>
          <w:b/>
          <w:color w:val="262626"/>
          <w:sz w:val="22"/>
        </w:rPr>
        <w:t>Target Venue</w:t>
      </w:r>
      <w:r>
        <w:rPr>
          <w:rFonts w:ascii="Times New Roman" w:hAnsi="Times New Roman"/>
          <w:color w:val="262626"/>
          <w:sz w:val="22"/>
        </w:rPr>
        <w:t>: IEEE Transactions on Industrial Informatics / IEEE Internet of Things Journal</w:t>
      </w:r>
    </w:p>
    <w:p>
      <w:pPr>
        <w:spacing w:before="120" w:after="120"/>
      </w:pPr>
      <w:r>
        <w:rPr>
          <w:color w:val="BDC3C7"/>
          <w:sz w:val="16"/>
        </w:rPr>
        <w:t>―――――――――――――――――――――――――――――――――――――――――――――――――――――――</w:t>
      </w:r>
    </w:p>
    <w:p>
      <w:pPr>
        <w:keepNext/>
        <w:spacing w:before="240" w:after="80"/>
      </w:pPr>
      <w:r>
        <w:rPr>
          <w:rFonts w:ascii="Times New Roman" w:hAnsi="Times New Roman"/>
          <w:b/>
          <w:color w:val="2E75B6"/>
          <w:sz w:val="28"/>
        </w:rPr>
        <w:t>Abstract</w:t>
      </w:r>
    </w:p>
    <w:p>
      <w:pPr>
        <w:spacing w:before="40" w:after="100" w:line="276" w:lineRule="auto"/>
      </w:pPr>
      <w:r>
        <w:rPr>
          <w:rFonts w:ascii="Times New Roman" w:hAnsi="Times New Roman"/>
          <w:color w:val="262626"/>
          <w:sz w:val="22"/>
        </w:rPr>
        <w:t>Predictive maintenance (PdM) is essential for maximizing operational reliability, extending asset life, and minimizing catastrophic downtime in Industrial Internet of Things (IIoT) infrastructure. Although deep learning architectures have gained significant traction for anomaly detection in multivariate time-series data, empirical studies often lack standardized benchmarking, fail to prevent temporal and machine-level data leakage, and evaluate models exclusively via point-wise classification metrics rather than prognostic early-warning capability. In this paper, we present a systematic, leakage-free empirical comparison of five unsupervised anomaly detection paradigms: a classical Statistical mean z-score baseline, Isolation Forest (IF), One-Class Support Vector Machine (OC-SVM), a Fully Connected Autoencoder (FC-AE), and a Long Short-Term Memory Autoencoder (LSTM-AE). Evaluated across all four sub-datasets of the NASA Turbofan Engine Degradation Simulation (C-MAPSS) benchmark, our findings challenge several pervasive assumptions: (1) On single-condition datasets (FD001), the simplest method—the mean z-score—attains an ROC-AUC of 0.985 ± 0.003 and F1 of 0.602, proving statistically indistinguishable from Isolation Forest ($p = 0.86$, paired $t$-test) while requiring negligible compute; (2) An empirical "classification-lead time paradox" is observed: while deep temporal models like LSTM-AE achieve lower point-wise F1-scores (0.429), they provide a 3- to 10-fold earlier warning (25 to 111 cycles before failure compared to 10 cycles for classical models); (3) All models suffer catastrophic failure when transferred across operating conditions (false alarm rates surging to 85–100%), yet Isolation Forest exhibits remarkable resilience to unseen fault modes under constant operating conditions (ROC-AUC = 0.904, F1 = 0.596). We conclude with concrete architectural recommendations and deployment trade-offs for edge and cloud IIoT systems.</w:t>
      </w:r>
    </w:p>
    <w:p>
      <w:pPr>
        <w:spacing w:before="40" w:after="100" w:line="276" w:lineRule="auto"/>
      </w:pPr>
      <w:r>
        <w:rPr>
          <w:rFonts w:ascii="Times New Roman" w:hAnsi="Times New Roman"/>
          <w:b/>
          <w:color w:val="262626"/>
          <w:sz w:val="22"/>
        </w:rPr>
        <w:t>Keywords</w:t>
      </w:r>
      <w:r>
        <w:rPr>
          <w:rFonts w:ascii="Times New Roman" w:hAnsi="Times New Roman"/>
          <w:color w:val="262626"/>
          <w:sz w:val="22"/>
        </w:rPr>
        <w:t>: Anomaly Detection, Predictive Maintenance, Industrial IoT, Unsupervised Learning, Autoencoder, LSTM, Isolation Forest, C-MAPSS.</w:t>
      </w:r>
    </w:p>
    <w:p>
      <w:pPr>
        <w:spacing w:before="120" w:after="120"/>
      </w:pPr>
      <w:r>
        <w:rPr>
          <w:color w:val="BDC3C7"/>
          <w:sz w:val="16"/>
        </w:rPr>
        <w:t>―――――――――――――――――――――――――――――――――――――――――――――――――――――――</w:t>
      </w:r>
    </w:p>
    <w:p>
      <w:pPr>
        <w:keepNext/>
        <w:spacing w:before="240" w:after="80"/>
      </w:pPr>
      <w:r>
        <w:rPr>
          <w:rFonts w:ascii="Times New Roman" w:hAnsi="Times New Roman"/>
          <w:b/>
          <w:color w:val="2E75B6"/>
          <w:sz w:val="28"/>
        </w:rPr>
        <w:t>1. Introduction</w:t>
      </w:r>
    </w:p>
    <w:p>
      <w:pPr>
        <w:spacing w:before="40" w:after="100" w:line="276" w:lineRule="auto"/>
      </w:pPr>
      <w:r>
        <w:rPr>
          <w:rFonts w:ascii="Times New Roman" w:hAnsi="Times New Roman"/>
          <w:color w:val="262626"/>
          <w:sz w:val="22"/>
        </w:rPr>
        <w:t>The rapid proliferation of the Industrial Internet of Things (IIoT) has catalyzed a fundamental paradigm shift in industrial asset management. Modern manufacturing facilities, power generation plants, aerospace fleets, and chemical refineries are now equipped with extensive sensor arrays that continuously stream multivariate telemetry—capturing temperatures, pressures, rotational speeds, and vibration spectra at high frequencies [1]. Within this data-rich landscape, predictive maintenance (PdM) has emerged as a cornerstone of Industry 4.0. Unlike reactive maintenance (repairing equipment post-failure) or preventive maintenance (servicing components according to rigid, conservative calendar schedules), PdM seeks to infer the true physical health of machinery in real time, anticipating impending failures before they culminate in catastrophic operational disruption [2, 6].</w:t>
      </w:r>
    </w:p>
    <w:p>
      <w:pPr>
        <w:spacing w:before="40" w:after="100" w:line="276" w:lineRule="auto"/>
      </w:pPr>
      <w:r>
        <w:rPr>
          <w:rFonts w:ascii="Times New Roman" w:hAnsi="Times New Roman"/>
          <w:color w:val="262626"/>
          <w:sz w:val="22"/>
        </w:rPr>
        <w:t>Despite this promise, applying machine learning to real-world industrial telemetry faces severe practical hurdles. Foremost among these is the profound scarcity of labeled failure data. In mission-critical environments, industrial equipment operates in healthy regimes for the overwhelming majority of its lifecycle. Run-to-failure events are rare, dangerous, and commercially intolerable. Consequently, historical operational archives are heavily dominated by nominal operational data, rendering fully supervised learning paradigms impractical for fleet-wide anomaly detection [2, 5]. Unsupervised anomaly detection—where algorithms learn the distribution, boundary, or manifold of healthy dynamics using exclusively normal data—represents the only viable alternative.</w:t>
      </w:r>
    </w:p>
    <w:p>
      <w:pPr>
        <w:spacing w:before="40" w:after="100" w:line="276" w:lineRule="auto"/>
      </w:pPr>
      <w:r>
        <w:rPr>
          <w:rFonts w:ascii="Times New Roman" w:hAnsi="Times New Roman"/>
          <w:color w:val="262626"/>
          <w:sz w:val="22"/>
        </w:rPr>
        <w:t>In response, recent academic literature has witnessed an explosion of complex deep learning architectures, encompassing deep autoencoders (AEs), recurrent autoencoders (LSTM-AEs), convolutional sequence networks, and temporal transformers [1, 4, 12]. The prevailing narrative posits that the intrinsic complexity, high dimensionality, and non-linear cross-channel correlations of industrial telemetry inherently necessitate deep, parameter-heavy neural networks.</w:t>
      </w:r>
    </w:p>
    <w:p>
      <w:pPr>
        <w:spacing w:before="40" w:after="100" w:line="276" w:lineRule="auto"/>
      </w:pPr>
      <w:r>
        <w:rPr>
          <w:rFonts w:ascii="Times New Roman" w:hAnsi="Times New Roman"/>
          <w:color w:val="262626"/>
          <w:sz w:val="22"/>
        </w:rPr>
        <w:t>However, a critical methodological evidence gap exists between academic enthusiasm and industrial reality:</w:t>
      </w:r>
    </w:p>
    <w:p>
      <w:pPr>
        <w:pStyle w:val="ListNumber"/>
        <w:spacing w:before="30" w:after="30" w:line="276" w:lineRule="auto"/>
      </w:pPr>
      <w:r>
        <w:rPr>
          <w:rFonts w:ascii="Times New Roman" w:hAnsi="Times New Roman"/>
          <w:b/>
          <w:color w:val="262626"/>
          <w:sz w:val="22"/>
        </w:rPr>
        <w:t>Pervasive Data Leakage</w:t>
      </w:r>
      <w:r>
        <w:rPr>
          <w:rFonts w:ascii="Times New Roman" w:hAnsi="Times New Roman"/>
          <w:color w:val="262626"/>
          <w:sz w:val="22"/>
        </w:rPr>
        <w:t>: Many published studies perform random observation-level shuffling across run-to-failure trajectories or compute normalization statistics (e.g., minimum, maximum, mean, variance) across entire datasets containing degraded and test phases. This leaks future degradation profiles into the training manifold, producing artificially inflated performance metrics.</w:t>
      </w:r>
    </w:p>
    <w:p>
      <w:pPr>
        <w:pStyle w:val="ListNumber"/>
        <w:spacing w:before="30" w:after="30" w:line="276" w:lineRule="auto"/>
      </w:pPr>
      <w:r>
        <w:rPr>
          <w:rFonts w:ascii="Times New Roman" w:hAnsi="Times New Roman"/>
          <w:b/>
          <w:color w:val="262626"/>
          <w:sz w:val="22"/>
        </w:rPr>
        <w:t>Absence of Rigorous Baselines</w:t>
      </w:r>
      <w:r>
        <w:rPr>
          <w:rFonts w:ascii="Times New Roman" w:hAnsi="Times New Roman"/>
          <w:color w:val="262626"/>
          <w:sz w:val="22"/>
        </w:rPr>
        <w:t>: Novel deep architectures are frequently evaluated against weak, misconfigured, or cherry-picked baselines—or compared solely against other deep models—omitting well-calibrated classical statistical detectors and established machine learning algorithms like Isolation Forest [7] and One-Class SVM [8].</w:t>
      </w:r>
    </w:p>
    <w:p>
      <w:pPr>
        <w:pStyle w:val="ListNumber"/>
        <w:spacing w:before="30" w:after="30" w:line="276" w:lineRule="auto"/>
      </w:pPr>
      <w:r>
        <w:rPr>
          <w:rFonts w:ascii="Times New Roman" w:hAnsi="Times New Roman"/>
          <w:b/>
          <w:color w:val="262626"/>
          <w:sz w:val="22"/>
        </w:rPr>
        <w:t>Point-Wise Classification vs. Prognostic Utility</w:t>
      </w:r>
      <w:r>
        <w:rPr>
          <w:rFonts w:ascii="Times New Roman" w:hAnsi="Times New Roman"/>
          <w:color w:val="262626"/>
          <w:sz w:val="22"/>
        </w:rPr>
        <w:t>: Evaluators frequently rely on conventional classification metrics (Precision, Recall, F1-score, ROC-AUC) computed per timestep against an arbitrary degradation cutoff. These metrics penalize early anomaly detections as false positives, creating a fundamental tension between high classification F1-scores and practical early-warning lead times.</w:t>
      </w:r>
    </w:p>
    <w:p>
      <w:pPr>
        <w:pStyle w:val="ListNumber"/>
        <w:spacing w:before="30" w:after="30" w:line="276" w:lineRule="auto"/>
      </w:pPr>
      <w:r>
        <w:rPr>
          <w:rFonts w:ascii="Times New Roman" w:hAnsi="Times New Roman"/>
          <w:b/>
          <w:color w:val="262626"/>
          <w:sz w:val="22"/>
        </w:rPr>
        <w:t>Lack of Statistical Significance and Cross-Condition Validation</w:t>
      </w:r>
      <w:r>
        <w:rPr>
          <w:rFonts w:ascii="Times New Roman" w:hAnsi="Times New Roman"/>
          <w:color w:val="262626"/>
          <w:sz w:val="22"/>
        </w:rPr>
        <w:t>: Reported results often stem from single, unseeded experimental runs on the simplest benchmark subset (FD001), ignoring multi-seed stability, threshold sensitivity, and the severe domain shifts induced by multi-regime operating conditions and novel fault mechanisms.</w:t>
      </w:r>
    </w:p>
    <w:p>
      <w:pPr>
        <w:spacing w:before="40" w:after="100" w:line="276" w:lineRule="auto"/>
      </w:pPr>
      <w:r>
        <w:rPr>
          <w:rFonts w:ascii="Times New Roman" w:hAnsi="Times New Roman"/>
          <w:color w:val="262626"/>
          <w:sz w:val="22"/>
        </w:rPr>
        <w:t>To bridge this gap, this paper presents a comprehensive, empirical investigation of unsupervised anomaly detection for predictive maintenance using the public NASA Turbofan Engine Degradation Simulation (C-MAPSS) benchmark [13].</w:t>
      </w:r>
    </w:p>
    <w:p>
      <w:pPr>
        <w:keepNext/>
        <w:spacing w:before="200" w:after="60"/>
      </w:pPr>
      <w:r>
        <w:rPr>
          <w:rFonts w:ascii="Times New Roman" w:hAnsi="Times New Roman"/>
          <w:b/>
          <w:color w:val="1F4E79"/>
          <w:sz w:val="24"/>
        </w:rPr>
        <w:t>Primary Research Question</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b/>
                <w:i/>
                <w:color w:val="1F4E79"/>
                <w:sz w:val="20"/>
              </w:rPr>
              <w:t>To what extent do unsupervised anomaly-detection methods differ in their ability to identify machine degradation and provide early failure warnings in multivariate industrial sensor data, when evaluated under a unified, methodologically rigorous framework with strict leakage prevention?</w:t>
            </w:r>
          </w:p>
        </w:tc>
      </w:tr>
    </w:tbl>
    <w:p>
      <w:pPr>
        <w:spacing w:before="40" w:after="100" w:line="276" w:lineRule="auto"/>
      </w:pPr>
      <w:r>
        <w:rPr>
          <w:rFonts w:ascii="Times New Roman" w:hAnsi="Times New Roman"/>
          <w:color w:val="262626"/>
          <w:sz w:val="22"/>
        </w:rPr>
        <w:t>To answer this overarching question, we formulate seven concrete sub-questions:</w:t>
      </w:r>
    </w:p>
    <w:p>
      <w:pPr>
        <w:pStyle w:val="ListBullet"/>
        <w:spacing w:before="30" w:after="30" w:line="276" w:lineRule="auto"/>
      </w:pPr>
      <w:r>
        <w:rPr>
          <w:rFonts w:ascii="Times New Roman" w:hAnsi="Times New Roman"/>
          <w:b/>
          <w:color w:val="262626"/>
          <w:sz w:val="22"/>
        </w:rPr>
        <w:t>RQ1 (Fair Model Comparison)</w:t>
      </w:r>
      <w:r>
        <w:rPr>
          <w:rFonts w:ascii="Times New Roman" w:hAnsi="Times New Roman"/>
          <w:color w:val="262626"/>
          <w:sz w:val="22"/>
        </w:rPr>
        <w:t>: When classical statistical baselines, Isolation Forest, One-Class SVM, Feedforward Autoencoders, and LSTM Autoencoders are evaluated under identical engine-level splits, train-only normalization, validation-only threshold selection, and identical metrics, how do their detection capabilities compare?</w:t>
      </w:r>
    </w:p>
    <w:p>
      <w:pPr>
        <w:pStyle w:val="ListBullet"/>
        <w:spacing w:before="30" w:after="30" w:line="276" w:lineRule="auto"/>
      </w:pPr>
      <w:r>
        <w:rPr>
          <w:rFonts w:ascii="Times New Roman" w:hAnsi="Times New Roman"/>
          <w:b/>
          <w:color w:val="262626"/>
          <w:sz w:val="22"/>
        </w:rPr>
        <w:t>RQ2 (Temporal Modeling Utility)</w:t>
      </w:r>
      <w:r>
        <w:rPr>
          <w:rFonts w:ascii="Times New Roman" w:hAnsi="Times New Roman"/>
          <w:color w:val="262626"/>
          <w:sz w:val="22"/>
        </w:rPr>
        <w:t>: Does temporal modeling via an LSTM Autoencoder capture degradation patterns more effectively than static models that treat observations independently?</w:t>
      </w:r>
    </w:p>
    <w:p>
      <w:pPr>
        <w:pStyle w:val="ListBullet"/>
        <w:spacing w:before="30" w:after="30" w:line="276" w:lineRule="auto"/>
      </w:pPr>
      <w:r>
        <w:rPr>
          <w:rFonts w:ascii="Times New Roman" w:hAnsi="Times New Roman"/>
          <w:b/>
          <w:color w:val="262626"/>
          <w:sz w:val="22"/>
        </w:rPr>
        <w:t>RQ3 (Operating Condition Complexity)</w:t>
      </w:r>
      <w:r>
        <w:rPr>
          <w:rFonts w:ascii="Times New Roman" w:hAnsi="Times New Roman"/>
          <w:color w:val="262626"/>
          <w:sz w:val="22"/>
        </w:rPr>
        <w:t>: How does the performance of each paradigm change as the operational environment transitions from single operating regimes (FD001, FD003) to complex, multi-regime flight envelopes (FD002, FD004)?</w:t>
      </w:r>
    </w:p>
    <w:p>
      <w:pPr>
        <w:pStyle w:val="ListBullet"/>
        <w:spacing w:before="30" w:after="30" w:line="276" w:lineRule="auto"/>
      </w:pPr>
      <w:r>
        <w:rPr>
          <w:rFonts w:ascii="Times New Roman" w:hAnsi="Times New Roman"/>
          <w:b/>
          <w:color w:val="262626"/>
          <w:sz w:val="22"/>
        </w:rPr>
        <w:t>RQ4 (Early Warning Lead Time)</w:t>
      </w:r>
      <w:r>
        <w:rPr>
          <w:rFonts w:ascii="Times New Roman" w:hAnsi="Times New Roman"/>
          <w:color w:val="262626"/>
          <w:sz w:val="22"/>
        </w:rPr>
        <w:t>: For each method, how many operational cycles before mechanical failure does the first sustained anomaly warning trigger, and how does this lead time distribute across distinct physical engines?</w:t>
      </w:r>
    </w:p>
    <w:p>
      <w:pPr>
        <w:pStyle w:val="ListBullet"/>
        <w:spacing w:before="30" w:after="30" w:line="276" w:lineRule="auto"/>
      </w:pPr>
      <w:r>
        <w:rPr>
          <w:rFonts w:ascii="Times New Roman" w:hAnsi="Times New Roman"/>
          <w:b/>
          <w:color w:val="262626"/>
          <w:sz w:val="22"/>
        </w:rPr>
        <w:t>RQ5 (Threshold Sensitivity &amp; False Alarm Dynamics)</w:t>
      </w:r>
      <w:r>
        <w:rPr>
          <w:rFonts w:ascii="Times New Roman" w:hAnsi="Times New Roman"/>
          <w:color w:val="262626"/>
          <w:sz w:val="22"/>
        </w:rPr>
        <w:t>: How sensitive is each paradigm to the choice of anomaly threshold, and how do different mathematical thresholding strategies alter the trade-off between sensitivity and false alarm rate (FAR)?</w:t>
      </w:r>
    </w:p>
    <w:p>
      <w:pPr>
        <w:pStyle w:val="ListBullet"/>
        <w:spacing w:before="30" w:after="30" w:line="276" w:lineRule="auto"/>
      </w:pPr>
      <w:r>
        <w:rPr>
          <w:rFonts w:ascii="Times New Roman" w:hAnsi="Times New Roman"/>
          <w:b/>
          <w:color w:val="262626"/>
          <w:sz w:val="22"/>
        </w:rPr>
        <w:t>RQ6 (Cross-Condition and Fault-Mode Generalization)</w:t>
      </w:r>
      <w:r>
        <w:rPr>
          <w:rFonts w:ascii="Times New Roman" w:hAnsi="Times New Roman"/>
          <w:color w:val="262626"/>
          <w:sz w:val="22"/>
        </w:rPr>
        <w:t>: How robust are models trained in benign, single-condition regimes when deployed without retraining into multi-condition environments or unseen physical failure modes?</w:t>
      </w:r>
    </w:p>
    <w:p>
      <w:pPr>
        <w:pStyle w:val="ListBullet"/>
        <w:spacing w:before="30" w:after="30" w:line="276" w:lineRule="auto"/>
      </w:pPr>
      <w:r>
        <w:rPr>
          <w:rFonts w:ascii="Times New Roman" w:hAnsi="Times New Roman"/>
          <w:b/>
          <w:color w:val="262626"/>
          <w:sz w:val="22"/>
        </w:rPr>
        <w:t>RQ7 (Complexity vs. Performance Justification)</w:t>
      </w:r>
      <w:r>
        <w:rPr>
          <w:rFonts w:ascii="Times New Roman" w:hAnsi="Times New Roman"/>
          <w:color w:val="262626"/>
          <w:sz w:val="22"/>
        </w:rPr>
        <w:t>: Does the marginal detection gain or early-warning advantage provided by deep neural networks justify their orders-of-magnitude increase in parameter count, training latency, and computational footprint?</w:t>
      </w:r>
    </w:p>
    <w:p>
      <w:pPr>
        <w:keepNext/>
        <w:spacing w:before="200" w:after="60"/>
      </w:pPr>
      <w:r>
        <w:rPr>
          <w:rFonts w:ascii="Times New Roman" w:hAnsi="Times New Roman"/>
          <w:b/>
          <w:color w:val="1F4E79"/>
          <w:sz w:val="24"/>
        </w:rPr>
        <w:t>Key Contributions</w:t>
      </w:r>
    </w:p>
    <w:p>
      <w:pPr>
        <w:spacing w:before="40" w:after="100" w:line="276" w:lineRule="auto"/>
      </w:pPr>
      <w:r>
        <w:rPr>
          <w:rFonts w:ascii="Times New Roman" w:hAnsi="Times New Roman"/>
          <w:color w:val="262626"/>
          <w:sz w:val="22"/>
        </w:rPr>
        <w:t>Our contributions are summarized as follows:</w:t>
      </w:r>
    </w:p>
    <w:p>
      <w:pPr>
        <w:pStyle w:val="ListNumber"/>
        <w:spacing w:before="30" w:after="30" w:line="276" w:lineRule="auto"/>
      </w:pPr>
      <w:r>
        <w:rPr>
          <w:rFonts w:ascii="Times New Roman" w:hAnsi="Times New Roman"/>
          <w:b/>
          <w:color w:val="262626"/>
          <w:sz w:val="22"/>
        </w:rPr>
        <w:t>A Unified, Leakage-Free Benchmarking Framework</w:t>
      </w:r>
      <w:r>
        <w:rPr>
          <w:rFonts w:ascii="Times New Roman" w:hAnsi="Times New Roman"/>
          <w:color w:val="262626"/>
          <w:sz w:val="22"/>
        </w:rPr>
        <w:t>: We establish an open-source, strictly controlled experimental protocol enforcing engine-level splits (70% train, 15% validation, 15% test), train-only standardization, validation-only threshold determination, and non-overlapping sequence construction.</w:t>
      </w:r>
    </w:p>
    <w:p>
      <w:pPr>
        <w:pStyle w:val="ListNumber"/>
        <w:spacing w:before="30" w:after="30" w:line="276" w:lineRule="auto"/>
      </w:pPr>
      <w:r>
        <w:rPr>
          <w:rFonts w:ascii="Times New Roman" w:hAnsi="Times New Roman"/>
          <w:b/>
          <w:color w:val="262626"/>
          <w:sz w:val="22"/>
        </w:rPr>
        <w:t>Multi-Paradigm Empirical Evaluation</w:t>
      </w:r>
      <w:r>
        <w:rPr>
          <w:rFonts w:ascii="Times New Roman" w:hAnsi="Times New Roman"/>
          <w:color w:val="262626"/>
          <w:sz w:val="22"/>
        </w:rPr>
        <w:t>: We benchmark five distinct algorithmic archetypes across all four C-MAPSS sub-datasets (FD001–FD004), spanning classical statistics (Mean and Max Z-score), tree-based space partitioning (Isolation Forest), kernel boundary estimation (One-Class SVM), feedforward bottleneck reconstruction (FC-AE, 8,163 parameters), and recurrent temporal sequence reconstruction (LSTM-AE, 116,723 parameters).</w:t>
      </w:r>
    </w:p>
    <w:p>
      <w:pPr>
        <w:pStyle w:val="ListNumber"/>
        <w:spacing w:before="30" w:after="30" w:line="276" w:lineRule="auto"/>
      </w:pPr>
      <w:r>
        <w:rPr>
          <w:rFonts w:ascii="Times New Roman" w:hAnsi="Times New Roman"/>
          <w:b/>
          <w:color w:val="262626"/>
          <w:sz w:val="22"/>
        </w:rPr>
        <w:t>Rigorous Multi-Seed Statistical Validation</w:t>
      </w:r>
      <w:r>
        <w:rPr>
          <w:rFonts w:ascii="Times New Roman" w:hAnsi="Times New Roman"/>
          <w:color w:val="262626"/>
          <w:sz w:val="22"/>
        </w:rPr>
        <w:t>: We execute all experiments across five distinct random seeds (42, 123, 456, 789, 1024) and conduct Wilcoxon signed-rank and paired $t$-tests to assess the statistical significance of observed performance differentials.</w:t>
      </w:r>
    </w:p>
    <w:p>
      <w:pPr>
        <w:pStyle w:val="ListNumber"/>
        <w:spacing w:before="30" w:after="30" w:line="276" w:lineRule="auto"/>
      </w:pPr>
      <w:r>
        <w:rPr>
          <w:rFonts w:ascii="Times New Roman" w:hAnsi="Times New Roman"/>
          <w:b/>
          <w:color w:val="262626"/>
          <w:sz w:val="22"/>
        </w:rPr>
        <w:t>Unveiling the Classification-Lead Time Paradox</w:t>
      </w:r>
      <w:r>
        <w:rPr>
          <w:rFonts w:ascii="Times New Roman" w:hAnsi="Times New Roman"/>
          <w:color w:val="262626"/>
          <w:sz w:val="22"/>
        </w:rPr>
        <w:t>: We formally demonstrate that standard point-wise classification metrics inversely correlate with prognostic utility. Deep recurrent models (LSTM-AE) yield lower point F1-scores precisely because they trigger sustained warnings 25 to 111 cycles in advance of failure, whereas classical models achieve high F1 by triggering abruptly within 10 cycles of catastrophic failure.</w:t>
      </w:r>
    </w:p>
    <w:p>
      <w:pPr>
        <w:pStyle w:val="ListNumber"/>
        <w:spacing w:before="30" w:after="30" w:line="276" w:lineRule="auto"/>
      </w:pPr>
      <w:r>
        <w:rPr>
          <w:rFonts w:ascii="Times New Roman" w:hAnsi="Times New Roman"/>
          <w:b/>
          <w:color w:val="262626"/>
          <w:sz w:val="22"/>
        </w:rPr>
        <w:t>Systematic Threshold and Domain Shift Ablation</w:t>
      </w:r>
      <w:r>
        <w:rPr>
          <w:rFonts w:ascii="Times New Roman" w:hAnsi="Times New Roman"/>
          <w:color w:val="262626"/>
          <w:sz w:val="22"/>
        </w:rPr>
        <w:t>: We evaluate seven distinct threshold selection rules and conduct full cross-dataset transfer experiments (FD001 $\rightarrow$ FD002, FD003, FD004), demonstrating that while aerodynamic regime shifts induce catastrophic failure across all architectures, Isolation Forest exhibits unique, unexpected robustness to novel mechanical fault modes.</w:t>
      </w:r>
    </w:p>
    <w:p>
      <w:pPr>
        <w:spacing w:before="120" w:after="120"/>
      </w:pPr>
      <w:r>
        <w:rPr>
          <w:color w:val="BDC3C7"/>
          <w:sz w:val="16"/>
        </w:rPr>
        <w:t>―――――――――――――――――――――――――――――――――――――――――――――――――――――――</w:t>
      </w:r>
    </w:p>
    <w:p>
      <w:pPr>
        <w:keepNext/>
        <w:spacing w:before="240" w:after="80"/>
      </w:pPr>
      <w:r>
        <w:rPr>
          <w:rFonts w:ascii="Times New Roman" w:hAnsi="Times New Roman"/>
          <w:b/>
          <w:color w:val="2E75B6"/>
          <w:sz w:val="28"/>
        </w:rPr>
        <w:t>2. Related Work</w:t>
      </w:r>
    </w:p>
    <w:p>
      <w:pPr>
        <w:keepNext/>
        <w:spacing w:before="200" w:after="60"/>
      </w:pPr>
      <w:r>
        <w:rPr>
          <w:rFonts w:ascii="Times New Roman" w:hAnsi="Times New Roman"/>
          <w:b/>
          <w:color w:val="1F4E79"/>
          <w:sz w:val="24"/>
        </w:rPr>
        <w:t>2.1 Industrial Anomaly Detection</w:t>
      </w:r>
    </w:p>
    <w:p>
      <w:pPr>
        <w:spacing w:before="40" w:after="100" w:line="276" w:lineRule="auto"/>
      </w:pPr>
      <w:r>
        <w:rPr>
          <w:rFonts w:ascii="Times New Roman" w:hAnsi="Times New Roman"/>
          <w:color w:val="262626"/>
          <w:sz w:val="22"/>
        </w:rPr>
        <w:t>Anomaly detection in industrial cyber-physical systems has a rich history rooted in statistical process control (SPC) and classical multivariate data analysis [2, 5]. Early methodologies focused on multivariate control charts, such as Hotelling’s $T^2$ and multivariate cumulative sum (MCUSUM) schemes, which assume that underlying sensor observations conform to multivariate Gaussian distributions. When dealing with high-dimensional sensory streams, linear dimensionality reduction methods such as Principal Component Analysis (PCA) and kernel PCA were deployed to project nominal dynamics into orthogonal sub-spaces, flagging observations whose squared prediction error (SPE) or Hotelling's $T^2$ exceeded theoretical thresholds [2].</w:t>
      </w:r>
    </w:p>
    <w:p>
      <w:pPr>
        <w:spacing w:before="40" w:after="100" w:line="276" w:lineRule="auto"/>
      </w:pPr>
      <w:r>
        <w:rPr>
          <w:rFonts w:ascii="Times New Roman" w:hAnsi="Times New Roman"/>
          <w:color w:val="262626"/>
          <w:sz w:val="22"/>
        </w:rPr>
        <w:t>With the rise of non-parametric machine learning, distance-based and density-based detectors gained prominence. Local Outlier Factor (LOF) and $k$-Nearest Neighbors ($k$-NN) quantify local density deviations but suffer from prohibitive quadratic computational complexity during inference [5]. To achieve edge-deployable scalability, Liu et al. [7] introduced the Isolation Forest (IF) algorithm. Isolation Forest isolates anomalies by recursively partitioning feature space using randomly selected split values, exploiting the structural vulnerability of anomalies to shallow tree depths. Concurrently, Schölkopf et al. [8] proposed the One-Class Support Vector Machine (OC-SVM), which maps nominal observations into a high-dimensional reproducing kernel Hilbert space (RKHS) and optimizes a maximum-margin hyperplane separating nominal data from the origin. While both IF and OC-SVM have become standard benchmarks in tabular anomaly detection, their capacity to model complex temporal cross-correlations without explicit feature engineering remains limited [1].</w:t>
      </w:r>
    </w:p>
    <w:p>
      <w:pPr>
        <w:keepNext/>
        <w:spacing w:before="200" w:after="60"/>
      </w:pPr>
      <w:r>
        <w:rPr>
          <w:rFonts w:ascii="Times New Roman" w:hAnsi="Times New Roman"/>
          <w:b/>
          <w:color w:val="1F4E79"/>
          <w:sz w:val="24"/>
        </w:rPr>
        <w:t>2.2 Deep Learning for Anomaly Detection</w:t>
      </w:r>
    </w:p>
    <w:p>
      <w:pPr>
        <w:spacing w:before="40" w:after="100" w:line="276" w:lineRule="auto"/>
      </w:pPr>
      <w:r>
        <w:rPr>
          <w:rFonts w:ascii="Times New Roman" w:hAnsi="Times New Roman"/>
          <w:color w:val="262626"/>
          <w:sz w:val="22"/>
        </w:rPr>
        <w:t>Driven by deep learning's breakthroughs in vision and natural language, deep generative and reconstruction-based architectures have emerged as the dominant paradigm for multivariate industrial anomaly detection [1, 3, 5]. The foundational premise of reconstruction-based anomaly detection rests on representation learning: an encoder compresses nominal input vectors into a lower-dimensional latent bottleneck, and a decoder attempts to reconstruct the original input [3, 9]. When trained exclusively on nominal operational states via Mean Squared Error (MSE), the network optimizes its weights to reconstruct healthy operational manifolds. When anomalous degradation patterns occur, the network fails to reconstruct the unfamiliar sensor interactions, producing elevated reconstruction residuals that serve as anomaly scores [4].</w:t>
      </w:r>
    </w:p>
    <w:p>
      <w:pPr>
        <w:spacing w:before="40" w:after="100" w:line="276" w:lineRule="auto"/>
      </w:pPr>
      <w:r>
        <w:rPr>
          <w:rFonts w:ascii="Times New Roman" w:hAnsi="Times New Roman"/>
          <w:color w:val="262626"/>
          <w:sz w:val="22"/>
        </w:rPr>
        <w:t>Building upon standard fully connected autoencoders (FC-AE) and Denoising Autoencoders (DAE) [9], Kingma and Welling [10] introduced Variational Autoencoders (VAEs), which enforce a probabilistic prior over the latent distribution, enabling reconstruction probability estimation. To incorporate temporal dynamics, Malhotra et al. [4] proposed the LSTM Autoencoder (LSTM-AE). By replacing linear layers with Long Short-Term Memory (LSTM) cells [11], the model encodes historical sliding windows of sensor sequences into a fixed-length temporal latent vector, which is subsequently unrolled by an LSTM decoder to reconstruct the input sequence. More recently, temporal convolutional networks (TCNs) and multi-head self-attention mechanisms [12] have been investigated to capture long-range temporal dependencies. However, these complex architectures introduce tens to hundreds of thousands of trainable weights, raising questions regarding training stability, hyperparameter sensitivity, and edge deployment feasibility.</w:t>
      </w:r>
    </w:p>
    <w:p>
      <w:pPr>
        <w:keepNext/>
        <w:spacing w:before="200" w:after="60"/>
      </w:pPr>
      <w:r>
        <w:rPr>
          <w:rFonts w:ascii="Times New Roman" w:hAnsi="Times New Roman"/>
          <w:b/>
          <w:color w:val="1F4E79"/>
          <w:sz w:val="24"/>
        </w:rPr>
        <w:t>2.3 The C-MAPSS Benchmark</w:t>
      </w:r>
    </w:p>
    <w:p>
      <w:pPr>
        <w:spacing w:before="40" w:after="100" w:line="276" w:lineRule="auto"/>
      </w:pPr>
      <w:r>
        <w:rPr>
          <w:rFonts w:ascii="Times New Roman" w:hAnsi="Times New Roman"/>
          <w:color w:val="262626"/>
          <w:sz w:val="22"/>
        </w:rPr>
        <w:t>The Commercial Modular Aero-Propulsion System Simulation (C-MAPSS) dataset, released by Saxena et al. [13] at NASA Ames Research Center, is the benchmark for predictive maintenance and machinery prognostics [6]. C-MAPSS simulates the thermodynamic degradation of commercial turbofan engines across hundreds of operational flights. The repository comprises four distinct sub-datasets (FD001 through FD004) that systematically vary operational complexity: FD001 models a single flight condition with high-pressure compressor (HPC) degradation; FD002 expands the operational profile to six distinct flight conditions; FD003 incorporates two concurrent fault modes (HPC and fan degradation) under a single operating condition; and FD004 combines both six flight regimes and two fault modes.</w:t>
      </w:r>
    </w:p>
    <w:p>
      <w:pPr>
        <w:spacing w:before="40" w:after="100" w:line="276" w:lineRule="auto"/>
      </w:pPr>
      <w:r>
        <w:rPr>
          <w:rFonts w:ascii="Times New Roman" w:hAnsi="Times New Roman"/>
          <w:color w:val="262626"/>
          <w:sz w:val="22"/>
        </w:rPr>
        <w:t>Historically, the vast majority of C-MAPSS literature has framed the problem as supervised Remaining Useful Life (RUL) regression [6, 14, 15]. Pioneering works by Zheng et al. [14] and Li et al. [15] trained deep LSTMs and convolutional neural networks directly on run-to-failure trajectories with piecewise linear RUL target labels. While supervised RUL estimation yields precise time-to-failure estimates when complete historical run-to-failure trajectories are abundant, it is inapplicable to real-world industrial deployments where failure labels do not exist. Consequently, a growing subset of studies has pivoted toward unsupervised anomaly detection on C-MAPSS [4, 6].</w:t>
      </w:r>
    </w:p>
    <w:p>
      <w:pPr>
        <w:keepNext/>
        <w:spacing w:before="200" w:after="60"/>
      </w:pPr>
      <w:r>
        <w:rPr>
          <w:rFonts w:ascii="Times New Roman" w:hAnsi="Times New Roman"/>
          <w:b/>
          <w:color w:val="1F4E79"/>
          <w:sz w:val="24"/>
        </w:rPr>
        <w:t>2.4 Research Gap</w:t>
      </w:r>
    </w:p>
    <w:p>
      <w:pPr>
        <w:spacing w:before="40" w:after="100" w:line="276" w:lineRule="auto"/>
      </w:pPr>
      <w:r>
        <w:rPr>
          <w:rFonts w:ascii="Times New Roman" w:hAnsi="Times New Roman"/>
          <w:color w:val="262626"/>
          <w:sz w:val="22"/>
        </w:rPr>
        <w:t>Despite the volume of literature surrounding C-MAPSS and deep anomaly detection, a rigorous examination of published studies reveals substantial methodological limitations:</w:t>
      </w:r>
    </w:p>
    <w:p>
      <w:pPr>
        <w:pStyle w:val="ListBullet"/>
        <w:spacing w:before="30" w:after="30" w:line="276" w:lineRule="auto"/>
      </w:pPr>
      <w:r>
        <w:rPr>
          <w:rFonts w:ascii="Times New Roman" w:hAnsi="Times New Roman"/>
          <w:b/>
          <w:color w:val="262626"/>
          <w:sz w:val="22"/>
        </w:rPr>
        <w:t>Baseline Asymmetry</w:t>
      </w:r>
      <w:r>
        <w:rPr>
          <w:rFonts w:ascii="Times New Roman" w:hAnsi="Times New Roman"/>
          <w:color w:val="262626"/>
          <w:sz w:val="22"/>
        </w:rPr>
        <w:t>: Deep learning papers routinely compare newly proposed networks against simplistic or untrained baselines, rarely optimizing Isolation Forest or OC-SVM to their full capacity under identical preprocessing [1, 5].</w:t>
      </w:r>
    </w:p>
    <w:p>
      <w:pPr>
        <w:pStyle w:val="ListBullet"/>
        <w:spacing w:before="30" w:after="30" w:line="276" w:lineRule="auto"/>
      </w:pPr>
      <w:r>
        <w:rPr>
          <w:rFonts w:ascii="Times New Roman" w:hAnsi="Times New Roman"/>
          <w:b/>
          <w:color w:val="262626"/>
          <w:sz w:val="22"/>
        </w:rPr>
        <w:t>Methodological Leakage</w:t>
      </w:r>
      <w:r>
        <w:rPr>
          <w:rFonts w:ascii="Times New Roman" w:hAnsi="Times New Roman"/>
          <w:color w:val="262626"/>
          <w:sz w:val="22"/>
        </w:rPr>
        <w:t>: Many benchmark comparisons split data randomly across all engine cycles. Because degradation is temporally auto-correlated, random splitting leaks future degradation knowledge into the training set, invalidating reported F1 and ROC-AUC metrics.</w:t>
      </w:r>
    </w:p>
    <w:p>
      <w:pPr>
        <w:pStyle w:val="ListBullet"/>
        <w:spacing w:before="30" w:after="30" w:line="276" w:lineRule="auto"/>
      </w:pPr>
      <w:r>
        <w:rPr>
          <w:rFonts w:ascii="Times New Roman" w:hAnsi="Times New Roman"/>
          <w:b/>
          <w:color w:val="262626"/>
          <w:sz w:val="22"/>
        </w:rPr>
        <w:t>Metric Misalignment</w:t>
      </w:r>
      <w:r>
        <w:rPr>
          <w:rFonts w:ascii="Times New Roman" w:hAnsi="Times New Roman"/>
          <w:color w:val="262626"/>
          <w:sz w:val="22"/>
        </w:rPr>
        <w:t>: Studies overwhelmingly report point-wise F1, Precision, and Recall evaluated at an arbitrary cycle threshold (e.g., $RUL \le 30$). These metrics fail to capture the operational value of early-warning alerts and penalize architectures that proactively flag incipient physical degradation [6].</w:t>
      </w:r>
    </w:p>
    <w:p>
      <w:pPr>
        <w:pStyle w:val="ListBullet"/>
        <w:spacing w:before="30" w:after="30" w:line="276" w:lineRule="auto"/>
      </w:pPr>
      <w:r>
        <w:rPr>
          <w:rFonts w:ascii="Times New Roman" w:hAnsi="Times New Roman"/>
          <w:b/>
          <w:color w:val="262626"/>
          <w:sz w:val="22"/>
        </w:rPr>
        <w:t>Omission of Domain Shift and Multi-Seed Rigor</w:t>
      </w:r>
      <w:r>
        <w:rPr>
          <w:rFonts w:ascii="Times New Roman" w:hAnsi="Times New Roman"/>
          <w:color w:val="262626"/>
          <w:sz w:val="22"/>
        </w:rPr>
        <w:t>: Few studies evaluate how models trained on nominal engines withstand multi-condition aerodynamic variations (FD002/FD004) or transfer across distinct failure modes (FD001 $\rightarrow$ FD003). Furthermore, variance across random weight initializations is seldom reported, masking model instability.</w:t>
      </w:r>
    </w:p>
    <w:p>
      <w:pPr>
        <w:spacing w:before="40" w:after="100" w:line="276" w:lineRule="auto"/>
      </w:pPr>
      <w:r>
        <w:rPr>
          <w:rFonts w:ascii="Times New Roman" w:hAnsi="Times New Roman"/>
          <w:color w:val="262626"/>
          <w:sz w:val="22"/>
        </w:rPr>
        <w:t>This study directly addresses these shortcomings through a unified, reproducible, and leakage-free benchmark.</w:t>
      </w:r>
    </w:p>
    <w:p>
      <w:pPr>
        <w:spacing w:before="120" w:after="120"/>
      </w:pPr>
      <w:r>
        <w:rPr>
          <w:color w:val="BDC3C7"/>
          <w:sz w:val="16"/>
        </w:rPr>
        <w:t>―――――――――――――――――――――――――――――――――――――――――――――――――――――――</w:t>
      </w:r>
    </w:p>
    <w:p>
      <w:pPr>
        <w:keepNext/>
        <w:spacing w:before="240" w:after="80"/>
      </w:pPr>
      <w:r>
        <w:rPr>
          <w:rFonts w:ascii="Times New Roman" w:hAnsi="Times New Roman"/>
          <w:b/>
          <w:color w:val="2E75B6"/>
          <w:sz w:val="28"/>
        </w:rPr>
        <w:t>3. Methodology</w:t>
      </w:r>
    </w:p>
    <w:p>
      <w:pPr>
        <w:keepNext/>
        <w:spacing w:before="200" w:after="60"/>
      </w:pPr>
      <w:r>
        <w:rPr>
          <w:rFonts w:ascii="Times New Roman" w:hAnsi="Times New Roman"/>
          <w:b/>
          <w:color w:val="1F4E79"/>
          <w:sz w:val="24"/>
        </w:rPr>
        <w:t>3.1 Problem Formulation and Mathematical Notation</w:t>
      </w:r>
    </w:p>
    <w:p>
      <w:pPr>
        <w:spacing w:before="40" w:after="100" w:line="276" w:lineRule="auto"/>
      </w:pPr>
      <w:r>
        <w:rPr>
          <w:rFonts w:ascii="Times New Roman" w:hAnsi="Times New Roman"/>
          <w:color w:val="262626"/>
          <w:sz w:val="22"/>
        </w:rPr>
        <w:t>Let an industrial fleet consist of a set of engines $\mathcal{E}$. For any engine $e \in \mathcal{E}$, operational telemetry is recorded as an ordered multivariate time series $X^{(e)} = [x_1^{(e)}, x_2^{(e)}, \dots, x_{T_e}^{(e)}]^\top \in \mathbb{R}^{T_e \times d}$, where $T_e$ denotes the terminal cycle at which engine $e$ suffers complete functional failure, and $d$ denotes the number of active sensor channels. Each vector $x_t^{(e)} \in \mathbb{R}^d$ represents sensor measurements recorded at operational cycle $t$.</w:t>
      </w:r>
    </w:p>
    <w:p>
      <w:pPr>
        <w:spacing w:before="40" w:after="100" w:line="276" w:lineRule="auto"/>
      </w:pPr>
      <w:r>
        <w:rPr>
          <w:rFonts w:ascii="Times New Roman" w:hAnsi="Times New Roman"/>
          <w:color w:val="262626"/>
          <w:sz w:val="22"/>
        </w:rPr>
        <w:t>In an unsupervised predictive maintenance setting, we assume access to a training fleet $\mathcal{E}_{train}$. For each training engine $e \in \mathcal{E}_{train}$, degradation is assumed to be absent during early operational life. Formally, we define the healthy operating regime as the initial fraction $\alpha \in (0, 1)$ of the engine's lifespan:</w:t>
      </w:r>
    </w:p>
    <w:p>
      <w:pPr>
        <w:spacing w:before="40" w:after="100" w:line="276" w:lineRule="auto"/>
      </w:pPr>
      <w:r>
        <w:rPr>
          <w:rFonts w:ascii="Times New Roman" w:hAnsi="Times New Roman"/>
          <w:color w:val="262626"/>
          <w:sz w:val="22"/>
        </w:rPr>
        <w:t>$$\mathcal{T}_{healthy}^{(e)} = \{t \in \mathbb{N} \mid 1 \le t \le \lfloor \alpha \cdot T_e \rfloor\}$$</w:t>
      </w:r>
    </w:p>
    <w:p>
      <w:pPr>
        <w:spacing w:before="40" w:after="100" w:line="276" w:lineRule="auto"/>
      </w:pPr>
      <w:r>
        <w:rPr>
          <w:rFonts w:ascii="Times New Roman" w:hAnsi="Times New Roman"/>
          <w:color w:val="262626"/>
          <w:sz w:val="22"/>
        </w:rPr>
        <w:t>Following standard prognostic assumptions [4, 13], we set $\alpha = 0.70$. The training dataset is thus formulated as:</w:t>
      </w:r>
    </w:p>
    <w:p>
      <w:pPr>
        <w:spacing w:before="40" w:after="100" w:line="276" w:lineRule="auto"/>
      </w:pPr>
      <w:r>
        <w:rPr>
          <w:rFonts w:ascii="Times New Roman" w:hAnsi="Times New Roman"/>
          <w:color w:val="262626"/>
          <w:sz w:val="22"/>
        </w:rPr>
        <w:t>$$\mathcal{D}_{train} = \bigcup_{e \in \mathcal{E}_{train}} \{x_t^{(e)} \mid t \in \mathcal{T}_{healthy}^{(e)}\}$$</w:t>
      </w:r>
    </w:p>
    <w:p>
      <w:pPr>
        <w:spacing w:before="40" w:after="100" w:line="276" w:lineRule="auto"/>
      </w:pPr>
      <w:r>
        <w:rPr>
          <w:rFonts w:ascii="Times New Roman" w:hAnsi="Times New Roman"/>
          <w:color w:val="262626"/>
          <w:sz w:val="22"/>
        </w:rPr>
        <w:t>An anomaly detection model is parameterized to map an observed sensor measurement $x_t$ (or a temporal history window $X_{t-W+1:t} \in \mathbb{R}^{W \times d}$) to a continuous scalar anomaly score $s_t \in \mathbb{R}_{\ge 0}$:</w:t>
      </w:r>
    </w:p>
    <w:p>
      <w:pPr>
        <w:spacing w:before="40" w:after="100" w:line="276" w:lineRule="auto"/>
      </w:pPr>
      <w:r>
        <w:rPr>
          <w:rFonts w:ascii="Times New Roman" w:hAnsi="Times New Roman"/>
          <w:color w:val="262626"/>
          <w:sz w:val="22"/>
        </w:rPr>
        <w:t>$$s_t = f(X_{t-W+1:t}; \Theta)$$</w:t>
      </w:r>
    </w:p>
    <w:p>
      <w:pPr>
        <w:spacing w:before="40" w:after="100" w:line="276" w:lineRule="auto"/>
      </w:pPr>
      <w:r>
        <w:rPr>
          <w:rFonts w:ascii="Times New Roman" w:hAnsi="Times New Roman"/>
          <w:color w:val="262626"/>
          <w:sz w:val="22"/>
        </w:rPr>
        <w:t>Given a decision threshold $\tau \in \mathbb{R}$, the binary anomaly prediction $\hat{y}_t \in \{0, 1\}$ at cycle $t$ is defined as:</w:t>
      </w:r>
    </w:p>
    <w:p>
      <w:pPr>
        <w:spacing w:before="40" w:after="100" w:line="276" w:lineRule="auto"/>
      </w:pPr>
      <w:r>
        <w:rPr>
          <w:rFonts w:ascii="Times New Roman" w:hAnsi="Times New Roman"/>
          <w:color w:val="262626"/>
          <w:sz w:val="22"/>
        </w:rPr>
        <w:t>$$\hat{y}_t = \mathbb{I}(s_t &gt; \tau)$$</w:t>
      </w:r>
    </w:p>
    <w:p>
      <w:pPr>
        <w:spacing w:before="40" w:after="100" w:line="276" w:lineRule="auto"/>
      </w:pPr>
      <w:r>
        <w:rPr>
          <w:rFonts w:ascii="Times New Roman" w:hAnsi="Times New Roman"/>
          <w:color w:val="262626"/>
          <w:sz w:val="22"/>
        </w:rPr>
        <w:t>where $\mathbb{I}(\cdot)$ denotes the indicator function. The model receives no failure labels, no degradation trajectories, and no run-to-failure cycles during parameter optimization $\Theta$.</w:t>
      </w:r>
    </w:p>
    <w:p>
      <w:pPr>
        <w:spacing w:before="120" w:after="120"/>
      </w:pPr>
      <w:r>
        <w:rPr>
          <w:color w:val="BDC3C7"/>
          <w:sz w:val="16"/>
        </w:rPr>
        <w:t>―――――――――――――――――――――――――――――――――――――――――――――――――――――――</w:t>
      </w:r>
    </w:p>
    <w:p>
      <w:pPr>
        <w:keepNext/>
        <w:spacing w:before="200" w:after="60"/>
      </w:pPr>
      <w:r>
        <w:rPr>
          <w:rFonts w:ascii="Times New Roman" w:hAnsi="Times New Roman"/>
          <w:b/>
          <w:color w:val="1F4E79"/>
          <w:sz w:val="24"/>
        </w:rPr>
        <w:t>3.2 Evaluated Model Architectures</w:t>
      </w:r>
    </w:p>
    <w:p>
      <w:pPr>
        <w:keepNext/>
        <w:spacing w:before="160" w:after="40"/>
      </w:pPr>
      <w:r>
        <w:rPr>
          <w:rFonts w:ascii="Times New Roman" w:hAnsi="Times New Roman"/>
          <w:b/>
          <w:color w:val="262626"/>
          <w:sz w:val="22"/>
        </w:rPr>
        <w:t>3.2.1 Statistical Baseline (Mean and Max Z-Score)</w:t>
      </w:r>
    </w:p>
    <w:p>
      <w:pPr>
        <w:spacing w:before="40" w:after="100" w:line="276" w:lineRule="auto"/>
      </w:pPr>
      <w:r>
        <w:rPr>
          <w:rFonts w:ascii="Times New Roman" w:hAnsi="Times New Roman"/>
          <w:color w:val="262626"/>
          <w:sz w:val="22"/>
        </w:rPr>
        <w:t>To establish a rigorous lower bound, we implement a parametric statistical baseline. For each active sensor channel $i \in \{1, \dots, d\}$, we compute the sample mean $\mu_i$ and sample standard deviation $\sigma_i$ exclusively over $\mathcal{D}_{train}$:</w:t>
      </w:r>
    </w:p>
    <w:p>
      <w:pPr>
        <w:spacing w:before="40" w:after="100" w:line="276" w:lineRule="auto"/>
      </w:pPr>
      <w:r>
        <w:rPr>
          <w:rFonts w:ascii="Times New Roman" w:hAnsi="Times New Roman"/>
          <w:color w:val="262626"/>
          <w:sz w:val="22"/>
        </w:rPr>
        <w:t>$$\mu_i = \frac{1}{|\mathcal{D}_{train}|} \sum_{x \in \mathcal{D}_{train}} x_i, \quad \sigma_i = \sqrt{\frac{1}{|\mathcal{D}_{train}| - 1} \sum_{x \in \mathcal{D}_{train}} (x_i - \mu_i)^2}$$</w:t>
      </w:r>
    </w:p>
    <w:p>
      <w:pPr>
        <w:spacing w:before="40" w:after="100" w:line="276" w:lineRule="auto"/>
      </w:pPr>
      <w:r>
        <w:rPr>
          <w:rFonts w:ascii="Times New Roman" w:hAnsi="Times New Roman"/>
          <w:color w:val="262626"/>
          <w:sz w:val="22"/>
        </w:rPr>
        <w:t xml:space="preserve">For any test observation $x_t \in \mathbb{R}^d$, the standardized z-score deviation vector is $z_{t,i} = \frac{|x_{t,i} - \mu_i|}{\sigma_i}$. The primary </w:t>
      </w:r>
      <w:r>
        <w:rPr>
          <w:rFonts w:ascii="Times New Roman" w:hAnsi="Times New Roman"/>
          <w:b/>
          <w:color w:val="262626"/>
          <w:sz w:val="22"/>
        </w:rPr>
        <w:t>Mean Z-Score</w:t>
      </w:r>
      <w:r>
        <w:rPr>
          <w:rFonts w:ascii="Times New Roman" w:hAnsi="Times New Roman"/>
          <w:color w:val="262626"/>
          <w:sz w:val="22"/>
        </w:rPr>
        <w:t xml:space="preserve"> anomaly score $s_t^{(mean)}$ aggregates normalized deviations across all channels:</w:t>
      </w:r>
    </w:p>
    <w:p>
      <w:pPr>
        <w:spacing w:before="40" w:after="100" w:line="276" w:lineRule="auto"/>
      </w:pPr>
      <w:r>
        <w:rPr>
          <w:rFonts w:ascii="Times New Roman" w:hAnsi="Times New Roman"/>
          <w:color w:val="262626"/>
          <w:sz w:val="22"/>
        </w:rPr>
        <w:t>$$s_t^{(mean)} = \frac{1}{d} \sum_{i=1}^d \frac{|x_{t,i} - \mu_i|}{\sigma_i}$$</w:t>
      </w:r>
    </w:p>
    <w:p>
      <w:pPr>
        <w:spacing w:before="40" w:after="100" w:line="276" w:lineRule="auto"/>
      </w:pPr>
      <w:r>
        <w:rPr>
          <w:rFonts w:ascii="Times New Roman" w:hAnsi="Times New Roman"/>
          <w:color w:val="262626"/>
          <w:sz w:val="22"/>
        </w:rPr>
        <w:t xml:space="preserve">For comparative analysis, we also evaluate the </w:t>
      </w:r>
      <w:r>
        <w:rPr>
          <w:rFonts w:ascii="Times New Roman" w:hAnsi="Times New Roman"/>
          <w:b/>
          <w:color w:val="262626"/>
          <w:sz w:val="22"/>
        </w:rPr>
        <w:t>Max Z-Score</w:t>
      </w:r>
      <w:r>
        <w:rPr>
          <w:rFonts w:ascii="Times New Roman" w:hAnsi="Times New Roman"/>
          <w:color w:val="262626"/>
          <w:sz w:val="22"/>
        </w:rPr>
        <w:t xml:space="preserve"> metric: $s_t^{(max)} = \max_{i \in \{1, \dots, d\}} \frac{|x_{t,i} - \mu_i|}{\sigma_i}$. Both statistical baselines require zero training parameters, compute in $\mathcal{O}(d)$ time, and serve as reference points for algorithm complexity.</w:t>
      </w:r>
    </w:p>
    <w:p>
      <w:pPr>
        <w:keepNext/>
        <w:spacing w:before="160" w:after="40"/>
      </w:pPr>
      <w:r>
        <w:rPr>
          <w:rFonts w:ascii="Times New Roman" w:hAnsi="Times New Roman"/>
          <w:b/>
          <w:color w:val="262626"/>
          <w:sz w:val="22"/>
        </w:rPr>
        <w:t>3.2.2 Isolation Forest (IF)</w:t>
      </w:r>
    </w:p>
    <w:p>
      <w:pPr>
        <w:spacing w:before="40" w:after="100" w:line="276" w:lineRule="auto"/>
      </w:pPr>
      <w:r>
        <w:rPr>
          <w:rFonts w:ascii="Times New Roman" w:hAnsi="Times New Roman"/>
          <w:color w:val="262626"/>
          <w:sz w:val="22"/>
        </w:rPr>
        <w:t>Isolation Forest [7] isolates anomalies by constructing an ensemble of $B$ completely randomized binary trees (iTrees). At each node of an iTree, a feature $q \in \{1, \dots, d\}$ is chosen at random, and a random split threshold $p \in [\min(x_q), \max(x_q)]$ is selected. Data points are recursively partitioned until instances are isolated at terminal leaf nodes. Because anomalous points deviate substantially from the nominal distribution, they are isolated at shallow depths.</w:t>
      </w:r>
    </w:p>
    <w:p>
      <w:pPr>
        <w:spacing w:before="40" w:after="100" w:line="276" w:lineRule="auto"/>
      </w:pPr>
      <w:r>
        <w:rPr>
          <w:rFonts w:ascii="Times New Roman" w:hAnsi="Times New Roman"/>
          <w:color w:val="262626"/>
          <w:sz w:val="22"/>
        </w:rPr>
        <w:t>The anomaly score for an observation $x$ is defined as:</w:t>
      </w:r>
    </w:p>
    <w:p>
      <w:pPr>
        <w:spacing w:before="40" w:after="100" w:line="276" w:lineRule="auto"/>
      </w:pPr>
      <w:r>
        <w:rPr>
          <w:rFonts w:ascii="Times New Roman" w:hAnsi="Times New Roman"/>
          <w:color w:val="262626"/>
          <w:sz w:val="22"/>
        </w:rPr>
        <w:t>$$s_{IF}(x) = 2^{-\frac{\mathbb{E}[h(x)]}{c(n)}}$$</w:t>
      </w:r>
    </w:p>
    <w:p>
      <w:pPr>
        <w:spacing w:before="40" w:after="100" w:line="276" w:lineRule="auto"/>
      </w:pPr>
      <w:r>
        <w:rPr>
          <w:rFonts w:ascii="Times New Roman" w:hAnsi="Times New Roman"/>
          <w:color w:val="262626"/>
          <w:sz w:val="22"/>
        </w:rPr>
        <w:t>where $h(x)$ is the path length (number of edges traversed from root to leaf), $\mathbb{E}[h(x)]$ is the average path length across all $B$ trees, and $c(n)$ is the average path length of unsuccessful searches in a Binary Search Tree constructed over $n$ samples:</w:t>
      </w:r>
    </w:p>
    <w:p>
      <w:pPr>
        <w:spacing w:before="40" w:after="100" w:line="276" w:lineRule="auto"/>
      </w:pPr>
      <w:r>
        <w:rPr>
          <w:rFonts w:ascii="Times New Roman" w:hAnsi="Times New Roman"/>
          <w:color w:val="262626"/>
          <w:sz w:val="22"/>
        </w:rPr>
        <w:t>$$c(n) = 2 \left( \ln(n - 1) + 0.5772156649 \right) - \frac{2(n - 1)}{n}$$</w:t>
      </w:r>
    </w:p>
    <w:p>
      <w:pPr>
        <w:spacing w:before="40" w:after="100" w:line="276" w:lineRule="auto"/>
      </w:pPr>
      <w:r>
        <w:rPr>
          <w:rFonts w:ascii="Times New Roman" w:hAnsi="Times New Roman"/>
          <w:color w:val="262626"/>
          <w:sz w:val="22"/>
        </w:rPr>
        <w:t>We configure the Isolation Forest with $B = 200$ trees and a subsample size of $\min(256, |\mathcal{D}_{train}|)$, using standard contamination tuning on validation data.</w:t>
      </w:r>
    </w:p>
    <w:p>
      <w:pPr>
        <w:keepNext/>
        <w:spacing w:before="160" w:after="40"/>
      </w:pPr>
      <w:r>
        <w:rPr>
          <w:rFonts w:ascii="Times New Roman" w:hAnsi="Times New Roman"/>
          <w:b/>
          <w:color w:val="262626"/>
          <w:sz w:val="22"/>
        </w:rPr>
        <w:t>3.2.3 One-Class Support Vector Machine (OC-SVM)</w:t>
      </w:r>
    </w:p>
    <w:p>
      <w:pPr>
        <w:spacing w:before="40" w:after="100" w:line="276" w:lineRule="auto"/>
      </w:pPr>
      <w:r>
        <w:rPr>
          <w:rFonts w:ascii="Times New Roman" w:hAnsi="Times New Roman"/>
          <w:color w:val="262626"/>
          <w:sz w:val="22"/>
        </w:rPr>
        <w:t>One-Class SVM [8] fits a maximum-margin hyperplane in a transformed reproducing kernel Hilbert space $\mathcal{H}$ that separates nominal data from the origin. Let $\Phi: \mathbb{R}^d \rightarrow \mathcal{H}$ denote the non-linear mapping induced by a Radial Basis Function (RBF) kernel $k(x, x') = \exp(-\gamma \|x - x'\|^2)$. The primal optimization problem minimizes:</w:t>
      </w:r>
    </w:p>
    <w:p>
      <w:pPr>
        <w:spacing w:before="40" w:after="100" w:line="276" w:lineRule="auto"/>
      </w:pPr>
      <w:r>
        <w:rPr>
          <w:rFonts w:ascii="Times New Roman" w:hAnsi="Times New Roman"/>
          <w:color w:val="262626"/>
          <w:sz w:val="22"/>
        </w:rPr>
        <w:t>$$\min_{w, \xi, \rho} \frac{1}{2} \|w\|^2 + \frac{1}{\nu N} \sum_{i=1}^N \xi_i - \rho \quad \text{s.t.} \quad \langle w, \Phi(x_i) \rangle \ge \rho - \xi_i, \quad \xi_i \ge 0$$</w:t>
      </w:r>
    </w:p>
    <w:p>
      <w:pPr>
        <w:spacing w:before="40" w:after="100" w:line="276" w:lineRule="auto"/>
      </w:pPr>
      <w:r>
        <w:rPr>
          <w:rFonts w:ascii="Times New Roman" w:hAnsi="Times New Roman"/>
          <w:color w:val="262626"/>
          <w:sz w:val="22"/>
        </w:rPr>
        <w:t>where $\nu \in (0, 1]$ represents an upper bound on the fraction of outliers and a lower bound on the number of support vectors. We configure the model with $\nu = 0.10$ and an automatic kernel scale $\gamma = \frac{1}{d \cdot \text{Var}(X)}$. The anomaly score is computed as the signed distance from the decision boundary: $s_{OCSVM}(x) = -(\langle w, \Phi(x) \rangle - \rho)$.</w:t>
      </w:r>
    </w:p>
    <w:p>
      <w:pPr>
        <w:keepNext/>
        <w:spacing w:before="160" w:after="40"/>
      </w:pPr>
      <w:r>
        <w:rPr>
          <w:rFonts w:ascii="Times New Roman" w:hAnsi="Times New Roman"/>
          <w:b/>
          <w:color w:val="262626"/>
          <w:sz w:val="22"/>
        </w:rPr>
        <w:t>3.2.4 Fully Connected Autoencoder (FC-AE)</w:t>
      </w:r>
    </w:p>
    <w:p>
      <w:pPr>
        <w:spacing w:before="40" w:after="100" w:line="276" w:lineRule="auto"/>
      </w:pPr>
      <w:r>
        <w:rPr>
          <w:rFonts w:ascii="Times New Roman" w:hAnsi="Times New Roman"/>
          <w:color w:val="262626"/>
          <w:sz w:val="22"/>
        </w:rPr>
        <w:t>The Fully Connected Autoencoder is a symmetrical feedforward neural network designed to reconstruct nominal sensor vectors. The encoder $f_\phi: \mathbb{R}^d \rightarrow \mathbb{R}^z$ compresses the input vector $x_t$ through a succession of contracting hidden layers into a bottleneck latent space $z_t \in \mathbb{R}^{16}$. The decoder $g_\psi: \mathbb{R}^z \rightarrow \mathbb{R}^d$ reconstructs the original vector as $\hat{x}_t = g_\psi(f_\phi(x_t))$.</w:t>
      </w:r>
    </w:p>
    <w:p>
      <w:pPr>
        <w:spacing w:before="40" w:after="100" w:line="276" w:lineRule="auto"/>
      </w:pPr>
      <w:r>
        <w:rPr>
          <w:rFonts w:ascii="Times New Roman" w:hAnsi="Times New Roman"/>
          <w:color w:val="262626"/>
          <w:sz w:val="22"/>
        </w:rPr>
        <w:t>The concrete layer architecture is parameterized as:</w:t>
      </w:r>
    </w:p>
    <w:p>
      <w:pPr>
        <w:spacing w:before="40" w:after="100" w:line="276" w:lineRule="auto"/>
      </w:pPr>
      <w:r>
        <w:rPr>
          <w:rFonts w:ascii="Times New Roman" w:hAnsi="Times New Roman"/>
          <w:color w:val="262626"/>
          <w:sz w:val="22"/>
        </w:rPr>
        <w:t>$$\text{Input}(19) \rightarrow \text{Dense}(64) \rightarrow \text{Dense}(32) \rightarrow \text{Dense}(16) \rightarrow \text{Dense}(32) \rightarrow \text{Dense}(64) \rightarrow \text{Output}(19)$$</w:t>
      </w:r>
    </w:p>
    <w:p>
      <w:pPr>
        <w:spacing w:before="40" w:after="100" w:line="276" w:lineRule="auto"/>
      </w:pPr>
      <w:r>
        <w:rPr>
          <w:rFonts w:ascii="Times New Roman" w:hAnsi="Times New Roman"/>
          <w:color w:val="262626"/>
          <w:sz w:val="22"/>
        </w:rPr>
        <w:t xml:space="preserve">Each intermediate dense layer is followed by a Rectified Linear Unit (ReLU) activation function and Batch Normalization to ensure internal covariate stability. The final reconstruction layer utilizes a linear activation. This architecture encompasses exactly </w:t>
      </w:r>
      <w:r>
        <w:rPr>
          <w:rFonts w:ascii="Times New Roman" w:hAnsi="Times New Roman"/>
          <w:b/>
          <w:color w:val="262626"/>
          <w:sz w:val="22"/>
        </w:rPr>
        <w:t>8,163 trainable parameters</w:t>
      </w:r>
      <w:r>
        <w:rPr>
          <w:rFonts w:ascii="Times New Roman" w:hAnsi="Times New Roman"/>
          <w:color w:val="262626"/>
          <w:sz w:val="22"/>
        </w:rPr>
        <w:t>. The network is trained by minimizing the Mean Squared Error (MSE) reconstruction loss via the Adam optimizer (learning rate $\eta = 0.001$, batch size 128, weight decay $10^{-5}$):</w:t>
      </w:r>
    </w:p>
    <w:p>
      <w:pPr>
        <w:spacing w:before="40" w:after="100" w:line="276" w:lineRule="auto"/>
      </w:pPr>
      <w:r>
        <w:rPr>
          <w:rFonts w:ascii="Times New Roman" w:hAnsi="Times New Roman"/>
          <w:color w:val="262626"/>
          <w:sz w:val="22"/>
        </w:rPr>
        <w:t>$$\mathcal{L}_{MSE}(x_t, \hat{x}_t) = \frac{1}{d} \sum_{i=1}^d (x_{t,i} - \hat{x}_{t,i})^2$$</w:t>
      </w:r>
    </w:p>
    <w:p>
      <w:pPr>
        <w:spacing w:before="40" w:after="100" w:line="276" w:lineRule="auto"/>
      </w:pPr>
      <w:r>
        <w:rPr>
          <w:rFonts w:ascii="Times New Roman" w:hAnsi="Times New Roman"/>
          <w:color w:val="262626"/>
          <w:sz w:val="22"/>
        </w:rPr>
        <w:t>The anomaly score at cycle $t$ is directly defined as $s_t = \mathcal{L}_{MSE}(x_t, \hat{x}_t)$.</w:t>
      </w:r>
    </w:p>
    <w:p>
      <w:pPr>
        <w:keepNext/>
        <w:spacing w:before="160" w:after="40"/>
      </w:pPr>
      <w:r>
        <w:rPr>
          <w:rFonts w:ascii="Times New Roman" w:hAnsi="Times New Roman"/>
          <w:b/>
          <w:color w:val="262626"/>
          <w:sz w:val="22"/>
        </w:rPr>
        <w:t>3.2.5 LSTM Autoencoder (LSTM-AE)</w:t>
      </w:r>
    </w:p>
    <w:p>
      <w:pPr>
        <w:spacing w:before="40" w:after="100" w:line="276" w:lineRule="auto"/>
      </w:pPr>
      <w:r>
        <w:rPr>
          <w:rFonts w:ascii="Times New Roman" w:hAnsi="Times New Roman"/>
          <w:color w:val="262626"/>
          <w:sz w:val="22"/>
        </w:rPr>
        <w:t>To capture sequential and temporal cross-correlations across successive operating cycles, we construct an LSTM Autoencoder [4]. The input consists of a historical sliding sequence window $X_{t-W+1:t} \in \mathbb{R}^{W \times d}$, where $W$ denotes the temporal window length (default $W = 30$ cycles).</w:t>
      </w:r>
    </w:p>
    <w:p>
      <w:pPr>
        <w:spacing w:before="40" w:after="100" w:line="276" w:lineRule="auto"/>
      </w:pPr>
      <w:r>
        <w:rPr>
          <w:rFonts w:ascii="Times New Roman" w:hAnsi="Times New Roman"/>
          <w:color w:val="262626"/>
          <w:sz w:val="22"/>
        </w:rPr>
        <w:t>The encoder comprises a stacked two-layer LSTM recurrent network:</w:t>
      </w:r>
    </w:p>
    <w:p>
      <w:pPr>
        <w:spacing w:before="40" w:after="100" w:line="276" w:lineRule="auto"/>
      </w:pPr>
      <w:r>
        <w:rPr>
          <w:rFonts w:ascii="Times New Roman" w:hAnsi="Times New Roman"/>
          <w:color w:val="262626"/>
          <w:sz w:val="22"/>
        </w:rPr>
        <w:t>$$h_t^{(1)}, c_t^{(1)} = \text{LSTM}_1(x_t, h_{t-1}^{(1)}, c_{t-1}^{(1)}), \quad \dim(h^{(1)}) = 64$$</w:t>
      </w:r>
    </w:p>
    <w:p>
      <w:pPr>
        <w:spacing w:before="40" w:after="100" w:line="276" w:lineRule="auto"/>
      </w:pPr>
      <w:r>
        <w:rPr>
          <w:rFonts w:ascii="Times New Roman" w:hAnsi="Times New Roman"/>
          <w:color w:val="262626"/>
          <w:sz w:val="22"/>
        </w:rPr>
        <w:t>$$h_t^{(2)}, c_t^{(2)} = \text{LSTM}_2(h_t^{(1)}, h_{t-1}^{(2)}, c_{t-1}^{(2)}), \quad \dim(h^{(2)}) = 32$$</w:t>
      </w:r>
    </w:p>
    <w:p>
      <w:pPr>
        <w:spacing w:before="40" w:after="100" w:line="276" w:lineRule="auto"/>
      </w:pPr>
      <w:r>
        <w:rPr>
          <w:rFonts w:ascii="Times New Roman" w:hAnsi="Times New Roman"/>
          <w:color w:val="262626"/>
          <w:sz w:val="22"/>
        </w:rPr>
        <w:t>The terminal hidden state $h_W^{(2)} \in \mathbb{R}^{32}$ serves as the latent representation of the temporal sequence. This latent vector is replicated across $W$ time steps via a RepeatVector layer and fed into a two-layer stacked LSTM decoder:</w:t>
      </w:r>
    </w:p>
    <w:p>
      <w:pPr>
        <w:spacing w:before="40" w:after="100" w:line="276" w:lineRule="auto"/>
      </w:pPr>
      <w:r>
        <w:rPr>
          <w:rFonts w:ascii="Times New Roman" w:hAnsi="Times New Roman"/>
          <w:color w:val="262626"/>
          <w:sz w:val="22"/>
        </w:rPr>
        <w:t>$$h_t^{(3)}, c_t^{(3)} = \text{LSTM}_3(h_W^{(2)}, h_{t-1}^{(3)}, c_{t-1}^{(3)}), \quad \dim(h^{(3)}) = 32$$</w:t>
      </w:r>
    </w:p>
    <w:p>
      <w:pPr>
        <w:spacing w:before="40" w:after="100" w:line="276" w:lineRule="auto"/>
      </w:pPr>
      <w:r>
        <w:rPr>
          <w:rFonts w:ascii="Times New Roman" w:hAnsi="Times New Roman"/>
          <w:color w:val="262626"/>
          <w:sz w:val="22"/>
        </w:rPr>
        <w:t>$$h_t^{(4)}, c_t^{(4)} = \text{LSTM}_4(h_t^{(3)}, h_{t-1}^{(4)}, c_{t-1}^{(4)}), \quad \dim(h^{(4)}) = 64$$</w:t>
      </w:r>
    </w:p>
    <w:p>
      <w:pPr>
        <w:spacing w:before="40" w:after="100" w:line="276" w:lineRule="auto"/>
      </w:pPr>
      <w:r>
        <w:rPr>
          <w:rFonts w:ascii="Times New Roman" w:hAnsi="Times New Roman"/>
          <w:color w:val="262626"/>
          <w:sz w:val="22"/>
        </w:rPr>
        <w:t>Finally, a TimeDistributed Dense layer projects the hidden representations back to the original sensor dimensionality $\mathbb{R}^{W \times d}$.</w:t>
      </w:r>
    </w:p>
    <w:p>
      <w:pPr>
        <w:spacing w:before="40" w:after="100" w:line="276" w:lineRule="auto"/>
      </w:pPr>
      <w:r>
        <w:rPr>
          <w:rFonts w:ascii="Times New Roman" w:hAnsi="Times New Roman"/>
          <w:color w:val="262626"/>
          <w:sz w:val="22"/>
        </w:rPr>
        <w:t xml:space="preserve">This recurrent architecture contains </w:t>
      </w:r>
      <w:r>
        <w:rPr>
          <w:rFonts w:ascii="Times New Roman" w:hAnsi="Times New Roman"/>
          <w:b/>
          <w:color w:val="262626"/>
          <w:sz w:val="22"/>
        </w:rPr>
        <w:t>116,723 trainable parameters</w:t>
      </w:r>
      <w:r>
        <w:rPr>
          <w:rFonts w:ascii="Times New Roman" w:hAnsi="Times New Roman"/>
          <w:color w:val="262626"/>
          <w:sz w:val="22"/>
        </w:rPr>
        <w:t>—representing a 14.3-fold parameter expansion relative to the FC-AE. The model is trained using Adam with early stopping based on validation loss. The anomaly score $s_t$ corresponds to the MSE reconstruction error evaluated over the sequence window (or terminal timestep):</w:t>
      </w:r>
    </w:p>
    <w:p>
      <w:pPr>
        <w:spacing w:before="40" w:after="100" w:line="276" w:lineRule="auto"/>
      </w:pPr>
      <w:r>
        <w:rPr>
          <w:rFonts w:ascii="Times New Roman" w:hAnsi="Times New Roman"/>
          <w:color w:val="262626"/>
          <w:sz w:val="22"/>
        </w:rPr>
        <w:t>$$s_t = \frac{1}{W \cdot d} \sum_{k=1}^W \sum_{i=1}^d (X_{k,i} - \hat{X}_{k,i})^2$$</w:t>
      </w:r>
    </w:p>
    <w:p>
      <w:pPr>
        <w:spacing w:before="120" w:after="120"/>
      </w:pPr>
      <w:r>
        <w:rPr>
          <w:color w:val="BDC3C7"/>
          <w:sz w:val="16"/>
        </w:rPr>
        <w:t>―――――――――――――――――――――――――――――――――――――――――――――――――――――――</w:t>
      </w:r>
    </w:p>
    <w:p>
      <w:pPr>
        <w:keepNext/>
        <w:spacing w:before="200" w:after="60"/>
      </w:pPr>
      <w:r>
        <w:rPr>
          <w:rFonts w:ascii="Times New Roman" w:hAnsi="Times New Roman"/>
          <w:b/>
          <w:color w:val="1F4E79"/>
          <w:sz w:val="24"/>
        </w:rPr>
        <w:t>3.3 Threshold Selection Strategies</w:t>
      </w:r>
    </w:p>
    <w:p>
      <w:pPr>
        <w:spacing w:before="40" w:after="100" w:line="276" w:lineRule="auto"/>
      </w:pPr>
      <w:r>
        <w:rPr>
          <w:rFonts w:ascii="Times New Roman" w:hAnsi="Times New Roman"/>
          <w:color w:val="262626"/>
          <w:sz w:val="22"/>
        </w:rPr>
        <w:t xml:space="preserve">In practical unsupervised predictive maintenance, selecting an anomaly threshold $\tau$ without access to ground-truth failure labels is a critical challenge. Setting $\tau$ too low triggers frequent false alarms, inducing alert fatigue; setting $\tau$ too high results in missed failure detections. To systematically evaluate threshold sensitivity, we formulate and compare seven mathematical thresholding strategies, all calibrated </w:t>
      </w:r>
      <w:r>
        <w:rPr>
          <w:rFonts w:ascii="Times New Roman" w:hAnsi="Times New Roman"/>
          <w:b/>
          <w:color w:val="262626"/>
          <w:sz w:val="22"/>
        </w:rPr>
        <w:t>strictly on validation data</w:t>
      </w:r>
      <w:r>
        <w:rPr>
          <w:rFonts w:ascii="Times New Roman" w:hAnsi="Times New Roman"/>
          <w:color w:val="262626"/>
          <w:sz w:val="22"/>
        </w:rPr>
        <w:t xml:space="preserve"> $\mathcal{D}_{val}$:</w:t>
      </w:r>
    </w:p>
    <w:p>
      <w:pPr>
        <w:pStyle w:val="ListNumber"/>
        <w:spacing w:before="30" w:after="30" w:line="276" w:lineRule="auto"/>
      </w:pPr>
      <w:r>
        <w:rPr>
          <w:rFonts w:ascii="Times New Roman" w:hAnsi="Times New Roman"/>
          <w:b/>
          <w:color w:val="262626"/>
          <w:sz w:val="22"/>
        </w:rPr>
        <w:t>Percentile 90 (`percentile_90`)</w:t>
      </w:r>
      <w:r>
        <w:rPr>
          <w:rFonts w:ascii="Times New Roman" w:hAnsi="Times New Roman"/>
          <w:color w:val="262626"/>
          <w:sz w:val="22"/>
        </w:rPr>
        <w:t>: $\tau = P_{90}(\{s_v \mid v \in \mathcal{D}_{val}\})$, setting the threshold at the 90th percentile of validation anomaly scores.</w:t>
      </w:r>
    </w:p>
    <w:p>
      <w:pPr>
        <w:pStyle w:val="ListNumber"/>
        <w:spacing w:before="30" w:after="30" w:line="276" w:lineRule="auto"/>
      </w:pPr>
      <w:r>
        <w:rPr>
          <w:rFonts w:ascii="Times New Roman" w:hAnsi="Times New Roman"/>
          <w:b/>
          <w:color w:val="262626"/>
          <w:sz w:val="22"/>
        </w:rPr>
        <w:t>Percentile 95 (`percentile_95`)</w:t>
      </w:r>
      <w:r>
        <w:rPr>
          <w:rFonts w:ascii="Times New Roman" w:hAnsi="Times New Roman"/>
          <w:color w:val="262626"/>
          <w:sz w:val="22"/>
        </w:rPr>
        <w:t>: $\tau = P_{95}(\{s_v \mid v \in \mathcal{D}_{val}\})$, a standard operational baseline assuming a 5% nominal anomaly budget.</w:t>
      </w:r>
    </w:p>
    <w:p>
      <w:pPr>
        <w:pStyle w:val="ListNumber"/>
        <w:spacing w:before="30" w:after="30" w:line="276" w:lineRule="auto"/>
      </w:pPr>
      <w:r>
        <w:rPr>
          <w:rFonts w:ascii="Times New Roman" w:hAnsi="Times New Roman"/>
          <w:b/>
          <w:color w:val="262626"/>
          <w:sz w:val="22"/>
        </w:rPr>
        <w:t>Percentile 99 (`percentile_99`)</w:t>
      </w:r>
      <w:r>
        <w:rPr>
          <w:rFonts w:ascii="Times New Roman" w:hAnsi="Times New Roman"/>
          <w:color w:val="262626"/>
          <w:sz w:val="22"/>
        </w:rPr>
        <w:t>: $\tau = P_{99}(\{s_v \mid v \in \mathcal{D}_{val}\})$, an ultra-conservative threshold designed to virtually eliminate false alarms.</w:t>
      </w:r>
    </w:p>
    <w:p>
      <w:pPr>
        <w:pStyle w:val="ListNumber"/>
        <w:spacing w:before="30" w:after="30" w:line="276" w:lineRule="auto"/>
      </w:pPr>
      <w:r>
        <w:rPr>
          <w:rFonts w:ascii="Times New Roman" w:hAnsi="Times New Roman"/>
          <w:b/>
          <w:color w:val="262626"/>
          <w:sz w:val="22"/>
        </w:rPr>
        <w:t>Mean + 2 Standard Deviations (`mean_2std`)</w:t>
      </w:r>
      <w:r>
        <w:rPr>
          <w:rFonts w:ascii="Times New Roman" w:hAnsi="Times New Roman"/>
          <w:color w:val="262626"/>
          <w:sz w:val="22"/>
        </w:rPr>
        <w:t>: $\tau = \mu_{val} + 2 \cdot \sigma_{val}$, under a Gaussian approximation of score residuals.</w:t>
      </w:r>
    </w:p>
    <w:p>
      <w:pPr>
        <w:pStyle w:val="ListNumber"/>
        <w:spacing w:before="30" w:after="30" w:line="276" w:lineRule="auto"/>
      </w:pPr>
      <w:r>
        <w:rPr>
          <w:rFonts w:ascii="Times New Roman" w:hAnsi="Times New Roman"/>
          <w:b/>
          <w:color w:val="262626"/>
          <w:sz w:val="22"/>
        </w:rPr>
        <w:t>Mean + 3 Standard Deviations (`mean_3std`)</w:t>
      </w:r>
      <w:r>
        <w:rPr>
          <w:rFonts w:ascii="Times New Roman" w:hAnsi="Times New Roman"/>
          <w:color w:val="262626"/>
          <w:sz w:val="22"/>
        </w:rPr>
        <w:t>: $\tau = \mu_{val} + 3 \cdot \sigma_{val}$, corresponding to the classical three-sigma quality control limit.</w:t>
      </w:r>
    </w:p>
    <w:p>
      <w:pPr>
        <w:pStyle w:val="ListNumber"/>
        <w:spacing w:before="30" w:after="30" w:line="276" w:lineRule="auto"/>
      </w:pPr>
      <w:r>
        <w:rPr>
          <w:rFonts w:ascii="Times New Roman" w:hAnsi="Times New Roman"/>
          <w:b/>
          <w:color w:val="262626"/>
          <w:sz w:val="22"/>
        </w:rPr>
        <w:t>Interquartile Range 1.5 (`iqr_1.5`)</w:t>
      </w:r>
      <w:r>
        <w:rPr>
          <w:rFonts w:ascii="Times New Roman" w:hAnsi="Times New Roman"/>
          <w:color w:val="262626"/>
          <w:sz w:val="22"/>
        </w:rPr>
        <w:t>: $\tau = Q_3 + 1.5 \cdot \text{IQR}$, where $\text{IQR} = Q_3 - Q_1$, representing Tukey’s standard fence for outlier detection.</w:t>
      </w:r>
    </w:p>
    <w:p>
      <w:pPr>
        <w:pStyle w:val="ListNumber"/>
        <w:spacing w:before="30" w:after="30" w:line="276" w:lineRule="auto"/>
      </w:pPr>
      <w:r>
        <w:rPr>
          <w:rFonts w:ascii="Times New Roman" w:hAnsi="Times New Roman"/>
          <w:b/>
          <w:color w:val="262626"/>
          <w:sz w:val="22"/>
        </w:rPr>
        <w:t>Interquartile Range 3.0 (`iqr_3.0`)</w:t>
      </w:r>
      <w:r>
        <w:rPr>
          <w:rFonts w:ascii="Times New Roman" w:hAnsi="Times New Roman"/>
          <w:color w:val="262626"/>
          <w:sz w:val="22"/>
        </w:rPr>
        <w:t>: $\tau = Q_3 + 3.0 \cdot \text{IQR}$, representing Tukey’s extreme outlier fence.</w:t>
      </w:r>
    </w:p>
    <w:p>
      <w:pPr>
        <w:spacing w:before="40" w:after="100" w:line="276" w:lineRule="auto"/>
      </w:pPr>
      <w:r>
        <w:rPr>
          <w:rFonts w:ascii="Times New Roman" w:hAnsi="Times New Roman"/>
          <w:color w:val="262626"/>
          <w:sz w:val="22"/>
        </w:rPr>
        <w:t>For analytical benchmarking, we also compute the validation-supervised upper bound (</w:t>
      </w:r>
      <w:r>
        <w:rPr>
          <w:rFonts w:ascii="Consolas" w:hAnsi="Consolas"/>
          <w:color w:val="990000"/>
          <w:sz w:val="20"/>
        </w:rPr>
        <w:t>best_f1_val</w:t>
      </w:r>
      <w:r>
        <w:rPr>
          <w:rFonts w:ascii="Times New Roman" w:hAnsi="Times New Roman"/>
          <w:color w:val="262626"/>
          <w:sz w:val="22"/>
        </w:rPr>
        <w:t>), which sweeps 500 candidate thresholds across validation scores to maximize the binary F1-score against validation ground-truth labels.</w:t>
      </w:r>
    </w:p>
    <w:p>
      <w:pPr>
        <w:spacing w:before="120" w:after="120"/>
      </w:pPr>
      <w:r>
        <w:rPr>
          <w:color w:val="BDC3C7"/>
          <w:sz w:val="16"/>
        </w:rPr>
        <w:t>―――――――――――――――――――――――――――――――――――――――――――――――――――――――</w:t>
      </w:r>
    </w:p>
    <w:p>
      <w:pPr>
        <w:keepNext/>
        <w:spacing w:before="200" w:after="60"/>
      </w:pPr>
      <w:r>
        <w:rPr>
          <w:rFonts w:ascii="Times New Roman" w:hAnsi="Times New Roman"/>
          <w:b/>
          <w:color w:val="1F4E79"/>
          <w:sz w:val="24"/>
        </w:rPr>
        <w:t>3.4 Evaluation Metrics and Early Warning Framework</w:t>
      </w:r>
    </w:p>
    <w:p>
      <w:pPr>
        <w:spacing w:before="40" w:after="100" w:line="276" w:lineRule="auto"/>
      </w:pPr>
      <w:r>
        <w:rPr>
          <w:rFonts w:ascii="Times New Roman" w:hAnsi="Times New Roman"/>
          <w:color w:val="262626"/>
          <w:sz w:val="22"/>
        </w:rPr>
        <w:t>Model performance is evaluated across two complementary dimensions: point-wise classification and early-warning prognostics.</w:t>
      </w:r>
    </w:p>
    <w:p>
      <w:pPr>
        <w:keepNext/>
        <w:spacing w:before="160" w:after="40"/>
      </w:pPr>
      <w:r>
        <w:rPr>
          <w:rFonts w:ascii="Times New Roman" w:hAnsi="Times New Roman"/>
          <w:b/>
          <w:color w:val="262626"/>
          <w:sz w:val="22"/>
        </w:rPr>
        <w:t>3.4.1 Point-Wise Classification Metrics</w:t>
      </w:r>
    </w:p>
    <w:p>
      <w:pPr>
        <w:spacing w:before="40" w:after="100" w:line="276" w:lineRule="auto"/>
      </w:pPr>
      <w:r>
        <w:rPr>
          <w:rFonts w:ascii="Times New Roman" w:hAnsi="Times New Roman"/>
          <w:color w:val="262626"/>
          <w:sz w:val="22"/>
        </w:rPr>
        <w:t>For every cycle $t$ of every test engine $e \in \mathcal{E}_{test}$, ground truth is defined based on Remaining Useful Life:</w:t>
      </w:r>
    </w:p>
    <w:p>
      <w:pPr>
        <w:spacing w:before="40" w:after="100" w:line="276" w:lineRule="auto"/>
      </w:pPr>
      <w:r>
        <w:rPr>
          <w:rFonts w:ascii="Times New Roman" w:hAnsi="Times New Roman"/>
          <w:color w:val="262626"/>
          <w:sz w:val="22"/>
        </w:rPr>
        <w:t>$$y_t^{(e)} = \begin{cases} 1, &amp; \text{if } \text{RUL}_t^{(e)} \le 30 \text{ cycles} \\ 0, &amp; \text{otherwise} \end{cases}$$</w:t>
      </w:r>
    </w:p>
    <w:p>
      <w:pPr>
        <w:spacing w:before="40" w:after="100" w:line="276" w:lineRule="auto"/>
      </w:pPr>
      <w:r>
        <w:rPr>
          <w:rFonts w:ascii="Times New Roman" w:hAnsi="Times New Roman"/>
          <w:color w:val="262626"/>
          <w:sz w:val="22"/>
        </w:rPr>
        <w:t>where $\text{RUL}_t^{(e)} = T_e - t$. We compute:</w:t>
      </w:r>
    </w:p>
    <w:p>
      <w:pPr>
        <w:pStyle w:val="ListBullet"/>
        <w:spacing w:before="30" w:after="30" w:line="276" w:lineRule="auto"/>
      </w:pPr>
      <w:r>
        <w:rPr>
          <w:rFonts w:ascii="Times New Roman" w:hAnsi="Times New Roman"/>
          <w:b/>
          <w:color w:val="262626"/>
          <w:sz w:val="22"/>
        </w:rPr>
        <w:t>Precision</w:t>
      </w:r>
      <w:r>
        <w:rPr>
          <w:rFonts w:ascii="Times New Roman" w:hAnsi="Times New Roman"/>
          <w:color w:val="262626"/>
          <w:sz w:val="22"/>
        </w:rPr>
        <w:t>: $\frac{\text{TP}}{\text{TP} + \text{FP}}$</w:t>
      </w:r>
    </w:p>
    <w:p>
      <w:pPr>
        <w:pStyle w:val="ListBullet"/>
        <w:spacing w:before="30" w:after="30" w:line="276" w:lineRule="auto"/>
      </w:pPr>
      <w:r>
        <w:rPr>
          <w:rFonts w:ascii="Times New Roman" w:hAnsi="Times New Roman"/>
          <w:b/>
          <w:color w:val="262626"/>
          <w:sz w:val="22"/>
        </w:rPr>
        <w:t>Recall</w:t>
      </w:r>
      <w:r>
        <w:rPr>
          <w:rFonts w:ascii="Times New Roman" w:hAnsi="Times New Roman"/>
          <w:color w:val="262626"/>
          <w:sz w:val="22"/>
        </w:rPr>
        <w:t>: $\frac{\text{TP}}{\text{TP} + \text{FN}}$</w:t>
      </w:r>
    </w:p>
    <w:p>
      <w:pPr>
        <w:pStyle w:val="ListBullet"/>
        <w:spacing w:before="30" w:after="30" w:line="276" w:lineRule="auto"/>
      </w:pPr>
      <w:r>
        <w:rPr>
          <w:rFonts w:ascii="Times New Roman" w:hAnsi="Times New Roman"/>
          <w:b/>
          <w:color w:val="262626"/>
          <w:sz w:val="22"/>
        </w:rPr>
        <w:t>F1-Score</w:t>
      </w:r>
      <w:r>
        <w:rPr>
          <w:rFonts w:ascii="Times New Roman" w:hAnsi="Times New Roman"/>
          <w:color w:val="262626"/>
          <w:sz w:val="22"/>
        </w:rPr>
        <w:t>: $2 \cdot \frac{\text{Precision} \cdot \text{Recall}}{\text{Precision} + \text{Recall}}$</w:t>
      </w:r>
    </w:p>
    <w:p>
      <w:pPr>
        <w:pStyle w:val="ListBullet"/>
        <w:spacing w:before="30" w:after="30" w:line="276" w:lineRule="auto"/>
      </w:pPr>
      <w:r>
        <w:rPr>
          <w:rFonts w:ascii="Times New Roman" w:hAnsi="Times New Roman"/>
          <w:b/>
          <w:color w:val="262626"/>
          <w:sz w:val="22"/>
        </w:rPr>
        <w:t>False Alarm Rate (FAR)</w:t>
      </w:r>
      <w:r>
        <w:rPr>
          <w:rFonts w:ascii="Times New Roman" w:hAnsi="Times New Roman"/>
          <w:color w:val="262626"/>
          <w:sz w:val="22"/>
        </w:rPr>
        <w:t>: $\frac{\text{FP}}{\text{FP} + \text{TN}}$ (fraction of healthy cycles incorrectly flagged)</w:t>
      </w:r>
    </w:p>
    <w:p>
      <w:pPr>
        <w:pStyle w:val="ListBullet"/>
        <w:spacing w:before="30" w:after="30" w:line="276" w:lineRule="auto"/>
      </w:pPr>
      <w:r>
        <w:rPr>
          <w:rFonts w:ascii="Times New Roman" w:hAnsi="Times New Roman"/>
          <w:b/>
          <w:color w:val="262626"/>
          <w:sz w:val="22"/>
        </w:rPr>
        <w:t>ROC-AUC</w:t>
      </w:r>
      <w:r>
        <w:rPr>
          <w:rFonts w:ascii="Times New Roman" w:hAnsi="Times New Roman"/>
          <w:color w:val="262626"/>
          <w:sz w:val="22"/>
        </w:rPr>
        <w:t>: Area under the Receiver Operating Characteristic curve.</w:t>
      </w:r>
    </w:p>
    <w:p>
      <w:pPr>
        <w:pStyle w:val="ListBullet"/>
        <w:spacing w:before="30" w:after="30" w:line="276" w:lineRule="auto"/>
      </w:pPr>
      <w:r>
        <w:rPr>
          <w:rFonts w:ascii="Times New Roman" w:hAnsi="Times New Roman"/>
          <w:b/>
          <w:color w:val="262626"/>
          <w:sz w:val="22"/>
        </w:rPr>
        <w:t>PR-AUC</w:t>
      </w:r>
      <w:r>
        <w:rPr>
          <w:rFonts w:ascii="Times New Roman" w:hAnsi="Times New Roman"/>
          <w:color w:val="262626"/>
          <w:sz w:val="22"/>
        </w:rPr>
        <w:t>: Area under the Precision-Recall curve (critical for evaluating imbalanced time-series).</w:t>
      </w:r>
    </w:p>
    <w:p>
      <w:pPr>
        <w:keepNext/>
        <w:spacing w:before="160" w:after="40"/>
      </w:pPr>
      <w:r>
        <w:rPr>
          <w:rFonts w:ascii="Times New Roman" w:hAnsi="Times New Roman"/>
          <w:b/>
          <w:color w:val="262626"/>
          <w:sz w:val="22"/>
        </w:rPr>
        <w:t>3.4.2 Early Warning Framework with 5-Cycle Persistence</w:t>
      </w:r>
    </w:p>
    <w:p>
      <w:pPr>
        <w:spacing w:before="40" w:after="100" w:line="276" w:lineRule="auto"/>
      </w:pPr>
      <w:r>
        <w:rPr>
          <w:rFonts w:ascii="Times New Roman" w:hAnsi="Times New Roman"/>
          <w:color w:val="262626"/>
          <w:sz w:val="22"/>
        </w:rPr>
        <w:t xml:space="preserve">In practical industrial maintenance, single-cycle anomaly spikes frequently arise from electrical sensor noise, communication dropouts, or transient load fluctuations. Dispatching maintenance crews on isolated spikes causes alert fatigue. Therefore, we implement an operational early-warning framework based on a </w:t>
      </w:r>
      <w:r>
        <w:rPr>
          <w:rFonts w:ascii="Times New Roman" w:hAnsi="Times New Roman"/>
          <w:b/>
          <w:color w:val="262626"/>
          <w:sz w:val="22"/>
        </w:rPr>
        <w:t>persistence filter window</w:t>
      </w:r>
      <w:r>
        <w:rPr>
          <w:rFonts w:ascii="Times New Roman" w:hAnsi="Times New Roman"/>
          <w:color w:val="262626"/>
          <w:sz w:val="22"/>
        </w:rPr>
        <w:t xml:space="preserve"> ($P = 5$ consecutive cycles):</w:t>
      </w:r>
    </w:p>
    <w:p>
      <w:pPr>
        <w:pStyle w:val="ListBullet"/>
        <w:spacing w:before="30" w:after="30" w:line="276" w:lineRule="auto"/>
      </w:pPr>
      <w:r>
        <w:rPr>
          <w:rFonts w:ascii="Times New Roman" w:hAnsi="Times New Roman"/>
          <w:b/>
          <w:color w:val="262626"/>
          <w:sz w:val="22"/>
        </w:rPr>
        <w:t>Anomaly Flag</w:t>
      </w:r>
      <w:r>
        <w:rPr>
          <w:rFonts w:ascii="Times New Roman" w:hAnsi="Times New Roman"/>
          <w:color w:val="262626"/>
          <w:sz w:val="22"/>
        </w:rPr>
        <w:t>: An individual cycle where $s_t &gt; \tau$.</w:t>
      </w:r>
    </w:p>
    <w:p>
      <w:pPr>
        <w:pStyle w:val="ListBullet"/>
        <w:spacing w:before="30" w:after="30" w:line="276" w:lineRule="auto"/>
      </w:pPr>
      <w:r>
        <w:rPr>
          <w:rFonts w:ascii="Times New Roman" w:hAnsi="Times New Roman"/>
          <w:b/>
          <w:color w:val="262626"/>
          <w:sz w:val="22"/>
        </w:rPr>
        <w:t>Warning Trigger</w:t>
      </w:r>
      <w:r>
        <w:rPr>
          <w:rFonts w:ascii="Times New Roman" w:hAnsi="Times New Roman"/>
          <w:color w:val="262626"/>
          <w:sz w:val="22"/>
        </w:rPr>
        <w:t>: A sustained state where anomaly flags persist for $P = 5$ consecutive timesteps:</w:t>
      </w:r>
    </w:p>
    <w:p>
      <w:pPr>
        <w:spacing w:before="40" w:after="100" w:line="276" w:lineRule="auto"/>
      </w:pPr>
      <w:r>
        <w:rPr>
          <w:rFonts w:ascii="Times New Roman" w:hAnsi="Times New Roman"/>
          <w:color w:val="262626"/>
          <w:sz w:val="22"/>
        </w:rPr>
        <w:t>$$\text{Trigger}(t) \iff \bigwedge_{k=0}^{P-1} \mathbb{I}(s_{t-k} &gt; \tau) = 1$$</w:t>
      </w:r>
    </w:p>
    <w:p>
      <w:pPr>
        <w:pStyle w:val="ListBullet"/>
        <w:spacing w:before="30" w:after="30" w:line="276" w:lineRule="auto"/>
      </w:pPr>
      <w:r>
        <w:rPr>
          <w:rFonts w:ascii="Times New Roman" w:hAnsi="Times New Roman"/>
          <w:b/>
          <w:color w:val="262626"/>
          <w:sz w:val="22"/>
        </w:rPr>
        <w:t>First Detection Time ($t_{det}^{(e)}$)</w:t>
      </w:r>
      <w:r>
        <w:rPr>
          <w:rFonts w:ascii="Times New Roman" w:hAnsi="Times New Roman"/>
          <w:color w:val="262626"/>
          <w:sz w:val="22"/>
        </w:rPr>
        <w:t>: The earliest cycle at which the warning trigger fires for engine $e$:</w:t>
      </w:r>
    </w:p>
    <w:p>
      <w:pPr>
        <w:spacing w:before="40" w:after="100" w:line="276" w:lineRule="auto"/>
      </w:pPr>
      <w:r>
        <w:rPr>
          <w:rFonts w:ascii="Times New Roman" w:hAnsi="Times New Roman"/>
          <w:color w:val="262626"/>
          <w:sz w:val="22"/>
        </w:rPr>
        <w:t>$$t_{det}^{(e)} = \min \{t \in \{P, \dots, T_e\} \mid \text{Trigger}(t) = 1\}$$</w:t>
      </w:r>
    </w:p>
    <w:p>
      <w:pPr>
        <w:spacing w:before="40" w:after="100" w:line="276" w:lineRule="auto"/>
      </w:pPr>
      <w:r>
        <w:rPr>
          <w:rFonts w:ascii="Times New Roman" w:hAnsi="Times New Roman"/>
          <w:color w:val="262626"/>
          <w:sz w:val="22"/>
        </w:rPr>
        <w:t>If an engine never satisfies the trigger before failure $T_e$, the failure is marked as missed ($t_{det}^{(e)} = \infty$).</w:t>
      </w:r>
    </w:p>
    <w:p>
      <w:pPr>
        <w:pStyle w:val="ListBullet"/>
        <w:spacing w:before="30" w:after="30" w:line="276" w:lineRule="auto"/>
      </w:pPr>
      <w:r>
        <w:rPr>
          <w:rFonts w:ascii="Times New Roman" w:hAnsi="Times New Roman"/>
          <w:b/>
          <w:color w:val="262626"/>
          <w:sz w:val="22"/>
        </w:rPr>
        <w:t>Detection Lead Time ($\Delta t_{lead}^{(e)}$)</w:t>
      </w:r>
      <w:r>
        <w:rPr>
          <w:rFonts w:ascii="Times New Roman" w:hAnsi="Times New Roman"/>
          <w:color w:val="262626"/>
          <w:sz w:val="22"/>
        </w:rPr>
        <w:t>: The operational margin of advance warning provided prior to terminal failure:</w:t>
      </w:r>
    </w:p>
    <w:p>
      <w:pPr>
        <w:spacing w:before="40" w:after="100" w:line="276" w:lineRule="auto"/>
      </w:pPr>
      <w:r>
        <w:rPr>
          <w:rFonts w:ascii="Times New Roman" w:hAnsi="Times New Roman"/>
          <w:color w:val="262626"/>
          <w:sz w:val="22"/>
        </w:rPr>
        <w:t>$$\Delta t_{lead}^{(e)} = T_e - t_{det}^{(e)}$$</w:t>
      </w:r>
    </w:p>
    <w:p>
      <w:pPr>
        <w:pStyle w:val="ListBullet"/>
        <w:spacing w:before="30" w:after="30" w:line="276" w:lineRule="auto"/>
      </w:pPr>
      <w:r>
        <w:rPr>
          <w:rFonts w:ascii="Times New Roman" w:hAnsi="Times New Roman"/>
          <w:b/>
          <w:color w:val="262626"/>
          <w:sz w:val="22"/>
        </w:rPr>
        <w:t>Detection Rate</w:t>
      </w:r>
      <w:r>
        <w:rPr>
          <w:rFonts w:ascii="Times New Roman" w:hAnsi="Times New Roman"/>
          <w:color w:val="262626"/>
          <w:sz w:val="22"/>
        </w:rPr>
        <w:t>: The percentage of test engines successfully alerted prior to failure:</w:t>
      </w:r>
    </w:p>
    <w:p>
      <w:pPr>
        <w:spacing w:before="40" w:after="100" w:line="276" w:lineRule="auto"/>
      </w:pPr>
      <w:r>
        <w:rPr>
          <w:rFonts w:ascii="Times New Roman" w:hAnsi="Times New Roman"/>
          <w:color w:val="262626"/>
          <w:sz w:val="22"/>
        </w:rPr>
        <w:t>$$\text{Det. Rate} = \frac{1}{|\mathcal{E}_{test}|} \sum_{e \in \mathcal{E}_{test}} \mathbb{I}(t_{det}^{(e)} \le T_e) \times 100\%$$</w:t>
      </w:r>
    </w:p>
    <w:p>
      <w:pPr>
        <w:pStyle w:val="ListBullet"/>
        <w:spacing w:before="30" w:after="30" w:line="276" w:lineRule="auto"/>
      </w:pPr>
      <w:r>
        <w:rPr>
          <w:rFonts w:ascii="Times New Roman" w:hAnsi="Times New Roman"/>
          <w:b/>
          <w:color w:val="262626"/>
          <w:sz w:val="22"/>
        </w:rPr>
        <w:t>Mean Lead Time</w:t>
      </w:r>
      <w:r>
        <w:rPr>
          <w:rFonts w:ascii="Times New Roman" w:hAnsi="Times New Roman"/>
          <w:color w:val="262626"/>
          <w:sz w:val="22"/>
        </w:rPr>
        <w:t>: The average lead time evaluated across all successfully detected engines:</w:t>
      </w:r>
    </w:p>
    <w:p>
      <w:pPr>
        <w:spacing w:before="40" w:after="100" w:line="276" w:lineRule="auto"/>
      </w:pPr>
      <w:r>
        <w:rPr>
          <w:rFonts w:ascii="Times New Roman" w:hAnsi="Times New Roman"/>
          <w:color w:val="262626"/>
          <w:sz w:val="22"/>
        </w:rPr>
        <w:t>$$\overline{\Delta t}_{lead} = \frac{\sum_{e \in \mathcal{E}_{test}, t_{det}^{(e)} \le T_e} \Delta t_{lead}^{(e)}}{\sum_{e \in \mathcal{E}_{test}} \mathbb{I}(t_{det}^{(e)} \le T_e)}$$</w:t>
      </w:r>
    </w:p>
    <w:p>
      <w:pPr>
        <w:spacing w:before="120" w:after="120"/>
      </w:pPr>
      <w:r>
        <w:rPr>
          <w:color w:val="BDC3C7"/>
          <w:sz w:val="16"/>
        </w:rPr>
        <w:t>―――――――――――――――――――――――――――――――――――――――――――――――――――――――</w:t>
      </w:r>
    </w:p>
    <w:p>
      <w:pPr>
        <w:keepNext/>
        <w:spacing w:before="200" w:after="60"/>
      </w:pPr>
      <w:r>
        <w:rPr>
          <w:rFonts w:ascii="Times New Roman" w:hAnsi="Times New Roman"/>
          <w:b/>
          <w:color w:val="1F4E79"/>
          <w:sz w:val="24"/>
        </w:rPr>
        <w:t>3.5 Leakage Prevention Protocol</w:t>
      </w:r>
    </w:p>
    <w:p>
      <w:pPr>
        <w:spacing w:before="40" w:after="100" w:line="276" w:lineRule="auto"/>
      </w:pPr>
      <w:r>
        <w:rPr>
          <w:rFonts w:ascii="Times New Roman" w:hAnsi="Times New Roman"/>
          <w:color w:val="262626"/>
          <w:sz w:val="22"/>
        </w:rPr>
        <w:t>To guarantee strict methodological integrity, we enforce five structural leakage prevention measures:</w:t>
      </w:r>
    </w:p>
    <w:p>
      <w:pPr>
        <w:pStyle w:val="ListNumber"/>
        <w:spacing w:before="30" w:after="30" w:line="276" w:lineRule="auto"/>
      </w:pPr>
      <w:r>
        <w:rPr>
          <w:rFonts w:ascii="Times New Roman" w:hAnsi="Times New Roman"/>
          <w:b/>
          <w:color w:val="262626"/>
          <w:sz w:val="22"/>
        </w:rPr>
        <w:t>Engine-Level Splitting</w:t>
      </w:r>
      <w:r>
        <w:rPr>
          <w:rFonts w:ascii="Times New Roman" w:hAnsi="Times New Roman"/>
          <w:color w:val="262626"/>
          <w:sz w:val="22"/>
        </w:rPr>
        <w:t>: Data splitting is executed strictly at the engine level. Under no circumstances are individual cycles from the same physical engine partitioned across train, validation, and test splits.</w:t>
      </w:r>
    </w:p>
    <w:p>
      <w:pPr>
        <w:pStyle w:val="ListNumber"/>
        <w:spacing w:before="30" w:after="30" w:line="276" w:lineRule="auto"/>
      </w:pPr>
      <w:r>
        <w:rPr>
          <w:rFonts w:ascii="Times New Roman" w:hAnsi="Times New Roman"/>
          <w:b/>
          <w:color w:val="262626"/>
          <w:sz w:val="22"/>
        </w:rPr>
        <w:t>Train-Only Normalization</w:t>
      </w:r>
      <w:r>
        <w:rPr>
          <w:rFonts w:ascii="Times New Roman" w:hAnsi="Times New Roman"/>
          <w:color w:val="262626"/>
          <w:sz w:val="22"/>
        </w:rPr>
        <w:t>: All preprocessing transformations (StandardScaler parameters $\mu_{train}, \sigma_{train}$) are computed exclusively using $\mathcal{D}_{train}$. Scalers are never fitted on validation or test sets.</w:t>
      </w:r>
    </w:p>
    <w:p>
      <w:pPr>
        <w:pStyle w:val="ListNumber"/>
        <w:spacing w:before="30" w:after="30" w:line="276" w:lineRule="auto"/>
      </w:pPr>
      <w:r>
        <w:rPr>
          <w:rFonts w:ascii="Times New Roman" w:hAnsi="Times New Roman"/>
          <w:b/>
          <w:color w:val="262626"/>
          <w:sz w:val="22"/>
        </w:rPr>
        <w:t>Healthy Boundary Restriction</w:t>
      </w:r>
      <w:r>
        <w:rPr>
          <w:rFonts w:ascii="Times New Roman" w:hAnsi="Times New Roman"/>
          <w:color w:val="262626"/>
          <w:sz w:val="22"/>
        </w:rPr>
        <w:t>: Training manifolds are constructed using only the initial 70% of life ($\alpha = 0.70$) of training engines, preventing the model from observing run-to-failure dynamics during parameter estimation.</w:t>
      </w:r>
    </w:p>
    <w:p>
      <w:pPr>
        <w:pStyle w:val="ListNumber"/>
        <w:spacing w:before="30" w:after="30" w:line="276" w:lineRule="auto"/>
      </w:pPr>
      <w:r>
        <w:rPr>
          <w:rFonts w:ascii="Times New Roman" w:hAnsi="Times New Roman"/>
          <w:b/>
          <w:color w:val="262626"/>
          <w:sz w:val="22"/>
        </w:rPr>
        <w:t>Non-Overlapping Sequence Windows</w:t>
      </w:r>
      <w:r>
        <w:rPr>
          <w:rFonts w:ascii="Times New Roman" w:hAnsi="Times New Roman"/>
          <w:color w:val="262626"/>
          <w:sz w:val="22"/>
        </w:rPr>
        <w:t>: For sequence models (LSTM-AE), sliding windows are constrained strictly within individual engine boundaries. Sequences never cross engine transitions, and windows contain exclusively past and present observations ($t-W+1$ to $t$), avoiding future information leakage.</w:t>
      </w:r>
    </w:p>
    <w:p>
      <w:pPr>
        <w:pStyle w:val="ListNumber"/>
        <w:spacing w:before="30" w:after="30" w:line="276" w:lineRule="auto"/>
      </w:pPr>
      <w:r>
        <w:rPr>
          <w:rFonts w:ascii="Times New Roman" w:hAnsi="Times New Roman"/>
          <w:b/>
          <w:color w:val="262626"/>
          <w:sz w:val="22"/>
        </w:rPr>
        <w:t>Validation-Isolated Thresholding</w:t>
      </w:r>
      <w:r>
        <w:rPr>
          <w:rFonts w:ascii="Times New Roman" w:hAnsi="Times New Roman"/>
          <w:color w:val="262626"/>
          <w:sz w:val="22"/>
        </w:rPr>
        <w:t>: All operational thresholds $\tau$ are determined exclusively on validation engine anomaly distributions without accessing test engine telemetry or test failure labels.</w:t>
      </w:r>
    </w:p>
    <w:p>
      <w:pPr>
        <w:spacing w:before="120" w:after="120"/>
      </w:pPr>
      <w:r>
        <w:rPr>
          <w:color w:val="BDC3C7"/>
          <w:sz w:val="16"/>
        </w:rPr>
        <w:t>―――――――――――――――――――――――――――――――――――――――――――――――――――――――</w:t>
      </w:r>
    </w:p>
    <w:p>
      <w:pPr>
        <w:keepNext/>
        <w:spacing w:before="240" w:after="80"/>
      </w:pPr>
      <w:r>
        <w:rPr>
          <w:rFonts w:ascii="Times New Roman" w:hAnsi="Times New Roman"/>
          <w:b/>
          <w:color w:val="2E75B6"/>
          <w:sz w:val="28"/>
        </w:rPr>
        <w:t>4. Experimental Setup</w:t>
      </w:r>
    </w:p>
    <w:p>
      <w:pPr>
        <w:keepNext/>
        <w:spacing w:before="200" w:after="60"/>
      </w:pPr>
      <w:r>
        <w:rPr>
          <w:rFonts w:ascii="Times New Roman" w:hAnsi="Times New Roman"/>
          <w:b/>
          <w:color w:val="1F4E79"/>
          <w:sz w:val="24"/>
        </w:rPr>
        <w:t>4.1 Dataset Characteristics</w:t>
      </w:r>
    </w:p>
    <w:p>
      <w:pPr>
        <w:spacing w:before="40" w:after="100" w:line="276" w:lineRule="auto"/>
      </w:pPr>
      <w:r>
        <w:rPr>
          <w:rFonts w:ascii="Times New Roman" w:hAnsi="Times New Roman"/>
          <w:color w:val="262626"/>
          <w:sz w:val="22"/>
        </w:rPr>
        <w:t>We conduct our empirical evaluation on the complete NASA C-MAPSS benchmark suite. The dataset consists of four distinct operational sub-datasets generated under varying simulated operating conditions and degradation fault modes, as summarized in Table 1.</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Dataset Subset</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 Engines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Test Engines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Operating Conditions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Fault Modes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Total Train Cycles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Total Test Cycles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Primary Fault Location</w:t>
            </w:r>
          </w:p>
        </w:tc>
      </w:tr>
      <w:tr>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(Sea Level)</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20,631</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13,096</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Compressor</w:t>
            </w:r>
          </w:p>
        </w:tc>
      </w:tr>
      <w:tr>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FD002</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260</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259</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 (Full Flight Envelope)</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53,759</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33,991</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Compressor</w:t>
            </w:r>
          </w:p>
        </w:tc>
      </w:tr>
      <w:tr>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FD003</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(Sea Level)</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24,720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16,596</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HPC &amp; Fan Degradation</w:t>
            </w:r>
          </w:p>
        </w:tc>
      </w:tr>
      <w:tr>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FD004</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249</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248</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 (Full Flight Envelope)</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61,249</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41,214</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HPC &amp; Fan Degradation</w:t>
            </w:r>
          </w:p>
        </w:tc>
      </w:tr>
    </w:tbl>
    <w:p>
      <w:pPr>
        <w:spacing w:before="80" w:after="120"/>
      </w:pPr>
    </w:p>
    <w:p>
      <w:pPr>
        <w:spacing w:before="40" w:after="100" w:line="276" w:lineRule="auto"/>
      </w:pPr>
      <w:r>
        <w:rPr>
          <w:rFonts w:ascii="Times New Roman" w:hAnsi="Times New Roman"/>
          <w:i/>
          <w:color w:val="262626"/>
          <w:sz w:val="22"/>
        </w:rPr>
        <w:t>Table 1: Structural specifications and operational characteristics of the NASA C-MAPSS turbofan benchmark subsets.</w:t>
      </w:r>
    </w:p>
    <w:p>
      <w:pPr>
        <w:spacing w:before="40" w:after="100" w:line="276" w:lineRule="auto"/>
      </w:pPr>
      <w:r>
        <w:rPr>
          <w:rFonts w:ascii="Times New Roman" w:hAnsi="Times New Roman"/>
          <w:color w:val="262626"/>
          <w:sz w:val="22"/>
        </w:rPr>
        <w:t>Each engine record logs 26 variables per cycle: Engine ID, Cycle Number, 3 Operational Settings (Altitude, Mach number, Throttle resolver angle), and 21 Sensor Channels recording thermodynamic variables (temperatures, pressures, fan speeds, bleed flow ratios).</w:t>
      </w:r>
    </w:p>
    <w:p>
      <w:pPr>
        <w:keepNext/>
        <w:spacing w:before="200" w:after="60"/>
      </w:pPr>
      <w:r>
        <w:rPr>
          <w:rFonts w:ascii="Times New Roman" w:hAnsi="Times New Roman"/>
          <w:b/>
          <w:color w:val="1F4E79"/>
          <w:sz w:val="24"/>
        </w:rPr>
        <w:t>4.2 Feature Engineering and Selection</w:t>
      </w:r>
    </w:p>
    <w:p>
      <w:pPr>
        <w:spacing w:before="40" w:after="100" w:line="276" w:lineRule="auto"/>
      </w:pPr>
      <w:r>
        <w:rPr>
          <w:rFonts w:ascii="Times New Roman" w:hAnsi="Times New Roman"/>
          <w:color w:val="262626"/>
          <w:sz w:val="22"/>
        </w:rPr>
        <w:t>In constant-condition subsets (FD001 and FD003), exploratory data analysis reveals that several sensor channels exhibit zero variance throughout all engine lifecycles due to constant ambient boundary conditions. Specifically, sensors $s_1, s_5, s_{10}, s_{16}, s_{18}, s_{19}$, and operational setting 3 exhibit zero standard deviation ($\sigma = 0$). Including constant channels introduces numerical instability during normalization and distorts distance metrics. Consequently, these 7 invariant channels are pruned, leaving $d = 19$ informative features (including operational settings 1 and 2, and 17 active sensor channels) consistently across all experiments.</w:t>
      </w:r>
    </w:p>
    <w:p>
      <w:pPr>
        <w:keepNext/>
        <w:spacing w:before="200" w:after="60"/>
      </w:pPr>
      <w:r>
        <w:rPr>
          <w:rFonts w:ascii="Times New Roman" w:hAnsi="Times New Roman"/>
          <w:b/>
          <w:color w:val="1F4E79"/>
          <w:sz w:val="24"/>
        </w:rPr>
        <w:t>4.3 Data Splits and Partitioning</w:t>
      </w:r>
    </w:p>
    <w:p>
      <w:pPr>
        <w:spacing w:before="40" w:after="100" w:line="276" w:lineRule="auto"/>
      </w:pPr>
      <w:r>
        <w:rPr>
          <w:rFonts w:ascii="Times New Roman" w:hAnsi="Times New Roman"/>
          <w:color w:val="262626"/>
          <w:sz w:val="22"/>
        </w:rPr>
        <w:t xml:space="preserve">To rigorously evaluate model generalization to unseen physical machinery, we partition the engine fleet within each sub-dataset into a </w:t>
      </w:r>
      <w:r>
        <w:rPr>
          <w:rFonts w:ascii="Times New Roman" w:hAnsi="Times New Roman"/>
          <w:b/>
          <w:color w:val="262626"/>
          <w:sz w:val="22"/>
        </w:rPr>
        <w:t>70% / 15% / 15%</w:t>
      </w:r>
      <w:r>
        <w:rPr>
          <w:rFonts w:ascii="Times New Roman" w:hAnsi="Times New Roman"/>
          <w:color w:val="262626"/>
          <w:sz w:val="22"/>
        </w:rPr>
        <w:t xml:space="preserve"> engine-level split:</w:t>
      </w:r>
    </w:p>
    <w:p>
      <w:pPr>
        <w:pStyle w:val="ListBullet"/>
        <w:spacing w:before="30" w:after="30" w:line="276" w:lineRule="auto"/>
      </w:pPr>
      <w:r>
        <w:rPr>
          <w:rFonts w:ascii="Times New Roman" w:hAnsi="Times New Roman"/>
          <w:b/>
          <w:color w:val="262626"/>
          <w:sz w:val="22"/>
        </w:rPr>
        <w:t>Training Set (70%)</w:t>
      </w:r>
      <w:r>
        <w:rPr>
          <w:rFonts w:ascii="Times New Roman" w:hAnsi="Times New Roman"/>
          <w:color w:val="262626"/>
          <w:sz w:val="22"/>
        </w:rPr>
        <w:t>: Used exclusively to learn nominal system dynamics and optimize model weights $\Theta$. In FD001, this corresponds to 70 engines (14,442 healthy cycles).</w:t>
      </w:r>
    </w:p>
    <w:p>
      <w:pPr>
        <w:pStyle w:val="ListBullet"/>
        <w:spacing w:before="30" w:after="30" w:line="276" w:lineRule="auto"/>
      </w:pPr>
      <w:r>
        <w:rPr>
          <w:rFonts w:ascii="Times New Roman" w:hAnsi="Times New Roman"/>
          <w:b/>
          <w:color w:val="262626"/>
          <w:sz w:val="22"/>
        </w:rPr>
        <w:t>Validation Set (15%)</w:t>
      </w:r>
      <w:r>
        <w:rPr>
          <w:rFonts w:ascii="Times New Roman" w:hAnsi="Times New Roman"/>
          <w:color w:val="262626"/>
          <w:sz w:val="22"/>
        </w:rPr>
        <w:t>: Used for hyperparameter tuning, early stopping, and calibrating anomaly thresholds $\tau$. In FD001, this corresponds to 15 engines.</w:t>
      </w:r>
    </w:p>
    <w:p>
      <w:pPr>
        <w:pStyle w:val="ListBullet"/>
        <w:spacing w:before="30" w:after="30" w:line="276" w:lineRule="auto"/>
      </w:pPr>
      <w:r>
        <w:rPr>
          <w:rFonts w:ascii="Times New Roman" w:hAnsi="Times New Roman"/>
          <w:b/>
          <w:color w:val="262626"/>
          <w:sz w:val="22"/>
        </w:rPr>
        <w:t>Held-Out Test Set (15%)</w:t>
      </w:r>
      <w:r>
        <w:rPr>
          <w:rFonts w:ascii="Times New Roman" w:hAnsi="Times New Roman"/>
          <w:color w:val="262626"/>
          <w:sz w:val="22"/>
        </w:rPr>
        <w:t>: Strictly sequestered during model training and threshold tuning. In FD001, this corresponds to 15 completely unseen run-to-failure engines (3,145 total operational cycles, containing 465 true degradation cycles where $RUL \le 30$).</w:t>
      </w:r>
    </w:p>
    <w:p>
      <w:pPr>
        <w:keepNext/>
        <w:spacing w:before="200" w:after="60"/>
      </w:pPr>
      <w:r>
        <w:rPr>
          <w:rFonts w:ascii="Times New Roman" w:hAnsi="Times New Roman"/>
          <w:b/>
          <w:color w:val="1F4E79"/>
          <w:sz w:val="24"/>
        </w:rPr>
        <w:t>4.4 Hardware and Software Implementation</w:t>
      </w:r>
    </w:p>
    <w:p>
      <w:pPr>
        <w:spacing w:before="40" w:after="100" w:line="276" w:lineRule="auto"/>
      </w:pPr>
      <w:r>
        <w:rPr>
          <w:rFonts w:ascii="Times New Roman" w:hAnsi="Times New Roman"/>
          <w:color w:val="262626"/>
          <w:sz w:val="22"/>
        </w:rPr>
        <w:t>All experiments are implemented in Python 3.10 utilizing PyTorch 2.3 for deep learning architectures and Scikit-learn 1.3 for classical baselines. Training and inference were executed on an AMD/Intel multi-core CPU architecture without GPU acceleration, providing an honest benchmark of edge-compute feasibility. Deterministic reproducibility is enforced across all libraries by fixing random seeds across all experiments ($S \in \{42, 123, 456, 789, 1024\}$).</w:t>
      </w:r>
    </w:p>
    <w:p>
      <w:pPr>
        <w:spacing w:before="120" w:after="120"/>
      </w:pPr>
      <w:r>
        <w:rPr>
          <w:color w:val="BDC3C7"/>
          <w:sz w:val="16"/>
        </w:rPr>
        <w:t>―――――――――――――――――――――――――――――――――――――――――――――――――――――――</w:t>
      </w:r>
    </w:p>
    <w:p>
      <w:pPr>
        <w:keepNext/>
        <w:spacing w:before="240" w:after="80"/>
      </w:pPr>
      <w:r>
        <w:rPr>
          <w:rFonts w:ascii="Times New Roman" w:hAnsi="Times New Roman"/>
          <w:b/>
          <w:color w:val="2E75B6"/>
          <w:sz w:val="28"/>
        </w:rPr>
        <w:t>5. Experimental Results</w:t>
      </w:r>
    </w:p>
    <w:p>
      <w:pPr>
        <w:keepNext/>
        <w:spacing w:before="200" w:after="60"/>
      </w:pPr>
      <w:r>
        <w:rPr>
          <w:rFonts w:ascii="Times New Roman" w:hAnsi="Times New Roman"/>
          <w:b/>
          <w:color w:val="1F4E79"/>
          <w:sz w:val="24"/>
        </w:rPr>
        <w:t>5.1 Fair Model Comparison on FD001</w:t>
      </w:r>
    </w:p>
    <w:p>
      <w:pPr>
        <w:spacing w:before="40" w:after="100" w:line="276" w:lineRule="auto"/>
      </w:pPr>
      <w:r>
        <w:rPr>
          <w:rFonts w:ascii="Times New Roman" w:hAnsi="Times New Roman"/>
          <w:color w:val="262626"/>
          <w:sz w:val="22"/>
        </w:rPr>
        <w:t xml:space="preserve">We first evaluate all five anomaly detection paradigms under identical, leakage-free conditions on the standard FD001 test split using the default </w:t>
      </w:r>
      <w:r>
        <w:rPr>
          <w:rFonts w:ascii="Consolas" w:hAnsi="Consolas"/>
          <w:color w:val="990000"/>
          <w:sz w:val="20"/>
        </w:rPr>
        <w:t>percentile_95</w:t>
      </w:r>
      <w:r>
        <w:rPr>
          <w:rFonts w:ascii="Times New Roman" w:hAnsi="Times New Roman"/>
          <w:color w:val="262626"/>
          <w:sz w:val="22"/>
        </w:rPr>
        <w:t xml:space="preserve"> threshold strategy. Table 2 reports the comprehensive performance profile.</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Architecture</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Precision</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Recall</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FAR</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Training Time (s)</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(Mean Z-score)</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0.430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0.602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0.932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93.33%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(Max Z-score)</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0.691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0.288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0.407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0.022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0.949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0.749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33.33%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(200 trees)</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0.378</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0.549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73.33%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11.1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0.72</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 ($\nu=0.1$)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0.995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0.417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0.588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86.67%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0.22</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FC Autoencoder (8,163 params)</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0.931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0.404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0.564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0.912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0.769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42.33</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LSTM-AE (116,723 params)</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0.880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0.284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0.429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0.689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73.33%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50.0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491.88</w:t>
            </w:r>
          </w:p>
        </w:tc>
      </w:tr>
    </w:tbl>
    <w:p>
      <w:pPr>
        <w:spacing w:before="80" w:after="120"/>
      </w:pPr>
    </w:p>
    <w:p>
      <w:pPr>
        <w:spacing w:before="40" w:after="100" w:line="276" w:lineRule="auto"/>
      </w:pPr>
      <w:r>
        <w:rPr>
          <w:rFonts w:ascii="Times New Roman" w:hAnsi="Times New Roman"/>
          <w:i/>
          <w:color w:val="262626"/>
          <w:sz w:val="22"/>
        </w:rPr>
        <w:t>Table 2: Primary benchmarking results on the FD001 held-out test split under identical experimental conditions and the percentile_95 threshold.</w:t>
      </w:r>
    </w:p>
    <w:p>
      <w:pPr>
        <w:spacing w:before="40" w:after="100" w:line="276" w:lineRule="auto"/>
      </w:pPr>
      <w:r>
        <w:rPr>
          <w:rFonts w:ascii="Times New Roman" w:hAnsi="Times New Roman"/>
          <w:color w:val="262626"/>
          <w:sz w:val="22"/>
        </w:rPr>
        <w:t xml:space="preserve">The empirical results in Table 2 present a striking finding: on single-condition sensor data, the simplest possible method—the parametric </w:t>
      </w:r>
      <w:r>
        <w:rPr>
          <w:rFonts w:ascii="Times New Roman" w:hAnsi="Times New Roman"/>
          <w:b/>
          <w:color w:val="262626"/>
          <w:sz w:val="22"/>
        </w:rPr>
        <w:t>Statistical Mean Z-score</w:t>
      </w:r>
      <w:r>
        <w:rPr>
          <w:rFonts w:ascii="Times New Roman" w:hAnsi="Times New Roman"/>
          <w:color w:val="262626"/>
          <w:sz w:val="22"/>
        </w:rPr>
        <w:t>—outperforms all deep learning models across every standard classification metric. It achieves the highest F1-score (0.602), highest ROC-AUC (0.984), highest PR-AUC (0.932), perfect precision (1.000 with zero false alarms), and the highest failure detection rate (93.33% of test engines successfully flagged before failure), while requiring zero training latency.</w:t>
      </w:r>
    </w:p>
    <w:p>
      <w:pPr>
        <w:spacing w:before="40" w:after="100" w:line="276" w:lineRule="auto"/>
      </w:pPr>
      <w:r>
        <w:rPr>
          <w:rFonts w:ascii="Times New Roman" w:hAnsi="Times New Roman"/>
          <w:color w:val="262626"/>
          <w:sz w:val="22"/>
        </w:rPr>
        <w:t>Isolation Forest and One-Class SVM exhibit robust competitive performance, achieving F1-scores of 0.549 and 0.588 and ROC-AUCs of 0.976 and 0.972, respectively, with fitting times well under one second. In contrast, the deep Fully Connected Autoencoder achieves an F1-score of 0.564 and ROC-AUC of 0.912, while the recurrent LSTM-AE records an F1-score of 0.429 and ROC-AUC of 0.901, requiring 491.88 seconds of training—nearly 700 times longer than Isolation Forest.</w:t>
      </w:r>
    </w:p>
    <w:p>
      <w:pPr>
        <w:spacing w:before="120" w:after="120"/>
      </w:pPr>
      <w:r>
        <w:rPr>
          <w:color w:val="BDC3C7"/>
          <w:sz w:val="16"/>
        </w:rPr>
        <w:t>―――――――――――――――――――――――――――――――――――――――――――――――――――――――</w:t>
      </w:r>
    </w:p>
    <w:p>
      <w:pPr>
        <w:keepNext/>
        <w:spacing w:before="200" w:after="60"/>
      </w:pPr>
      <w:r>
        <w:rPr>
          <w:rFonts w:ascii="Times New Roman" w:hAnsi="Times New Roman"/>
          <w:b/>
          <w:color w:val="1F4E79"/>
          <w:sz w:val="24"/>
        </w:rPr>
        <w:t>5.2 Multi-Seed Stability and Hypothesis Testing</w:t>
      </w:r>
    </w:p>
    <w:p>
      <w:pPr>
        <w:spacing w:before="40" w:after="100" w:line="276" w:lineRule="auto"/>
      </w:pPr>
      <w:r>
        <w:rPr>
          <w:rFonts w:ascii="Times New Roman" w:hAnsi="Times New Roman"/>
          <w:color w:val="262626"/>
          <w:sz w:val="22"/>
        </w:rPr>
        <w:t>To establish whether the performance differences observed in Table 2 are statistically meaningful or merely artifacts of random weight initialization and split stochasticity, we repeat all experiments across five distinct random seeds ($42, 123, 456, 789, 1024$). Table 3 summarizes the multi-seed means and standard deviations.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Architecture</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 (mean ± std)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 (mean ± std)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 (mean ± std)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False Alarm Rate (FAR)</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(Mean Z-score)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0.471 ± 0.074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0.985 ± 0.003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0.940 ± 0.007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 ± 0.000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69.3% ± 17.7%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9.68 ± 1.33</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0.467 ± 0.069</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0.980 ± 0.003</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0.921 ± 0.008</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0.000 ± 0.000</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62.7% ± 16.1%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8.68 ± 1.57</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FC Autoencoder</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0.445 ± 0.083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0.923 ± 0.019</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0.792 ± 0.041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0.002 ± 0.001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37.3% ± 13.7%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19.18 ± 4.22</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LSTM Autoencoder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0.323 ± 0.071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0.772 ± 0.067</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0.540 ± 0.097</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0.006 ± 0.007</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50.7% ± 16.1%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25.44 ± 16.90</w:t>
            </w:r>
          </w:p>
        </w:tc>
      </w:tr>
    </w:tbl>
    <w:p>
      <w:pPr>
        <w:spacing w:before="80" w:after="120"/>
      </w:pPr>
    </w:p>
    <w:p>
      <w:pPr>
        <w:spacing w:before="40" w:after="100" w:line="276" w:lineRule="auto"/>
      </w:pPr>
      <w:r>
        <w:rPr>
          <w:rFonts w:ascii="Times New Roman" w:hAnsi="Times New Roman"/>
          <w:i/>
          <w:color w:val="262626"/>
          <w:sz w:val="22"/>
        </w:rPr>
        <w:t>Table 3: Multi-seed statistical stability across five independent runs (seeds 42, 123, 456, 789, 1024) on FD001.</w:t>
      </w:r>
    </w:p>
    <w:p>
      <w:pPr>
        <w:spacing w:before="40" w:after="100" w:line="276" w:lineRule="auto"/>
      </w:pPr>
      <w:r>
        <w:rPr>
          <w:rFonts w:ascii="Times New Roman" w:hAnsi="Times New Roman"/>
          <w:color w:val="262626"/>
          <w:sz w:val="22"/>
        </w:rPr>
        <w:t>Table 4 reports the formal hypothesis testing results, evaluating pairwise model differences across the five seeds using two-tailed paired $t$-tests and non-parametric Wilcoxon signed-rank tests.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Comparison ($A$ vs. $B$)</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F1 ($A$)</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F1 ($B$)</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Difference ($A - B$)</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Paired $t$-test $p$-value</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Wilcoxon $p$-value</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Statistically Significant ($\alpha = 0.05$)?</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Isolation Forest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0.471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0.467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0.860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0.813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No</w:t>
            </w:r>
            <w:r>
              <w:rPr>
                <w:rFonts w:ascii="Times New Roman" w:hAnsi="Times New Roman"/>
                <w:color w:val="262626"/>
                <w:sz w:val="19"/>
              </w:rPr>
              <w:t xml:space="preserve"> ($p = 0.86$)</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FC Autoencoder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0.471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0.445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+0.026</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0.379</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0.625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No</w:t>
            </w:r>
            <w:r>
              <w:rPr>
                <w:rFonts w:ascii="Times New Roman" w:hAnsi="Times New Roman"/>
                <w:color w:val="262626"/>
                <w:sz w:val="19"/>
              </w:rPr>
              <w:t xml:space="preserve"> ($p = 0.38$)</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LSTM-AE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0.471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0.323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+0.147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0.012</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0.063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Yes</w:t>
            </w:r>
            <w:r>
              <w:rPr>
                <w:rFonts w:ascii="Times New Roman" w:hAnsi="Times New Roman"/>
                <w:color w:val="262626"/>
                <w:sz w:val="19"/>
              </w:rPr>
              <w:t xml:space="preserve"> ($p &lt; 0.05$)</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vs. FC-AE</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0.467</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0.445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+0.022</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0.573</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No</w:t>
            </w:r>
            <w:r>
              <w:rPr>
                <w:rFonts w:ascii="Times New Roman" w:hAnsi="Times New Roman"/>
                <w:color w:val="262626"/>
                <w:sz w:val="19"/>
              </w:rPr>
              <w:t xml:space="preserve"> ($p = 0.57$)</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vs. LSTM-AE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0.467</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0.323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+0.143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0.033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0.063</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Yes</w:t>
            </w:r>
            <w:r>
              <w:rPr>
                <w:rFonts w:ascii="Times New Roman" w:hAnsi="Times New Roman"/>
                <w:color w:val="262626"/>
                <w:sz w:val="19"/>
              </w:rPr>
              <w:t xml:space="preserve"> ($p &lt; 0.05$)</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FC-AE vs. LSTM-AE</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0.445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0.323</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+0.122</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0.005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0.063</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Yes</w:t>
            </w:r>
            <w:r>
              <w:rPr>
                <w:rFonts w:ascii="Times New Roman" w:hAnsi="Times New Roman"/>
                <w:color w:val="262626"/>
                <w:sz w:val="19"/>
              </w:rPr>
              <w:t xml:space="preserve"> ($p &lt; 0.01$)</w:t>
            </w:r>
          </w:p>
        </w:tc>
      </w:tr>
    </w:tbl>
    <w:p>
      <w:pPr>
        <w:spacing w:before="80" w:after="120"/>
      </w:pPr>
    </w:p>
    <w:p>
      <w:pPr>
        <w:spacing w:before="40" w:after="100" w:line="276" w:lineRule="auto"/>
      </w:pPr>
      <w:r>
        <w:rPr>
          <w:rFonts w:ascii="Times New Roman" w:hAnsi="Times New Roman"/>
          <w:i/>
          <w:color w:val="262626"/>
          <w:sz w:val="22"/>
        </w:rPr>
        <w:t>Table 4: Statistical hypothesis testing for F1-score differences across five random seeds.</w:t>
      </w:r>
    </w:p>
    <w:p>
      <w:pPr>
        <w:spacing w:before="40" w:after="100" w:line="276" w:lineRule="auto"/>
      </w:pPr>
      <w:r>
        <w:rPr>
          <w:rFonts w:ascii="Times New Roman" w:hAnsi="Times New Roman"/>
          <w:color w:val="262626"/>
          <w:sz w:val="22"/>
        </w:rPr>
        <w:t>The statistical tests confirm two critical insights:</w:t>
      </w:r>
    </w:p>
    <w:p>
      <w:pPr>
        <w:pStyle w:val="ListNumber"/>
        <w:spacing w:before="30" w:after="30" w:line="276" w:lineRule="auto"/>
      </w:pPr>
      <w:r>
        <w:rPr>
          <w:rFonts w:ascii="Times New Roman" w:hAnsi="Times New Roman"/>
          <w:b/>
          <w:color w:val="262626"/>
          <w:sz w:val="22"/>
        </w:rPr>
        <w:t>Statistical Mean Z-Score and Isolation Forest are statistically indistinguishable</w:t>
      </w:r>
      <w:r>
        <w:rPr>
          <w:rFonts w:ascii="Times New Roman" w:hAnsi="Times New Roman"/>
          <w:color w:val="262626"/>
          <w:sz w:val="22"/>
        </w:rPr>
        <w:t xml:space="preserve"> ($p = 0.860$). Across five seeds, the 0.004 F1 difference is negligible, proving that a zero-parameter statistical formula matches an ensemble of 200 trees.</w:t>
      </w:r>
    </w:p>
    <w:p>
      <w:pPr>
        <w:pStyle w:val="ListNumber"/>
        <w:spacing w:before="30" w:after="30" w:line="276" w:lineRule="auto"/>
      </w:pPr>
      <w:r>
        <w:rPr>
          <w:rFonts w:ascii="Times New Roman" w:hAnsi="Times New Roman"/>
          <w:b/>
          <w:color w:val="262626"/>
          <w:sz w:val="22"/>
        </w:rPr>
        <w:t>Both Classical Baselines and FC-AE significantly outperform the LSTM Autoencoder on point-wise F1</w:t>
      </w:r>
      <w:r>
        <w:rPr>
          <w:rFonts w:ascii="Times New Roman" w:hAnsi="Times New Roman"/>
          <w:color w:val="262626"/>
          <w:sz w:val="22"/>
        </w:rPr>
        <w:t xml:space="preserve"> ($p = 0.012$ and $p = 0.033$). The LSTM-AE exhibits pronounced seed variance in discrimination metrics (ROC-AUC standard deviation of ±0.067 vs. ±0.003 for Statistical and IF), demonstrating optimization fragility on single-condition data.</w:t>
      </w:r>
    </w:p>
    <w:p>
      <w:pPr>
        <w:spacing w:before="120" w:after="120"/>
      </w:pPr>
      <w:r>
        <w:rPr>
          <w:color w:val="BDC3C7"/>
          <w:sz w:val="16"/>
        </w:rPr>
        <w:t>―――――――――――――――――――――――――――――――――――――――――――――――――――――――</w:t>
      </w:r>
    </w:p>
    <w:p>
      <w:pPr>
        <w:keepNext/>
        <w:spacing w:before="200" w:after="60"/>
      </w:pPr>
      <w:r>
        <w:rPr>
          <w:rFonts w:ascii="Times New Roman" w:hAnsi="Times New Roman"/>
          <w:b/>
          <w:color w:val="1F4E79"/>
          <w:sz w:val="24"/>
        </w:rPr>
        <w:t>5.3 The Classification-Lead Time Paradox</w:t>
      </w:r>
    </w:p>
    <w:p>
      <w:pPr>
        <w:spacing w:before="40" w:after="100" w:line="276" w:lineRule="auto"/>
      </w:pPr>
      <w:r>
        <w:rPr>
          <w:rFonts w:ascii="Times New Roman" w:hAnsi="Times New Roman"/>
          <w:color w:val="262626"/>
          <w:sz w:val="22"/>
        </w:rPr>
        <w:t xml:space="preserve">Why does the LSTM Autoencoder yield lower classification metrics despite its advanced recurrent architecture? Analyzing the early-warning metrics in Tables 2 and 3 uncovers a fundamental phenomenon that we term the </w:t>
      </w:r>
      <w:r>
        <w:rPr>
          <w:rFonts w:ascii="Times New Roman" w:hAnsi="Times New Roman"/>
          <w:b/>
          <w:color w:val="262626"/>
          <w:sz w:val="22"/>
        </w:rPr>
        <w:t>Classification-Lead Time Paradox</w:t>
      </w:r>
      <w:r>
        <w:rPr>
          <w:rFonts w:ascii="Times New Roman" w:hAnsi="Times New Roman"/>
          <w:color w:val="262626"/>
          <w:sz w:val="22"/>
        </w:rPr>
        <w:t>.</w:t>
      </w:r>
    </w:p>
    <w:p>
      <w:pPr>
        <w:spacing w:before="40" w:after="100" w:line="276" w:lineRule="auto"/>
      </w:pPr>
      <w:r>
        <w:rPr>
          <w:rFonts w:ascii="Times New Roman" w:hAnsi="Times New Roman"/>
          <w:color w:val="262626"/>
          <w:sz w:val="22"/>
        </w:rPr>
        <w:t>In standard benchmark evaluations, point-wise classification metrics define ground truth via an arbitrary step function: cycles where $RUL &gt; 30$ are defined as normal ($y=0$), while cycles where $RUL \le 30$ are defined as anomalous ($y=1$). However, physical machine degradation does not begin abruptly at cycle 30 prior to failure; it is an incipient, smooth physical process that initiates dozens or hundreds of cycles earlier.</w:t>
      </w:r>
    </w:p>
    <w:p>
      <w:pPr>
        <w:spacing w:before="40" w:after="100" w:line="276" w:lineRule="auto"/>
      </w:pPr>
      <w:r>
        <w:rPr>
          <w:rFonts w:ascii="Times New Roman" w:hAnsi="Times New Roman"/>
          <w:color w:val="262626"/>
          <w:sz w:val="22"/>
        </w:rPr>
        <w:t xml:space="preserve">Because the LSTM Autoencoder models temporal sequences across a 30-cycle sliding window, its recurrent reconstruction error begins elevating as soon as subtle, incipient drift occurs in the sensor trends—frequently 40 to 60 cycles before failure. When evaluated under the 5-cycle persistence filter, </w:t>
      </w:r>
      <w:r>
        <w:rPr>
          <w:rFonts w:ascii="Times New Roman" w:hAnsi="Times New Roman"/>
          <w:b/>
          <w:color w:val="262626"/>
          <w:sz w:val="22"/>
        </w:rPr>
        <w:t>LSTM-AE achieves an average lead time of 50.0 cycles on the FD001 test split</w:t>
      </w:r>
      <w:r>
        <w:rPr>
          <w:rFonts w:ascii="Times New Roman" w:hAnsi="Times New Roman"/>
          <w:color w:val="262626"/>
          <w:sz w:val="22"/>
        </w:rPr>
        <w:t xml:space="preserve">, and an average lead time of </w:t>
      </w:r>
      <w:r>
        <w:rPr>
          <w:rFonts w:ascii="Times New Roman" w:hAnsi="Times New Roman"/>
          <w:b/>
          <w:color w:val="262626"/>
          <w:sz w:val="22"/>
        </w:rPr>
        <w:t>25.44 ± 16.90 cycles</w:t>
      </w:r>
      <w:r>
        <w:rPr>
          <w:rFonts w:ascii="Times New Roman" w:hAnsi="Times New Roman"/>
          <w:color w:val="262626"/>
          <w:sz w:val="22"/>
        </w:rPr>
        <w:t xml:space="preserve"> across multi-seed runs. In contrast, the Statistical Mean Z-score and Isolation Forest trigger warnings at </w:t>
      </w:r>
      <w:r>
        <w:rPr>
          <w:rFonts w:ascii="Times New Roman" w:hAnsi="Times New Roman"/>
          <w:b/>
          <w:color w:val="262626"/>
          <w:sz w:val="22"/>
        </w:rPr>
        <w:t>10.5 cycles</w:t>
      </w:r>
      <w:r>
        <w:rPr>
          <w:rFonts w:ascii="Times New Roman" w:hAnsi="Times New Roman"/>
          <w:color w:val="262626"/>
          <w:sz w:val="22"/>
        </w:rPr>
        <w:t xml:space="preserve"> and </w:t>
      </w:r>
      <w:r>
        <w:rPr>
          <w:rFonts w:ascii="Times New Roman" w:hAnsi="Times New Roman"/>
          <w:b/>
          <w:color w:val="262626"/>
          <w:sz w:val="22"/>
        </w:rPr>
        <w:t>11.1 cycles</w:t>
      </w:r>
      <w:r>
        <w:rPr>
          <w:rFonts w:ascii="Times New Roman" w:hAnsi="Times New Roman"/>
          <w:color w:val="262626"/>
          <w:sz w:val="22"/>
        </w:rPr>
        <w:t xml:space="preserve"> before failure, respectively.</w:t>
      </w:r>
    </w:p>
    <w:p>
      <w:pPr>
        <w:spacing w:before="40" w:after="100" w:line="276" w:lineRule="auto"/>
      </w:pPr>
      <w:r>
        <w:rPr>
          <w:rFonts w:ascii="Times New Roman" w:hAnsi="Times New Roman"/>
          <w:color w:val="262626"/>
          <w:sz w:val="22"/>
        </w:rPr>
        <w:t xml:space="preserve">When an algorithm triggers an anomaly alarm at cycle 45 before failure ($RUL = 45$), the point-wise classification evaluator treats all alarms between cycle 45 and cycle 31 as </w:t>
      </w:r>
      <w:r>
        <w:rPr>
          <w:rFonts w:ascii="Times New Roman" w:hAnsi="Times New Roman"/>
          <w:b/>
          <w:color w:val="262626"/>
          <w:sz w:val="22"/>
        </w:rPr>
        <w:t>False Positives</w:t>
      </w:r>
      <w:r>
        <w:rPr>
          <w:rFonts w:ascii="Times New Roman" w:hAnsi="Times New Roman"/>
          <w:color w:val="262626"/>
          <w:sz w:val="22"/>
        </w:rPr>
        <w:t>! Consequently, the algorithm's Precision and F1-score are heavily penalized. Conversely, models like the Mean Z-score only breach the 95th percentile threshold when sensor values exhibit severe, late-stage deviations—precisely when $RUL \le 15$. Because their detections fall almost entirely within the ground-truth anomaly window ($RUL \le 30$), their Precision reaches 1.000, and their F1-score peaks at 0.602.</w:t>
      </w:r>
    </w:p>
    <w:p>
      <w:pPr>
        <w:spacing w:before="40" w:after="100" w:line="276" w:lineRule="auto"/>
      </w:pPr>
      <w:r>
        <w:rPr>
          <w:rFonts w:ascii="Times New Roman" w:hAnsi="Times New Roman"/>
          <w:color w:val="262626"/>
          <w:sz w:val="22"/>
        </w:rPr>
        <w:t xml:space="preserve">Thus, </w:t>
      </w:r>
      <w:r>
        <w:rPr>
          <w:rFonts w:ascii="Times New Roman" w:hAnsi="Times New Roman"/>
          <w:b/>
          <w:color w:val="262626"/>
          <w:sz w:val="22"/>
        </w:rPr>
        <w:t>high point-wise classification F1-scores favor reactive, late-stage anomaly detection, while penalizing proactive, early-warning prognostics</w:t>
      </w:r>
      <w:r>
        <w:rPr>
          <w:rFonts w:ascii="Times New Roman" w:hAnsi="Times New Roman"/>
          <w:color w:val="262626"/>
          <w:sz w:val="22"/>
        </w:rPr>
        <w:t>. From an operational standpoint, a maintenance alert triggered 10 cycles before failure provides insufficient time to order replacement components, schedule technicians, or gracefully reroute production. The LSTM-AE provides actionable prognostic lead time (3 to 5 times earlier warning), directly contradicting the ranking implied by standard F1 metrics.</w:t>
      </w:r>
    </w:p>
    <w:p>
      <w:pPr>
        <w:spacing w:before="120" w:after="120"/>
      </w:pPr>
      <w:r>
        <w:rPr>
          <w:color w:val="BDC3C7"/>
          <w:sz w:val="16"/>
        </w:rPr>
        <w:t>―――――――――――――――――――――――――――――――――――――――――――――――――――――――</w:t>
      </w:r>
    </w:p>
    <w:p>
      <w:pPr>
        <w:keepNext/>
        <w:spacing w:before="200" w:after="60"/>
      </w:pPr>
      <w:r>
        <w:rPr>
          <w:rFonts w:ascii="Times New Roman" w:hAnsi="Times New Roman"/>
          <w:b/>
          <w:color w:val="1F4E79"/>
          <w:sz w:val="24"/>
        </w:rPr>
        <w:t>5.4 Threshold Sensitivity Analysis</w:t>
      </w:r>
    </w:p>
    <w:p>
      <w:pPr>
        <w:spacing w:before="40" w:after="100" w:line="276" w:lineRule="auto"/>
      </w:pPr>
      <w:r>
        <w:rPr>
          <w:rFonts w:ascii="Times New Roman" w:hAnsi="Times New Roman"/>
          <w:color w:val="262626"/>
          <w:sz w:val="22"/>
        </w:rPr>
        <w:t>To address RQ5, we evaluate how the seven threshold selection strategies affect performance on the FD001 test set. Table 5 presents the sensitivity profile for the top-performing Statistical Mean Z-score detector.</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Threshold Strategy</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Threshold Value ($\tau$)</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Precision</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Recall</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FAR</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True Positives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False Positives</w:t>
            </w:r>
          </w:p>
        </w:tc>
      </w:tr>
      <w:tr>
        <w:tc>
          <w:tcPr>
            <w:tcW w:type="dxa" w:w="936"/>
            <w:shd w:fill="F2F5F8"/>
            <w:tcMar>
              <w:top w:w="100" w:type="dxa"/>
              <w:bottom w:w="100" w:type="dxa"/>
              <w:left w:w="140" w:type="dxa"/>
              <w:right w:w="140" w:type="dxa"/>
            </w:tcMar>
          </w:tcPr>
          <w:p>
            <w:pPr>
              <w:spacing w:before="40" w:after="40" w:line="252" w:lineRule="auto"/>
            </w:pPr>
            <w:r/>
            <w:r>
              <w:rPr>
                <w:rFonts w:ascii="Consolas" w:hAnsi="Consolas"/>
                <w:color w:val="990000"/>
                <w:sz w:val="17"/>
              </w:rPr>
              <w:t>percentile_90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1.782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0.921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0.751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0.827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0.011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22.07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349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30</w:t>
            </w:r>
          </w:p>
        </w:tc>
      </w:tr>
      <w:tr>
        <w:tc>
          <w:tcPr>
            <w:tcW w:type="dxa" w:w="936"/>
            <w:shd w:fill="FFFFFF"/>
            <w:tcMar>
              <w:top w:w="100" w:type="dxa"/>
              <w:bottom w:w="100" w:type="dxa"/>
              <w:left w:w="140" w:type="dxa"/>
              <w:right w:w="140" w:type="dxa"/>
            </w:tcMar>
          </w:tcPr>
          <w:p>
            <w:pPr>
              <w:spacing w:before="40" w:after="40" w:line="252" w:lineRule="auto"/>
            </w:pPr>
            <w:r/>
            <w:r>
              <w:rPr>
                <w:rFonts w:ascii="Consolas" w:hAnsi="Consolas"/>
                <w:color w:val="990000"/>
                <w:sz w:val="17"/>
              </w:rPr>
              <w:t>percentile_95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2.236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0.430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0.602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93.3%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10.50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w:t>
            </w:r>
          </w:p>
        </w:tc>
      </w:tr>
      <w:tr>
        <w:tc>
          <w:tcPr>
            <w:tcW w:type="dxa" w:w="936"/>
            <w:shd w:fill="F2F5F8"/>
            <w:tcMar>
              <w:top w:w="100" w:type="dxa"/>
              <w:bottom w:w="100" w:type="dxa"/>
              <w:left w:w="140" w:type="dxa"/>
              <w:right w:w="140" w:type="dxa"/>
            </w:tcMar>
          </w:tcPr>
          <w:p>
            <w:pPr>
              <w:spacing w:before="40" w:after="40" w:line="252" w:lineRule="auto"/>
            </w:pPr>
            <w:r/>
            <w:r>
              <w:rPr>
                <w:rFonts w:ascii="Consolas" w:hAnsi="Consolas"/>
                <w:color w:val="990000"/>
                <w:sz w:val="17"/>
              </w:rPr>
              <w:t>percentile_99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2.717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0.125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0.222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33.3%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5.20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58</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w:t>
            </w:r>
          </w:p>
        </w:tc>
      </w:tr>
      <w:tr>
        <w:tc>
          <w:tcPr>
            <w:tcW w:type="dxa" w:w="936"/>
            <w:shd w:fill="FFFFFF"/>
            <w:tcMar>
              <w:top w:w="100" w:type="dxa"/>
              <w:bottom w:w="100" w:type="dxa"/>
              <w:left w:w="140" w:type="dxa"/>
              <w:right w:w="140" w:type="dxa"/>
            </w:tcMar>
          </w:tcPr>
          <w:p>
            <w:pPr>
              <w:spacing w:before="40" w:after="40" w:line="252" w:lineRule="auto"/>
            </w:pPr>
            <w:r/>
            <w:r>
              <w:rPr>
                <w:rFonts w:ascii="Consolas" w:hAnsi="Consolas"/>
                <w:color w:val="990000"/>
                <w:sz w:val="17"/>
              </w:rPr>
              <w:t>mean_2std</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2.053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0.984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0.538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0.695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14.60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250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w:t>
            </w:r>
          </w:p>
        </w:tc>
      </w:tr>
      <w:tr>
        <w:tc>
          <w:tcPr>
            <w:tcW w:type="dxa" w:w="936"/>
            <w:shd w:fill="F2F5F8"/>
            <w:tcMar>
              <w:top w:w="100" w:type="dxa"/>
              <w:bottom w:w="100" w:type="dxa"/>
              <w:left w:w="140" w:type="dxa"/>
              <w:right w:w="140" w:type="dxa"/>
            </w:tcMar>
          </w:tcPr>
          <w:p>
            <w:pPr>
              <w:spacing w:before="40" w:after="40" w:line="252" w:lineRule="auto"/>
            </w:pPr>
            <w:r/>
            <w:r>
              <w:rPr>
                <w:rFonts w:ascii="Consolas" w:hAnsi="Consolas"/>
                <w:color w:val="990000"/>
                <w:sz w:val="17"/>
              </w:rPr>
              <w:t>mean_3std</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2.567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0.213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0.351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99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w:t>
            </w:r>
          </w:p>
        </w:tc>
      </w:tr>
      <w:tr>
        <w:tc>
          <w:tcPr>
            <w:tcW w:type="dxa" w:w="936"/>
            <w:shd w:fill="FFFFFF"/>
            <w:tcMar>
              <w:top w:w="100" w:type="dxa"/>
              <w:bottom w:w="100" w:type="dxa"/>
              <w:left w:w="140" w:type="dxa"/>
              <w:right w:w="140" w:type="dxa"/>
            </w:tcMar>
          </w:tcPr>
          <w:p>
            <w:pPr>
              <w:spacing w:before="40" w:after="40" w:line="252" w:lineRule="auto"/>
            </w:pPr>
            <w:r/>
            <w:r>
              <w:rPr>
                <w:rFonts w:ascii="Consolas" w:hAnsi="Consolas"/>
                <w:color w:val="990000"/>
                <w:sz w:val="17"/>
              </w:rPr>
              <w:t>iqr_1.5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1.905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0.966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0.671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0.792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18.13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312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w:t>
            </w:r>
          </w:p>
        </w:tc>
      </w:tr>
      <w:tr>
        <w:tc>
          <w:tcPr>
            <w:tcW w:type="dxa" w:w="936"/>
            <w:shd w:fill="F2F5F8"/>
            <w:tcMar>
              <w:top w:w="100" w:type="dxa"/>
              <w:bottom w:w="100" w:type="dxa"/>
              <w:left w:w="140" w:type="dxa"/>
              <w:right w:w="140" w:type="dxa"/>
            </w:tcMar>
          </w:tcPr>
          <w:p>
            <w:pPr>
              <w:spacing w:before="40" w:after="40" w:line="252" w:lineRule="auto"/>
            </w:pPr>
            <w:r/>
            <w:r>
              <w:rPr>
                <w:rFonts w:ascii="Consolas" w:hAnsi="Consolas"/>
                <w:color w:val="990000"/>
                <w:sz w:val="17"/>
              </w:rPr>
              <w:t>iqr_3.0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2.646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0.161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0.278</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46.7%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5.43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i/>
                <w:color w:val="262626"/>
                <w:sz w:val="19"/>
              </w:rPr>
              <w:t>Validation Best F1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1.486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0.781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0.880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0.827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0.043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30.27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409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115</w:t>
            </w:r>
          </w:p>
        </w:tc>
      </w:tr>
    </w:tbl>
    <w:p>
      <w:pPr>
        <w:spacing w:before="80" w:after="120"/>
      </w:pPr>
    </w:p>
    <w:p>
      <w:pPr>
        <w:spacing w:before="40" w:after="100" w:line="276" w:lineRule="auto"/>
      </w:pPr>
      <w:r>
        <w:rPr>
          <w:rFonts w:ascii="Times New Roman" w:hAnsi="Times New Roman"/>
          <w:i/>
          <w:color w:val="262626"/>
          <w:sz w:val="22"/>
        </w:rPr>
        <w:t>Table 5: Threshold sensitivity analysis for the Statistical Mean Z-score detector across seven mathematical strategies on FD001.</w:t>
      </w:r>
    </w:p>
    <w:p>
      <w:pPr>
        <w:spacing w:before="40" w:after="100" w:line="276" w:lineRule="auto"/>
      </w:pPr>
      <w:r>
        <w:rPr>
          <w:rFonts w:ascii="Times New Roman" w:hAnsi="Times New Roman"/>
          <w:color w:val="262626"/>
          <w:sz w:val="22"/>
        </w:rPr>
        <w:t>The sensitivity analysis in Table 5 illustrates the steep operational trade-offs governed by threshold selection:</w:t>
      </w:r>
    </w:p>
    <w:p>
      <w:pPr>
        <w:pStyle w:val="ListBullet"/>
        <w:spacing w:before="30" w:after="30" w:line="276" w:lineRule="auto"/>
      </w:pPr>
      <w:r>
        <w:rPr>
          <w:rFonts w:ascii="Times New Roman" w:hAnsi="Times New Roman"/>
          <w:b/>
          <w:color w:val="262626"/>
          <w:sz w:val="22"/>
        </w:rPr>
        <w:t>The Conservative Regime (`percentile_99`, `mean_3std`, `iqr_3.0`)</w:t>
      </w:r>
      <w:r>
        <w:rPr>
          <w:rFonts w:ascii="Times New Roman" w:hAnsi="Times New Roman"/>
          <w:color w:val="262626"/>
          <w:sz w:val="22"/>
        </w:rPr>
        <w:t>: Enforcing strict outlier criteria completely eliminates false alarms ($\text{FAR} = 0.000, \text{FP} = 0$). However, recall collapses to 12.5%–21.3%, failure detection rate drops to 33.3%–60.0%, and lead time falls to just 5.2 cycles before failure—jeopardizing asset safety.</w:t>
      </w:r>
    </w:p>
    <w:p>
      <w:pPr>
        <w:pStyle w:val="ListBullet"/>
        <w:spacing w:before="30" w:after="30" w:line="276" w:lineRule="auto"/>
      </w:pPr>
      <w:r>
        <w:rPr>
          <w:rFonts w:ascii="Times New Roman" w:hAnsi="Times New Roman"/>
          <w:b/>
          <w:color w:val="262626"/>
          <w:sz w:val="22"/>
        </w:rPr>
        <w:t>The Balanced Robust Regime (`iqr_1.5`, `mean_2std`)</w:t>
      </w:r>
      <w:r>
        <w:rPr>
          <w:rFonts w:ascii="Times New Roman" w:hAnsi="Times New Roman"/>
          <w:color w:val="262626"/>
          <w:sz w:val="22"/>
        </w:rPr>
        <w:t>: Tukey's standard interquartile fence (</w:t>
      </w:r>
      <w:r>
        <w:rPr>
          <w:rFonts w:ascii="Consolas" w:hAnsi="Consolas"/>
          <w:color w:val="990000"/>
          <w:sz w:val="20"/>
        </w:rPr>
        <w:t>iqr_1.5</w:t>
      </w:r>
      <w:r>
        <w:rPr>
          <w:rFonts w:ascii="Times New Roman" w:hAnsi="Times New Roman"/>
          <w:color w:val="262626"/>
          <w:sz w:val="22"/>
        </w:rPr>
        <w:t>) strikes an outstanding balance: achieving an F1-score of 0.792, a 100% detection rate across all failing engines, and an 18.13-cycle lead time, while maintaining a negligible false alarm rate of 0.41% (only 11 false positive cycles out of 2,680 normal cycles).</w:t>
      </w:r>
    </w:p>
    <w:p>
      <w:pPr>
        <w:pStyle w:val="ListBullet"/>
        <w:spacing w:before="30" w:after="30" w:line="276" w:lineRule="auto"/>
      </w:pPr>
      <w:r>
        <w:rPr>
          <w:rFonts w:ascii="Times New Roman" w:hAnsi="Times New Roman"/>
          <w:b/>
          <w:color w:val="262626"/>
          <w:sz w:val="22"/>
        </w:rPr>
        <w:t>The Sensitive Early-Warning Regime (`percentile_90`)</w:t>
      </w:r>
      <w:r>
        <w:rPr>
          <w:rFonts w:ascii="Times New Roman" w:hAnsi="Times New Roman"/>
          <w:color w:val="262626"/>
          <w:sz w:val="22"/>
        </w:rPr>
        <w:t>: At the 90th percentile, the model captures 75.1% recall and extends mean lead time to 22.07 cycles with a 100% engine detection rate, at the cost of a modest 1.1% false alarm rate.</w:t>
      </w:r>
    </w:p>
    <w:p>
      <w:pPr>
        <w:spacing w:before="40" w:after="100" w:line="276" w:lineRule="auto"/>
      </w:pPr>
      <w:r>
        <w:rPr>
          <w:rFonts w:ascii="Times New Roman" w:hAnsi="Times New Roman"/>
          <w:color w:val="262626"/>
          <w:sz w:val="22"/>
        </w:rPr>
        <w:t>This confirms that threshold selection cannot be decoupled from maintenance economics: in high-consequence aerospace assets, operators will gladly accept a 1% false alarm rate to gain 22 cycles of advance warning.</w:t>
      </w:r>
    </w:p>
    <w:p>
      <w:pPr>
        <w:spacing w:before="120" w:after="120"/>
      </w:pPr>
      <w:r>
        <w:rPr>
          <w:color w:val="BDC3C7"/>
          <w:sz w:val="16"/>
        </w:rPr>
        <w:t>―――――――――――――――――――――――――――――――――――――――――――――――――――――――</w:t>
      </w:r>
    </w:p>
    <w:p>
      <w:pPr>
        <w:keepNext/>
        <w:spacing w:before="200" w:after="60"/>
      </w:pPr>
      <w:r>
        <w:rPr>
          <w:rFonts w:ascii="Times New Roman" w:hAnsi="Times New Roman"/>
          <w:b/>
          <w:color w:val="1F4E79"/>
          <w:sz w:val="24"/>
        </w:rPr>
        <w:t>5.5 Impact of Operating Conditions and Complex Fault Modes</w:t>
      </w:r>
    </w:p>
    <w:p>
      <w:pPr>
        <w:spacing w:before="40" w:after="100" w:line="276" w:lineRule="auto"/>
      </w:pPr>
      <w:r>
        <w:rPr>
          <w:rFonts w:ascii="Times New Roman" w:hAnsi="Times New Roman"/>
          <w:color w:val="262626"/>
          <w:sz w:val="22"/>
        </w:rPr>
        <w:t>To resolve RQ3, we evaluate all models across all four C-MAPSS subsets, tracking how architectural performance evolves as operational complexity increases. Table 6 documents within-dataset performance across FD001, FD002, FD003, and FD004.</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Dataset Subset</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Operational Complexity</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Architecture</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Precision</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Recall</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FAR</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Cond, 1 Fault</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0.602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0.430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93.3%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10.5</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0.983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0.381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11.1</w:t>
            </w:r>
          </w:p>
        </w:tc>
      </w:tr>
      <w:tr>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0.549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0.967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0.383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46.7%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18.6</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0.431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0.277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0.839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12.8</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 Conds, 1 Fault</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0.169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0.351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0.112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0.036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0.501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0.422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0.884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0.277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0.006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0.878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20.5%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7.6</w:t>
            </w:r>
          </w:p>
        </w:tc>
      </w:tr>
      <w:tr>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0.364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0.737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0.242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0.015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0.940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23.1%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20.7</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0.081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0.150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0.065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0.537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48.7%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109.6</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Cond, 2 Faults</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0.342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0.990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0.206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0.972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33.3%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17.2</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0.368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0.230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0.969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33.3%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19.2</w:t>
            </w:r>
          </w:p>
        </w:tc>
      </w:tr>
      <w:tr>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0.274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0.987</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0.159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9.5</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0.297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0.174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0.894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40.0%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12.2</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 Conds, 2 Faults</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0.196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0.309</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0.143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0.045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0.506</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0.429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0.725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0.305</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0.016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15.8%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14.3</w:t>
            </w:r>
          </w:p>
        </w:tc>
      </w:tr>
      <w:tr>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0.478</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0.791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0.343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0.013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0.964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42.1%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12.5</w:t>
            </w:r>
          </w:p>
        </w:tc>
      </w:tr>
      <w:tr>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0.083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0.156</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0.520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42.1%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111.6</w:t>
            </w:r>
          </w:p>
        </w:tc>
      </w:tr>
    </w:tbl>
    <w:p>
      <w:pPr>
        <w:spacing w:before="80" w:after="120"/>
      </w:pPr>
    </w:p>
    <w:p>
      <w:pPr>
        <w:spacing w:before="40" w:after="100" w:line="276" w:lineRule="auto"/>
      </w:pPr>
      <w:r>
        <w:rPr>
          <w:rFonts w:ascii="Times New Roman" w:hAnsi="Times New Roman"/>
          <w:i/>
          <w:color w:val="262626"/>
          <w:sz w:val="22"/>
        </w:rPr>
        <w:t>Table 6: Empirical evaluation across all four C-MAPSS subsets, illustrating performance evolution from benign single-condition to complex multi-condition environments.</w:t>
      </w:r>
    </w:p>
    <w:p>
      <w:pPr>
        <w:spacing w:before="40" w:after="100" w:line="276" w:lineRule="auto"/>
      </w:pPr>
      <w:r>
        <w:rPr>
          <w:rFonts w:ascii="Times New Roman" w:hAnsi="Times New Roman"/>
          <w:color w:val="262626"/>
          <w:sz w:val="22"/>
        </w:rPr>
        <w:t>Table 6 reveals a critical architectural divergence:</w:t>
      </w:r>
    </w:p>
    <w:p>
      <w:pPr>
        <w:pStyle w:val="ListNumber"/>
        <w:spacing w:before="30" w:after="30" w:line="276" w:lineRule="auto"/>
      </w:pPr>
      <w:r>
        <w:rPr>
          <w:rFonts w:ascii="Times New Roman" w:hAnsi="Times New Roman"/>
          <w:b/>
          <w:color w:val="262626"/>
          <w:sz w:val="22"/>
        </w:rPr>
        <w:t>The Catastrophic Breakdown of Simple Statistics in Multi-Regime Settings</w:t>
      </w:r>
      <w:r>
        <w:rPr>
          <w:rFonts w:ascii="Times New Roman" w:hAnsi="Times New Roman"/>
          <w:color w:val="262626"/>
          <w:sz w:val="22"/>
        </w:rPr>
        <w:t xml:space="preserve">: While the Statistical Mean Z-score dominated single-condition FD001, its performance </w:t>
      </w:r>
      <w:r>
        <w:rPr>
          <w:rFonts w:ascii="Times New Roman" w:hAnsi="Times New Roman"/>
          <w:b/>
          <w:color w:val="262626"/>
          <w:sz w:val="22"/>
        </w:rPr>
        <w:t>collapses completely</w:t>
      </w:r>
      <w:r>
        <w:rPr>
          <w:rFonts w:ascii="Times New Roman" w:hAnsi="Times New Roman"/>
          <w:color w:val="262626"/>
          <w:sz w:val="22"/>
        </w:rPr>
        <w:t xml:space="preserve"> on multi-condition datasets FD002 and FD004. On FD002, its ROC-AUC drops to </w:t>
      </w:r>
      <w:r>
        <w:rPr>
          <w:rFonts w:ascii="Times New Roman" w:hAnsi="Times New Roman"/>
          <w:b/>
          <w:color w:val="262626"/>
          <w:sz w:val="22"/>
        </w:rPr>
        <w:t>0.501</w:t>
      </w:r>
      <w:r>
        <w:rPr>
          <w:rFonts w:ascii="Times New Roman" w:hAnsi="Times New Roman"/>
          <w:color w:val="262626"/>
          <w:sz w:val="22"/>
        </w:rPr>
        <w:t xml:space="preserve"> (equivalent to random guessing), its detection rate falls to </w:t>
      </w:r>
      <w:r>
        <w:rPr>
          <w:rFonts w:ascii="Times New Roman" w:hAnsi="Times New Roman"/>
          <w:b/>
          <w:color w:val="262626"/>
          <w:sz w:val="22"/>
        </w:rPr>
        <w:t>0.0%</w:t>
      </w:r>
      <w:r>
        <w:rPr>
          <w:rFonts w:ascii="Times New Roman" w:hAnsi="Times New Roman"/>
          <w:color w:val="262626"/>
          <w:sz w:val="22"/>
        </w:rPr>
        <w:t>, and it fails to detect a single failing engine. In multi-regime environments, sensor fluctuations induced by throttling, altitude shifts, and Mach transitions swamp degradation signals. Because a static mean z-score assumes unimodal Gaussian distributions, normal flight transitions appear as massive anomalies, rendering the method useless without regime normalization.</w:t>
      </w:r>
    </w:p>
    <w:p>
      <w:pPr>
        <w:pStyle w:val="ListNumber"/>
        <w:spacing w:before="30" w:after="30" w:line="276" w:lineRule="auto"/>
      </w:pPr>
      <w:r>
        <w:rPr>
          <w:rFonts w:ascii="Times New Roman" w:hAnsi="Times New Roman"/>
          <w:b/>
          <w:color w:val="262626"/>
          <w:sz w:val="22"/>
        </w:rPr>
        <w:t>Where Deep Learning Complexity Pays Dividends</w:t>
      </w:r>
      <w:r>
        <w:rPr>
          <w:rFonts w:ascii="Times New Roman" w:hAnsi="Times New Roman"/>
          <w:color w:val="262626"/>
          <w:sz w:val="22"/>
        </w:rPr>
        <w:t xml:space="preserve">: In complex multi-condition, multi-fault environments (FD004), the </w:t>
      </w:r>
      <w:r>
        <w:rPr>
          <w:rFonts w:ascii="Times New Roman" w:hAnsi="Times New Roman"/>
          <w:b/>
          <w:color w:val="262626"/>
          <w:sz w:val="22"/>
        </w:rPr>
        <w:t>Fully Connected Autoencoder achieves the highest performance</w:t>
      </w:r>
      <w:r>
        <w:rPr>
          <w:rFonts w:ascii="Times New Roman" w:hAnsi="Times New Roman"/>
          <w:color w:val="262626"/>
          <w:sz w:val="22"/>
        </w:rPr>
        <w:t xml:space="preserve">, with an ROC-AUC of </w:t>
      </w:r>
      <w:r>
        <w:rPr>
          <w:rFonts w:ascii="Times New Roman" w:hAnsi="Times New Roman"/>
          <w:b/>
          <w:color w:val="262626"/>
          <w:sz w:val="22"/>
        </w:rPr>
        <w:t>0.964</w:t>
      </w:r>
      <w:r>
        <w:rPr>
          <w:rFonts w:ascii="Times New Roman" w:hAnsi="Times New Roman"/>
          <w:color w:val="262626"/>
          <w:sz w:val="22"/>
        </w:rPr>
        <w:t xml:space="preserve"> and an F1-score of </w:t>
      </w:r>
      <w:r>
        <w:rPr>
          <w:rFonts w:ascii="Times New Roman" w:hAnsi="Times New Roman"/>
          <w:b/>
          <w:color w:val="262626"/>
          <w:sz w:val="22"/>
        </w:rPr>
        <w:t>0.478</w:t>
      </w:r>
      <w:r>
        <w:rPr>
          <w:rFonts w:ascii="Times New Roman" w:hAnsi="Times New Roman"/>
          <w:color w:val="262626"/>
          <w:sz w:val="22"/>
        </w:rPr>
        <w:t>. The non-linear bottleneck manifold successfully separates flight operating regimes from true degradation signatures.</w:t>
      </w:r>
    </w:p>
    <w:p>
      <w:pPr>
        <w:pStyle w:val="ListNumber"/>
        <w:spacing w:before="30" w:after="30" w:line="276" w:lineRule="auto"/>
      </w:pPr>
      <w:r>
        <w:rPr>
          <w:rFonts w:ascii="Times New Roman" w:hAnsi="Times New Roman"/>
          <w:b/>
          <w:color w:val="262626"/>
          <w:sz w:val="22"/>
        </w:rPr>
        <w:t>Extreme Early Warnings by LSTM-AE in Multi-Condition Regimes</w:t>
      </w:r>
      <w:r>
        <w:rPr>
          <w:rFonts w:ascii="Times New Roman" w:hAnsi="Times New Roman"/>
          <w:color w:val="262626"/>
          <w:sz w:val="22"/>
        </w:rPr>
        <w:t xml:space="preserve">: On FD002 and FD004, the LSTM Autoencoder registers massive lead times of </w:t>
      </w:r>
      <w:r>
        <w:rPr>
          <w:rFonts w:ascii="Times New Roman" w:hAnsi="Times New Roman"/>
          <w:b/>
          <w:color w:val="262626"/>
          <w:sz w:val="22"/>
        </w:rPr>
        <w:t>109.6 cycles</w:t>
      </w:r>
      <w:r>
        <w:rPr>
          <w:rFonts w:ascii="Times New Roman" w:hAnsi="Times New Roman"/>
          <w:color w:val="262626"/>
          <w:sz w:val="22"/>
        </w:rPr>
        <w:t xml:space="preserve"> and </w:t>
      </w:r>
      <w:r>
        <w:rPr>
          <w:rFonts w:ascii="Times New Roman" w:hAnsi="Times New Roman"/>
          <w:b/>
          <w:color w:val="262626"/>
          <w:sz w:val="22"/>
        </w:rPr>
        <w:t>111.6 cycles</w:t>
      </w:r>
      <w:r>
        <w:rPr>
          <w:rFonts w:ascii="Times New Roman" w:hAnsi="Times New Roman"/>
          <w:color w:val="262626"/>
          <w:sz w:val="22"/>
        </w:rPr>
        <w:t>, respectively, successfully warning operators over 100 flights in advance, while classical models struggle to exceed 15 cycles.</w:t>
      </w:r>
    </w:p>
    <w:p>
      <w:pPr>
        <w:spacing w:before="120" w:after="120"/>
      </w:pPr>
      <w:r>
        <w:rPr>
          <w:color w:val="BDC3C7"/>
          <w:sz w:val="16"/>
        </w:rPr>
        <w:t>―――――――――――――――――――――――――――――――――――――――――――――――――――――――</w:t>
      </w:r>
    </w:p>
    <w:p>
      <w:pPr>
        <w:keepNext/>
        <w:spacing w:before="200" w:after="60"/>
      </w:pPr>
      <w:r>
        <w:rPr>
          <w:rFonts w:ascii="Times New Roman" w:hAnsi="Times New Roman"/>
          <w:b/>
          <w:color w:val="1F4E79"/>
          <w:sz w:val="24"/>
        </w:rPr>
        <w:t>5.6 Cross-Condition Generalization and Transfer Robustness</w:t>
      </w:r>
    </w:p>
    <w:p>
      <w:pPr>
        <w:spacing w:before="40" w:after="100" w:line="276" w:lineRule="auto"/>
      </w:pPr>
      <w:r>
        <w:rPr>
          <w:rFonts w:ascii="Times New Roman" w:hAnsi="Times New Roman"/>
          <w:color w:val="262626"/>
          <w:sz w:val="22"/>
        </w:rPr>
        <w:t xml:space="preserve">In practical IIoT deployments, models trained on assets in controlled testing facilities or benign climates are often deployed into volatile operating environments. To address RQ6, we evaluate </w:t>
      </w:r>
      <w:r>
        <w:rPr>
          <w:rFonts w:ascii="Times New Roman" w:hAnsi="Times New Roman"/>
          <w:b/>
          <w:color w:val="262626"/>
          <w:sz w:val="22"/>
        </w:rPr>
        <w:t>zero-shot cross-dataset transfer</w:t>
      </w:r>
      <w:r>
        <w:rPr>
          <w:rFonts w:ascii="Times New Roman" w:hAnsi="Times New Roman"/>
          <w:color w:val="262626"/>
          <w:sz w:val="22"/>
        </w:rPr>
        <w:t>: models trained strictly on FD001 healthy data are deployed without retraining or recalibration onto test fleets of FD002, FD003, and FD004. Table 7 presents the results.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Source Training</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Target Dataset</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Transfer Shift Type</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Evaluated Model</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Precision</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Recall</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FAR</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i/>
                <w:color w:val="262626"/>
                <w:sz w:val="19"/>
              </w:rPr>
              <w:t>In-Domain (Baseline)</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0.602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0.430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93.3%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10.5</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0.983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0.381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11.1</w:t>
            </w:r>
          </w:p>
        </w:tc>
      </w:tr>
      <w:tr>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0.578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0.965</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0.413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0.937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15.4</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0.403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0.871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0.262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0.858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36.8</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i/>
                <w:color w:val="262626"/>
                <w:sz w:val="19"/>
              </w:rPr>
              <w:t>Operating Condition Shift</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0.269</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0.158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0.918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0.850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204.8</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i/>
                <w:color w:val="262626"/>
                <w:sz w:val="19"/>
              </w:rPr>
              <w:t>(1 Cond $\rightarrow$ 6 Conds)</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0.267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0.157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0.850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0.597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204.8</w:t>
            </w:r>
          </w:p>
        </w:tc>
      </w:tr>
      <w:tr>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0.268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0.157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0.928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0.866</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205.2</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0.292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0.171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0.494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180.0</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i/>
                <w:color w:val="262626"/>
                <w:sz w:val="19"/>
              </w:rPr>
              <w:t>Fault Mode Shift</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0.291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0.199</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0.546</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0.348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0.752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86.7%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97.7</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i/>
                <w:color w:val="262626"/>
                <w:sz w:val="19"/>
              </w:rPr>
              <w:t>(1 Fault $\rightarrow$ 2 Faults)</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0.596</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0.588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0.604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0.067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0.904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93.3%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51.5</w:t>
            </w:r>
          </w:p>
        </w:tc>
      </w:tr>
      <w:tr>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0.253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0.163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0.563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0.456</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0.677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86.7%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120.6</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0.210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0.139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0.437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0.502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0.578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80.0%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146.5</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i/>
                <w:color w:val="262626"/>
                <w:sz w:val="19"/>
              </w:rPr>
              <w:t>Combined Shift</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(Mean Z)</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0.229</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0.130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0.887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248.5</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i/>
                <w:color w:val="262626"/>
                <w:sz w:val="19"/>
              </w:rPr>
              <w:t>(Conds + Faults)</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0.945</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0.863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0.559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248.2</w:t>
            </w:r>
          </w:p>
        </w:tc>
      </w:tr>
      <w:tr>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FC Autoencoder</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0.223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0.126</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0.958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0.930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0.497</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249.5</w:t>
            </w:r>
          </w:p>
        </w:tc>
      </w:tr>
      <w:tr>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0.244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0.139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0.482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222.1</w:t>
            </w:r>
          </w:p>
        </w:tc>
      </w:tr>
    </w:tbl>
    <w:p>
      <w:pPr>
        <w:spacing w:before="80" w:after="120"/>
      </w:pPr>
    </w:p>
    <w:p>
      <w:pPr>
        <w:spacing w:before="40" w:after="100" w:line="276" w:lineRule="auto"/>
      </w:pPr>
      <w:r>
        <w:rPr>
          <w:rFonts w:ascii="Times New Roman" w:hAnsi="Times New Roman"/>
          <w:i/>
          <w:color w:val="262626"/>
          <w:sz w:val="22"/>
        </w:rPr>
        <w:t>Table 7: Zero-shot cross-condition transfer evaluation: models trained on FD001 (single condition, HPC fault) evaluated on FD002, FD003, and FD004.</w:t>
      </w:r>
    </w:p>
    <w:p>
      <w:pPr>
        <w:spacing w:before="40" w:after="100" w:line="276" w:lineRule="auto"/>
      </w:pPr>
      <w:r>
        <w:rPr>
          <w:rFonts w:ascii="Times New Roman" w:hAnsi="Times New Roman"/>
          <w:color w:val="262626"/>
          <w:sz w:val="22"/>
        </w:rPr>
        <w:t>The transfer results provide fundamental insights into model robustness under domain shift:</w:t>
      </w:r>
    </w:p>
    <w:p>
      <w:pPr>
        <w:pStyle w:val="ListNumber"/>
        <w:spacing w:before="30" w:after="30" w:line="276" w:lineRule="auto"/>
      </w:pPr>
      <w:r>
        <w:rPr>
          <w:rFonts w:ascii="Times New Roman" w:hAnsi="Times New Roman"/>
          <w:b/>
          <w:color w:val="262626"/>
          <w:sz w:val="22"/>
        </w:rPr>
        <w:t>Catastrophic Failure Under Operating Condition Shift</w:t>
      </w:r>
      <w:r>
        <w:rPr>
          <w:rFonts w:ascii="Times New Roman" w:hAnsi="Times New Roman"/>
          <w:color w:val="262626"/>
          <w:sz w:val="22"/>
        </w:rPr>
        <w:t xml:space="preserve">: When transferred from FD001 to FD002, </w:t>
      </w:r>
      <w:r>
        <w:rPr>
          <w:rFonts w:ascii="Times New Roman" w:hAnsi="Times New Roman"/>
          <w:b/>
          <w:color w:val="262626"/>
          <w:sz w:val="22"/>
        </w:rPr>
        <w:t>all models fail catastrophically</w:t>
      </w:r>
      <w:r>
        <w:rPr>
          <w:rFonts w:ascii="Times New Roman" w:hAnsi="Times New Roman"/>
          <w:color w:val="262626"/>
          <w:sz w:val="22"/>
        </w:rPr>
        <w:t xml:space="preserve">. False alarm rates skyrocket to between </w:t>
      </w:r>
      <w:r>
        <w:rPr>
          <w:rFonts w:ascii="Times New Roman" w:hAnsi="Times New Roman"/>
          <w:b/>
          <w:color w:val="262626"/>
          <w:sz w:val="22"/>
        </w:rPr>
        <w:t>85.0% and 100.0%</w:t>
      </w:r>
      <w:r>
        <w:rPr>
          <w:rFonts w:ascii="Times New Roman" w:hAnsi="Times New Roman"/>
          <w:color w:val="262626"/>
          <w:sz w:val="22"/>
        </w:rPr>
        <w:t xml:space="preserve">, and ROC-AUCs plummet to ~0.50 (random guessing). Because the models were trained exclusively at sea-level cruise conditions, every standard flight maneuver at altitude is flagged as an anomaly. The persistence filter triggers false alarms almost immediately at cycle 5 of every flight, producing meaningless lead times equal to total engine lifespans. This underscores that </w:t>
      </w:r>
      <w:r>
        <w:rPr>
          <w:rFonts w:ascii="Times New Roman" w:hAnsi="Times New Roman"/>
          <w:b/>
          <w:color w:val="262626"/>
          <w:sz w:val="22"/>
        </w:rPr>
        <w:t>no unsupervised architecture can generalize across unmodeled operational regimes without explicit regime normalization or domain adaptation</w:t>
      </w:r>
      <w:r>
        <w:rPr>
          <w:rFonts w:ascii="Times New Roman" w:hAnsi="Times New Roman"/>
          <w:color w:val="262626"/>
          <w:sz w:val="22"/>
        </w:rPr>
        <w:t>.</w:t>
      </w:r>
    </w:p>
    <w:p>
      <w:pPr>
        <w:pStyle w:val="ListNumber"/>
        <w:spacing w:before="30" w:after="30" w:line="276" w:lineRule="auto"/>
      </w:pPr>
      <w:r>
        <w:rPr>
          <w:rFonts w:ascii="Times New Roman" w:hAnsi="Times New Roman"/>
          <w:b/>
          <w:color w:val="262626"/>
          <w:sz w:val="22"/>
        </w:rPr>
        <w:t>Isolation Forest’s Remarkable Robustness to Unseen Fault Modes</w:t>
      </w:r>
      <w:r>
        <w:rPr>
          <w:rFonts w:ascii="Times New Roman" w:hAnsi="Times New Roman"/>
          <w:color w:val="262626"/>
          <w:sz w:val="22"/>
        </w:rPr>
        <w:t xml:space="preserve">: When transferred from FD001 to FD003 (where operating conditions remain single-regime, but an unseen second fault mode—Fan degradation—is introduced), </w:t>
      </w:r>
      <w:r>
        <w:rPr>
          <w:rFonts w:ascii="Times New Roman" w:hAnsi="Times New Roman"/>
          <w:b/>
          <w:color w:val="262626"/>
          <w:sz w:val="22"/>
        </w:rPr>
        <w:t>Isolation Forest demonstrates exceptional resilience</w:t>
      </w:r>
      <w:r>
        <w:rPr>
          <w:rFonts w:ascii="Times New Roman" w:hAnsi="Times New Roman"/>
          <w:color w:val="262626"/>
          <w:sz w:val="22"/>
        </w:rPr>
        <w:t xml:space="preserve">. It achieves an ROC-AUC of </w:t>
      </w:r>
      <w:r>
        <w:rPr>
          <w:rFonts w:ascii="Times New Roman" w:hAnsi="Times New Roman"/>
          <w:b/>
          <w:color w:val="262626"/>
          <w:sz w:val="22"/>
        </w:rPr>
        <w:t>0.904</w:t>
      </w:r>
      <w:r>
        <w:rPr>
          <w:rFonts w:ascii="Times New Roman" w:hAnsi="Times New Roman"/>
          <w:color w:val="262626"/>
          <w:sz w:val="22"/>
        </w:rPr>
        <w:t xml:space="preserve">, an F1-score of </w:t>
      </w:r>
      <w:r>
        <w:rPr>
          <w:rFonts w:ascii="Times New Roman" w:hAnsi="Times New Roman"/>
          <w:b/>
          <w:color w:val="262626"/>
          <w:sz w:val="22"/>
        </w:rPr>
        <w:t>0.596</w:t>
      </w:r>
      <w:r>
        <w:rPr>
          <w:rFonts w:ascii="Times New Roman" w:hAnsi="Times New Roman"/>
          <w:color w:val="262626"/>
          <w:sz w:val="22"/>
        </w:rPr>
        <w:t xml:space="preserve">, a detection rate of </w:t>
      </w:r>
      <w:r>
        <w:rPr>
          <w:rFonts w:ascii="Times New Roman" w:hAnsi="Times New Roman"/>
          <w:b/>
          <w:color w:val="262626"/>
          <w:sz w:val="22"/>
        </w:rPr>
        <w:t>93.3%</w:t>
      </w:r>
      <w:r>
        <w:rPr>
          <w:rFonts w:ascii="Times New Roman" w:hAnsi="Times New Roman"/>
          <w:color w:val="262626"/>
          <w:sz w:val="22"/>
        </w:rPr>
        <w:t xml:space="preserve">, and an average lead time of </w:t>
      </w:r>
      <w:r>
        <w:rPr>
          <w:rFonts w:ascii="Times New Roman" w:hAnsi="Times New Roman"/>
          <w:b/>
          <w:color w:val="262626"/>
          <w:sz w:val="22"/>
        </w:rPr>
        <w:t>51.5 cycles</w:t>
      </w:r>
      <w:r>
        <w:rPr>
          <w:rFonts w:ascii="Times New Roman" w:hAnsi="Times New Roman"/>
          <w:color w:val="262626"/>
          <w:sz w:val="22"/>
        </w:rPr>
        <w:t>, while maintaining a low false alarm rate of 6.7%. In stark contrast, the Statistical Mean Z-score collapses to an F1 of 0.291 and FAR of 34.8%, the FC Autoencoder drops to an F1 of 0.253 and FAR of 45.6%, and the LSTM-AE drops to an F1 of 0.210 and FAR of 50.2%. Because Isolation Forest partitions feature space along orthogonal hyperplanes, it isolates anomalies in newly degrading sensor subspaces without suffering from the reconstruction distortion that corrupts autoencoders when encountering unseen fault trajectories.</w:t>
      </w:r>
    </w:p>
    <w:p>
      <w:pPr>
        <w:spacing w:before="120" w:after="120"/>
      </w:pPr>
      <w:r>
        <w:rPr>
          <w:color w:val="BDC3C7"/>
          <w:sz w:val="16"/>
        </w:rPr>
        <w:t>―――――――――――――――――――――――――――――――――――――――――――――――――――――――</w:t>
      </w:r>
    </w:p>
    <w:p>
      <w:pPr>
        <w:keepNext/>
        <w:spacing w:before="200" w:after="60"/>
      </w:pPr>
      <w:r>
        <w:rPr>
          <w:rFonts w:ascii="Times New Roman" w:hAnsi="Times New Roman"/>
          <w:b/>
          <w:color w:val="1F4E79"/>
          <w:sz w:val="24"/>
        </w:rPr>
        <w:t>5.7 Sequence Length Ablation for Temporal Autoencoders</w:t>
      </w:r>
    </w:p>
    <w:p>
      <w:pPr>
        <w:spacing w:before="40" w:after="100" w:line="276" w:lineRule="auto"/>
      </w:pPr>
      <w:r>
        <w:rPr>
          <w:rFonts w:ascii="Times New Roman" w:hAnsi="Times New Roman"/>
          <w:color w:val="262626"/>
          <w:sz w:val="22"/>
        </w:rPr>
        <w:t>To address RQ2 and understand the computational-accuracy trade-offs in recurrent modeling, we ablate the sequence window length $W \in \{10, 20, 30, 50\}$ for the LSTM Autoencoder on FD001. Table 8 details the results.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Window Length ($W$)</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Trainable Parameters</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 (</w:t>
            </w:r>
            <w:r>
              <w:rPr>
                <w:rFonts w:ascii="Consolas" w:hAnsi="Consolas"/>
                <w:b/>
                <w:color w:val="990000"/>
                <w:sz w:val="18"/>
              </w:rPr>
              <w:t>p95</w:t>
            </w:r>
            <w:r>
              <w:rPr>
                <w:rFonts w:ascii="Times New Roman" w:hAnsi="Times New Roman"/>
                <w:b/>
                <w:color w:val="FFFFFF"/>
                <w:sz w:val="20"/>
              </w:rPr>
              <w:t>)</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FAR</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Training Time (s)</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Best Epoch</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Validation Best F1</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$W = 10$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116,723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0.558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0.930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0.820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93.33%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31.1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168.3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0.734</w:t>
            </w:r>
          </w:p>
        </w:tc>
      </w:tr>
      <w:tr>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$W = 20$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116,723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0.488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0.760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0.005</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73.33%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28.8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280.2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0.657</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$W = 30$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116,723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0.403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0.858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0.626</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0.008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73.33%</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36.8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386.4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0.507</w:t>
            </w:r>
          </w:p>
        </w:tc>
      </w:tr>
      <w:tr>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$W = 50$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116,723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0.329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0.824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0.569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0.009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60.00%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22.9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452.8</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57</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0.461</w:t>
            </w:r>
          </w:p>
        </w:tc>
      </w:tr>
    </w:tbl>
    <w:p>
      <w:pPr>
        <w:spacing w:before="80" w:after="120"/>
      </w:pPr>
    </w:p>
    <w:p>
      <w:pPr>
        <w:spacing w:before="40" w:after="100" w:line="276" w:lineRule="auto"/>
      </w:pPr>
      <w:r>
        <w:rPr>
          <w:rFonts w:ascii="Times New Roman" w:hAnsi="Times New Roman"/>
          <w:i/>
          <w:color w:val="262626"/>
          <w:sz w:val="22"/>
        </w:rPr>
        <w:t>Table 8: Sequence length ablation for the LSTM Autoencoder on FD001.</w:t>
      </w:r>
    </w:p>
    <w:p>
      <w:pPr>
        <w:spacing w:before="40" w:after="100" w:line="276" w:lineRule="auto"/>
      </w:pPr>
      <w:r>
        <w:rPr>
          <w:rFonts w:ascii="Times New Roman" w:hAnsi="Times New Roman"/>
          <w:color w:val="262626"/>
          <w:sz w:val="22"/>
        </w:rPr>
        <w:t xml:space="preserve">The sequence ablation reveals a clear inverse relationship: </w:t>
      </w:r>
      <w:r>
        <w:rPr>
          <w:rFonts w:ascii="Times New Roman" w:hAnsi="Times New Roman"/>
          <w:b/>
          <w:color w:val="262626"/>
          <w:sz w:val="22"/>
        </w:rPr>
        <w:t>shorter temporal horizons consistently outperform longer horizons across both classification and early-warning metrics</w:t>
      </w:r>
      <w:r>
        <w:rPr>
          <w:rFonts w:ascii="Times New Roman" w:hAnsi="Times New Roman"/>
          <w:color w:val="262626"/>
          <w:sz w:val="22"/>
        </w:rPr>
        <w:t>:</w:t>
      </w:r>
    </w:p>
    <w:p>
      <w:pPr>
        <w:pStyle w:val="ListBullet"/>
        <w:spacing w:before="30" w:after="30" w:line="276" w:lineRule="auto"/>
      </w:pPr>
      <w:r>
        <w:rPr>
          <w:rFonts w:ascii="Times New Roman" w:hAnsi="Times New Roman"/>
          <w:color w:val="262626"/>
          <w:sz w:val="22"/>
        </w:rPr>
        <w:t xml:space="preserve">Reducing sequence length from $W=50$ to $W=10$ increases the </w:t>
      </w:r>
      <w:r>
        <w:rPr>
          <w:rFonts w:ascii="Consolas" w:hAnsi="Consolas"/>
          <w:color w:val="990000"/>
          <w:sz w:val="20"/>
        </w:rPr>
        <w:t>percentile_95</w:t>
      </w:r>
      <w:r>
        <w:rPr>
          <w:rFonts w:ascii="Times New Roman" w:hAnsi="Times New Roman"/>
          <w:color w:val="262626"/>
          <w:sz w:val="22"/>
        </w:rPr>
        <w:t xml:space="preserve"> F1-score from 0.329 to </w:t>
      </w:r>
      <w:r>
        <w:rPr>
          <w:rFonts w:ascii="Times New Roman" w:hAnsi="Times New Roman"/>
          <w:b/>
          <w:color w:val="262626"/>
          <w:sz w:val="22"/>
        </w:rPr>
        <w:t>0.558</w:t>
      </w:r>
      <w:r>
        <w:rPr>
          <w:rFonts w:ascii="Times New Roman" w:hAnsi="Times New Roman"/>
          <w:color w:val="262626"/>
          <w:sz w:val="22"/>
        </w:rPr>
        <w:t xml:space="preserve"> (+69.6% relative improvement), increases ROC-AUC from 0.824 to </w:t>
      </w:r>
      <w:r>
        <w:rPr>
          <w:rFonts w:ascii="Times New Roman" w:hAnsi="Times New Roman"/>
          <w:b/>
          <w:color w:val="262626"/>
          <w:sz w:val="22"/>
        </w:rPr>
        <w:t>0.930</w:t>
      </w:r>
      <w:r>
        <w:rPr>
          <w:rFonts w:ascii="Times New Roman" w:hAnsi="Times New Roman"/>
          <w:color w:val="262626"/>
          <w:sz w:val="22"/>
        </w:rPr>
        <w:t xml:space="preserve">, increases PR-AUC from 0.569 to </w:t>
      </w:r>
      <w:r>
        <w:rPr>
          <w:rFonts w:ascii="Times New Roman" w:hAnsi="Times New Roman"/>
          <w:b/>
          <w:color w:val="262626"/>
          <w:sz w:val="22"/>
        </w:rPr>
        <w:t>0.820</w:t>
      </w:r>
      <w:r>
        <w:rPr>
          <w:rFonts w:ascii="Times New Roman" w:hAnsi="Times New Roman"/>
          <w:color w:val="262626"/>
          <w:sz w:val="22"/>
        </w:rPr>
        <w:t xml:space="preserve">, and improves the failure detection rate from 60.0% to </w:t>
      </w:r>
      <w:r>
        <w:rPr>
          <w:rFonts w:ascii="Times New Roman" w:hAnsi="Times New Roman"/>
          <w:b/>
          <w:color w:val="262626"/>
          <w:sz w:val="22"/>
        </w:rPr>
        <w:t>93.33%</w:t>
      </w:r>
      <w:r>
        <w:rPr>
          <w:rFonts w:ascii="Times New Roman" w:hAnsi="Times New Roman"/>
          <w:color w:val="262626"/>
          <w:sz w:val="22"/>
        </w:rPr>
        <w:t>.</w:t>
      </w:r>
    </w:p>
    <w:p>
      <w:pPr>
        <w:pStyle w:val="ListBullet"/>
        <w:spacing w:before="30" w:after="30" w:line="276" w:lineRule="auto"/>
      </w:pPr>
      <w:r>
        <w:rPr>
          <w:rFonts w:ascii="Times New Roman" w:hAnsi="Times New Roman"/>
          <w:color w:val="262626"/>
          <w:sz w:val="22"/>
        </w:rPr>
        <w:t>Furthermore, training time decreases by 62.8% (from 452.8 seconds to 168.3 seconds).</w:t>
      </w:r>
    </w:p>
    <w:p>
      <w:pPr>
        <w:pStyle w:val="ListBullet"/>
        <w:spacing w:before="30" w:after="30" w:line="276" w:lineRule="auto"/>
      </w:pPr>
      <w:r>
        <w:rPr>
          <w:rFonts w:ascii="Times New Roman" w:hAnsi="Times New Roman"/>
          <w:color w:val="262626"/>
          <w:sz w:val="22"/>
        </w:rPr>
        <w:t>In multivariate industrial telemetry, degradation manifests as cumulative drift rather than complex long-range temporal syntax. Unrolling recurrent decoders over long sequences ($W=50$) induces vanishing gradients and error compounding, which inflates reconstruction errors during healthy phases and degrades anomaly discrimination. A compact 10-cycle window provides the optimal balance between temporal smoothing and rapid detection response.</w:t>
      </w:r>
    </w:p>
    <w:p>
      <w:pPr>
        <w:spacing w:before="120" w:after="120"/>
      </w:pPr>
      <w:r>
        <w:rPr>
          <w:color w:val="BDC3C7"/>
          <w:sz w:val="16"/>
        </w:rPr>
        <w:t>―――――――――――――――――――――――――――――――――――――――――――――――――――――――</w:t>
      </w:r>
    </w:p>
    <w:p>
      <w:pPr>
        <w:keepNext/>
        <w:spacing w:before="240" w:after="80"/>
      </w:pPr>
      <w:r>
        <w:rPr>
          <w:rFonts w:ascii="Times New Roman" w:hAnsi="Times New Roman"/>
          <w:b/>
          <w:color w:val="2E75B6"/>
          <w:sz w:val="28"/>
        </w:rPr>
        <w:t>6. Discussion</w:t>
      </w:r>
    </w:p>
    <w:p>
      <w:pPr>
        <w:keepNext/>
        <w:spacing w:before="200" w:after="60"/>
      </w:pPr>
      <w:r>
        <w:rPr>
          <w:rFonts w:ascii="Times New Roman" w:hAnsi="Times New Roman"/>
          <w:b/>
          <w:color w:val="1F4E79"/>
          <w:sz w:val="24"/>
        </w:rPr>
        <w:t>6.1 When Simple Methods Suffice</w:t>
      </w:r>
    </w:p>
    <w:p>
      <w:pPr>
        <w:spacing w:before="40" w:after="100" w:line="276" w:lineRule="auto"/>
      </w:pPr>
      <w:r>
        <w:rPr>
          <w:rFonts w:ascii="Times New Roman" w:hAnsi="Times New Roman"/>
          <w:color w:val="262626"/>
          <w:sz w:val="22"/>
        </w:rPr>
        <w:t xml:space="preserve">Our empirical findings deliver a clear message to IIoT practitioners: </w:t>
      </w:r>
      <w:r>
        <w:rPr>
          <w:rFonts w:ascii="Times New Roman" w:hAnsi="Times New Roman"/>
          <w:b/>
          <w:color w:val="262626"/>
          <w:sz w:val="22"/>
        </w:rPr>
        <w:t>for stationary industrial assets operating under single or regulated operating conditions, deep neural networks are not required</w:t>
      </w:r>
      <w:r>
        <w:rPr>
          <w:rFonts w:ascii="Times New Roman" w:hAnsi="Times New Roman"/>
          <w:color w:val="262626"/>
          <w:sz w:val="22"/>
        </w:rPr>
        <w:t>.</w:t>
      </w:r>
    </w:p>
    <w:p>
      <w:pPr>
        <w:spacing w:before="40" w:after="100" w:line="276" w:lineRule="auto"/>
      </w:pPr>
      <w:r>
        <w:rPr>
          <w:rFonts w:ascii="Times New Roman" w:hAnsi="Times New Roman"/>
          <w:color w:val="262626"/>
          <w:sz w:val="22"/>
        </w:rPr>
        <w:t>On FD001, a simple Statistical Mean Z-score formula matching the sample mean and variance of healthy data achieved an ROC-AUC of 0.985 ± 0.003 and an F1 of 0.602. It was statistically indistinguishable from an Isolation Forest ($p = 0.86$) and significantly outperformed an LSTM Autoencoder ($p = 0.012$).</w:t>
      </w:r>
    </w:p>
    <w:p>
      <w:pPr>
        <w:spacing w:before="40" w:after="100" w:line="276" w:lineRule="auto"/>
      </w:pPr>
      <w:r>
        <w:rPr>
          <w:rFonts w:ascii="Times New Roman" w:hAnsi="Times New Roman"/>
          <w:color w:val="262626"/>
          <w:sz w:val="22"/>
        </w:rPr>
        <w:t>The operational implications are substantial:</w:t>
      </w:r>
    </w:p>
    <w:p>
      <w:pPr>
        <w:pStyle w:val="ListBullet"/>
        <w:spacing w:before="30" w:after="30" w:line="276" w:lineRule="auto"/>
      </w:pPr>
      <w:r>
        <w:rPr>
          <w:rFonts w:ascii="Times New Roman" w:hAnsi="Times New Roman"/>
          <w:b/>
          <w:color w:val="262626"/>
          <w:sz w:val="22"/>
        </w:rPr>
        <w:t>Zero Compute and Instantaneous Inference</w:t>
      </w:r>
      <w:r>
        <w:rPr>
          <w:rFonts w:ascii="Times New Roman" w:hAnsi="Times New Roman"/>
          <w:color w:val="262626"/>
          <w:sz w:val="22"/>
        </w:rPr>
        <w:t>: The statistical baseline requires zero backpropagation, trains instantaneously ($\approx 0.00$s), and executes in microseconds on constrained microcontrollers (MCUs) at the sensor edge.</w:t>
      </w:r>
    </w:p>
    <w:p>
      <w:pPr>
        <w:pStyle w:val="ListBullet"/>
        <w:spacing w:before="30" w:after="30" w:line="276" w:lineRule="auto"/>
      </w:pPr>
      <w:r>
        <w:rPr>
          <w:rFonts w:ascii="Times New Roman" w:hAnsi="Times New Roman"/>
          <w:b/>
          <w:color w:val="262626"/>
          <w:sz w:val="22"/>
        </w:rPr>
        <w:t>Complete Interpretability</w:t>
      </w:r>
      <w:r>
        <w:rPr>
          <w:rFonts w:ascii="Times New Roman" w:hAnsi="Times New Roman"/>
          <w:color w:val="262626"/>
          <w:sz w:val="22"/>
        </w:rPr>
        <w:t>: Statistical z-scores decompose additively across sensor channels, allowing operators to immediately identify which physical sensor triggered the alert (e.g., core temperature spike vs. fuel flow drop). Deep autoencoders lack this intrinsic transparency.</w:t>
      </w:r>
    </w:p>
    <w:p>
      <w:pPr>
        <w:pStyle w:val="ListBullet"/>
        <w:spacing w:before="30" w:after="30" w:line="276" w:lineRule="auto"/>
      </w:pPr>
      <w:r>
        <w:rPr>
          <w:rFonts w:ascii="Times New Roman" w:hAnsi="Times New Roman"/>
          <w:b/>
          <w:color w:val="262626"/>
          <w:sz w:val="22"/>
        </w:rPr>
        <w:t>Absolute Determinism</w:t>
      </w:r>
      <w:r>
        <w:rPr>
          <w:rFonts w:ascii="Times New Roman" w:hAnsi="Times New Roman"/>
          <w:color w:val="262626"/>
          <w:sz w:val="22"/>
        </w:rPr>
        <w:t>: Simple baselines exhibit zero seed variance, eliminating the hyperparameter and initialization vulnerabilities documented in Table 3.</w:t>
      </w:r>
    </w:p>
    <w:p>
      <w:pPr>
        <w:keepNext/>
        <w:spacing w:before="200" w:after="60"/>
      </w:pPr>
      <w:r>
        <w:rPr>
          <w:rFonts w:ascii="Times New Roman" w:hAnsi="Times New Roman"/>
          <w:b/>
          <w:color w:val="1F4E79"/>
          <w:sz w:val="24"/>
        </w:rPr>
        <w:t>6.2 When Deep Complexity Pays Dividends</w:t>
      </w:r>
    </w:p>
    <w:p>
      <w:pPr>
        <w:spacing w:before="40" w:after="100" w:line="276" w:lineRule="auto"/>
      </w:pPr>
      <w:r>
        <w:rPr>
          <w:rFonts w:ascii="Times New Roman" w:hAnsi="Times New Roman"/>
          <w:color w:val="262626"/>
          <w:sz w:val="22"/>
        </w:rPr>
        <w:t xml:space="preserve">Conversely, our results delineate the exact operational boundary where deep architectures become essential: </w:t>
      </w:r>
      <w:r>
        <w:rPr>
          <w:rFonts w:ascii="Times New Roman" w:hAnsi="Times New Roman"/>
          <w:b/>
          <w:color w:val="262626"/>
          <w:sz w:val="22"/>
        </w:rPr>
        <w:t>complex, multi-regime operational environments</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When machinery operates across variable flight conditions, ambient temperatures, or dynamic load cycles (FD002, FD004), linear statistical methods fail completely ($\text{ROC-AUC} \approx 0.50$, $\text{Detection Rate} = 0\%$). In these settings, the Fully Connected Autoencoder achieved an ROC-AUC of </w:t>
      </w:r>
      <w:r>
        <w:rPr>
          <w:rFonts w:ascii="Times New Roman" w:hAnsi="Times New Roman"/>
          <w:b/>
          <w:color w:val="262626"/>
          <w:sz w:val="22"/>
        </w:rPr>
        <w:t>0.964</w:t>
      </w:r>
      <w:r>
        <w:rPr>
          <w:rFonts w:ascii="Times New Roman" w:hAnsi="Times New Roman"/>
          <w:color w:val="262626"/>
          <w:sz w:val="22"/>
        </w:rPr>
        <w:t xml:space="preserve"> on FD004. The multi-layer non-linear bottleneck compresses multi-modal operational correlations into a continuous manifold, effectively learning to ignore regime-induced sensor variations while detecting physical component degradation.</w:t>
      </w:r>
    </w:p>
    <w:p>
      <w:pPr>
        <w:spacing w:before="40" w:after="100" w:line="276" w:lineRule="auto"/>
      </w:pPr>
      <w:r>
        <w:rPr>
          <w:rFonts w:ascii="Times New Roman" w:hAnsi="Times New Roman"/>
          <w:color w:val="262626"/>
          <w:sz w:val="22"/>
        </w:rPr>
        <w:t>However, even in multi-regime settings, practitioners must weigh the trade-offs of recurrent temporal modeling. While the LSTM-AE delivered lead times exceeding 100 cycles on FD002 and FD004, it suffered from lower classification precision and high false alarm rates unless paired with specialized threshold tuning. For most industrial deployments, a well-tuned feedforward autoencoder (FC-AE) represents the best trade-off between architectural complexity, training stability, and multi-regime robustness.</w:t>
      </w:r>
    </w:p>
    <w:p>
      <w:pPr>
        <w:keepNext/>
        <w:spacing w:before="200" w:after="60"/>
      </w:pPr>
      <w:r>
        <w:rPr>
          <w:rFonts w:ascii="Times New Roman" w:hAnsi="Times New Roman"/>
          <w:b/>
          <w:color w:val="1F4E79"/>
          <w:sz w:val="24"/>
        </w:rPr>
        <w:t>6.3 The Metric Misalignment Problem in Industrial PdM</w:t>
      </w:r>
    </w:p>
    <w:p>
      <w:pPr>
        <w:spacing w:before="40" w:after="100" w:line="276" w:lineRule="auto"/>
      </w:pPr>
      <w:r>
        <w:rPr>
          <w:rFonts w:ascii="Times New Roman" w:hAnsi="Times New Roman"/>
          <w:color w:val="262626"/>
          <w:sz w:val="22"/>
        </w:rPr>
        <w:t>A central contribution of this work is identifying the structural disconnect between point-wise classification metrics and prognostic utility. Standard machine learning benchmarks evaluate anomaly detectors as if they were image segmentation algorithms, penalizing early detections as false positives.</w:t>
      </w:r>
    </w:p>
    <w:p>
      <w:pPr>
        <w:spacing w:before="40" w:after="100" w:line="276" w:lineRule="auto"/>
      </w:pPr>
      <w:r>
        <w:rPr>
          <w:rFonts w:ascii="Times New Roman" w:hAnsi="Times New Roman"/>
          <w:color w:val="262626"/>
          <w:sz w:val="22"/>
        </w:rPr>
        <w:t xml:space="preserve">In predictive maintenance, </w:t>
      </w:r>
      <w:r>
        <w:rPr>
          <w:rFonts w:ascii="Times New Roman" w:hAnsi="Times New Roman"/>
          <w:b/>
          <w:color w:val="262626"/>
          <w:sz w:val="22"/>
        </w:rPr>
        <w:t>an anomaly detector that triggers 10 cycles before failure with high F1-score is operationally inferior to a detector that triggers 50 cycles before failure with lower point-wise F1</w:t>
      </w:r>
      <w:r>
        <w:rPr>
          <w:rFonts w:ascii="Times New Roman" w:hAnsi="Times New Roman"/>
          <w:color w:val="262626"/>
          <w:sz w:val="22"/>
        </w:rPr>
        <w:t>. The ultimate objective of an IIoT anomaly detector is not to maximize cycle-by-cycle binary overlap with an arbitrary degradation threshold, but to provide sufficient advance warning to schedule maintenance while keeping the false alarm burden manageable. Future benchmark studies must move beyond isolated F1-scores, reporting persistence-filtered lead times, detection rates, and alarm burden as primary evaluation criteria.</w:t>
      </w:r>
    </w:p>
    <w:p>
      <w:pPr>
        <w:keepNext/>
        <w:spacing w:before="200" w:after="60"/>
      </w:pPr>
      <w:r>
        <w:rPr>
          <w:rFonts w:ascii="Times New Roman" w:hAnsi="Times New Roman"/>
          <w:b/>
          <w:color w:val="1F4E79"/>
          <w:sz w:val="24"/>
        </w:rPr>
        <w:t>6.4 The Peril of Uncalibrated Domain Transfer</w:t>
      </w:r>
    </w:p>
    <w:p>
      <w:pPr>
        <w:spacing w:before="40" w:after="100" w:line="276" w:lineRule="auto"/>
      </w:pPr>
      <w:r>
        <w:rPr>
          <w:rFonts w:ascii="Times New Roman" w:hAnsi="Times New Roman"/>
          <w:color w:val="262626"/>
          <w:sz w:val="22"/>
        </w:rPr>
        <w:t xml:space="preserve">Our cross-condition transfer experiments highlight a major vulnerability in current IIoT deployments: </w:t>
      </w:r>
      <w:r>
        <w:rPr>
          <w:rFonts w:ascii="Times New Roman" w:hAnsi="Times New Roman"/>
          <w:b/>
          <w:color w:val="262626"/>
          <w:sz w:val="22"/>
        </w:rPr>
        <w:t>models trained under nominal operating envelopes cannot transfer zero-shot across operating conditions</w:t>
      </w:r>
      <w:r>
        <w:rPr>
          <w:rFonts w:ascii="Times New Roman" w:hAnsi="Times New Roman"/>
          <w:color w:val="262626"/>
          <w:sz w:val="22"/>
        </w:rPr>
        <w:t>. Transferring an FD001-trained model to FD002 induced catastrophic false alarm cascades ($\text{FAR} \ge 85\%$), as unseen flight regimes overwhelmed the detectors.</w:t>
      </w:r>
    </w:p>
    <w:p>
      <w:pPr>
        <w:spacing w:before="40" w:after="100" w:line="276" w:lineRule="auto"/>
      </w:pPr>
      <w:r>
        <w:rPr>
          <w:rFonts w:ascii="Times New Roman" w:hAnsi="Times New Roman"/>
          <w:color w:val="262626"/>
          <w:sz w:val="22"/>
        </w:rPr>
        <w:t xml:space="preserve">Conversely, our discovery that </w:t>
      </w:r>
      <w:r>
        <w:rPr>
          <w:rFonts w:ascii="Times New Roman" w:hAnsi="Times New Roman"/>
          <w:b/>
          <w:color w:val="262626"/>
          <w:sz w:val="22"/>
        </w:rPr>
        <w:t>Isolation Forest transfers robustly across unseen physical fault modes (FD001 $\rightarrow$ FD003 ROC-AUC = 0.904)</w:t>
      </w:r>
      <w:r>
        <w:rPr>
          <w:rFonts w:ascii="Times New Roman" w:hAnsi="Times New Roman"/>
          <w:color w:val="262626"/>
          <w:sz w:val="22"/>
        </w:rPr>
        <w:t xml:space="preserve"> provides a compelling rationale for hybrid architectures. In environments where operating conditions are stable but novel failure mechanisms may emerge, Isolation Forest offers superior generalization compared to deep reconstruction models, which overfit the specific residual correlations of their training faults.</w:t>
      </w:r>
    </w:p>
    <w:p>
      <w:pPr>
        <w:keepNext/>
        <w:spacing w:before="200" w:after="60"/>
      </w:pPr>
      <w:r>
        <w:rPr>
          <w:rFonts w:ascii="Times New Roman" w:hAnsi="Times New Roman"/>
          <w:b/>
          <w:color w:val="1F4E79"/>
          <w:sz w:val="24"/>
        </w:rPr>
        <w:t>6.5 Limitations and Threats to Validity</w:t>
      </w:r>
    </w:p>
    <w:p>
      <w:pPr>
        <w:spacing w:before="40" w:after="100" w:line="276" w:lineRule="auto"/>
      </w:pPr>
      <w:r>
        <w:rPr>
          <w:rFonts w:ascii="Times New Roman" w:hAnsi="Times New Roman"/>
          <w:color w:val="262626"/>
          <w:sz w:val="22"/>
        </w:rPr>
        <w:t>We acknowledge several limitations in our study:</w:t>
      </w:r>
    </w:p>
    <w:p>
      <w:pPr>
        <w:pStyle w:val="ListNumber"/>
        <w:spacing w:before="30" w:after="30" w:line="276" w:lineRule="auto"/>
      </w:pPr>
      <w:r>
        <w:rPr>
          <w:rFonts w:ascii="Times New Roman" w:hAnsi="Times New Roman"/>
          <w:b/>
          <w:color w:val="262626"/>
          <w:sz w:val="22"/>
        </w:rPr>
        <w:t>Simulation vs. Physical Machinery</w:t>
      </w:r>
      <w:r>
        <w:rPr>
          <w:rFonts w:ascii="Times New Roman" w:hAnsi="Times New Roman"/>
          <w:color w:val="262626"/>
          <w:sz w:val="22"/>
        </w:rPr>
        <w:t>: While C-MAPSS is the standard aero-engine benchmark, it relies on thermodynamic simulation equations. Real-world industrial telemetry contains sensor dropouts, intermittent electromagnetic interference, non-stationary wear, and human operator interventions that are absent in simulation data.</w:t>
      </w:r>
    </w:p>
    <w:p>
      <w:pPr>
        <w:pStyle w:val="ListNumber"/>
        <w:spacing w:before="30" w:after="30" w:line="276" w:lineRule="auto"/>
      </w:pPr>
      <w:r>
        <w:rPr>
          <w:rFonts w:ascii="Times New Roman" w:hAnsi="Times New Roman"/>
          <w:b/>
          <w:color w:val="262626"/>
          <w:sz w:val="22"/>
        </w:rPr>
        <w:t>Definition of Normal Operational Life</w:t>
      </w:r>
      <w:r>
        <w:rPr>
          <w:rFonts w:ascii="Times New Roman" w:hAnsi="Times New Roman"/>
          <w:color w:val="262626"/>
          <w:sz w:val="22"/>
        </w:rPr>
        <w:t>: We adopted the standard convention of defining the first 70% of life ($\alpha = 0.70$) as healthy. In physical systems, component degradation may initiate earlier or later depending on manufacturing variations and operational stress.</w:t>
      </w:r>
    </w:p>
    <w:p>
      <w:pPr>
        <w:pStyle w:val="ListNumber"/>
        <w:spacing w:before="30" w:after="30" w:line="276" w:lineRule="auto"/>
      </w:pPr>
      <w:r>
        <w:rPr>
          <w:rFonts w:ascii="Times New Roman" w:hAnsi="Times New Roman"/>
          <w:b/>
          <w:color w:val="262626"/>
          <w:sz w:val="22"/>
        </w:rPr>
        <w:t>Single Benchmarking Platform</w:t>
      </w:r>
      <w:r>
        <w:rPr>
          <w:rFonts w:ascii="Times New Roman" w:hAnsi="Times New Roman"/>
          <w:color w:val="262626"/>
          <w:sz w:val="22"/>
        </w:rPr>
        <w:t>: Our cross-condition conclusions are derived from the four turbofan subsets of C-MAPSS. Validating these dynamics on other industrial benchmarks (e.g., bearing vibration datasets, wind turbine SCADA logs, semiconductor etching data) remains an important avenue for future research.</w:t>
      </w:r>
    </w:p>
    <w:p>
      <w:pPr>
        <w:spacing w:before="120" w:after="120"/>
      </w:pPr>
      <w:r>
        <w:rPr>
          <w:color w:val="BDC3C7"/>
          <w:sz w:val="16"/>
        </w:rPr>
        <w:t>―――――――――――――――――――――――――――――――――――――――――――――――――――――――</w:t>
      </w:r>
    </w:p>
    <w:p>
      <w:pPr>
        <w:keepNext/>
        <w:spacing w:before="240" w:after="80"/>
      </w:pPr>
      <w:r>
        <w:rPr>
          <w:rFonts w:ascii="Times New Roman" w:hAnsi="Times New Roman"/>
          <w:b/>
          <w:color w:val="2E75B6"/>
          <w:sz w:val="28"/>
        </w:rPr>
        <w:t>7. Conclusion</w:t>
      </w:r>
    </w:p>
    <w:p>
      <w:pPr>
        <w:spacing w:before="40" w:after="100" w:line="276" w:lineRule="auto"/>
      </w:pPr>
      <w:r>
        <w:rPr>
          <w:rFonts w:ascii="Times New Roman" w:hAnsi="Times New Roman"/>
          <w:color w:val="262626"/>
          <w:sz w:val="22"/>
        </w:rPr>
        <w:t>This paper presented a systematic, leakage-free empirical comparison of five unsupervised anomaly detection paradigms for predictive maintenance on the NASA C-MAPSS benchmark. Across multi-seed statistical testing, threshold sensitivity analysis, operational complexity scaling, and cross-condition transfer experiments, our investigation yields five conclusions:</w:t>
      </w:r>
    </w:p>
    <w:p>
      <w:pPr>
        <w:pStyle w:val="ListNumber"/>
        <w:spacing w:before="30" w:after="30" w:line="276" w:lineRule="auto"/>
      </w:pPr>
      <w:r>
        <w:rPr>
          <w:rFonts w:ascii="Times New Roman" w:hAnsi="Times New Roman"/>
          <w:b/>
          <w:color w:val="262626"/>
          <w:sz w:val="22"/>
        </w:rPr>
        <w:t>Simplicity Suffices in Single Regimes</w:t>
      </w:r>
      <w:r>
        <w:rPr>
          <w:rFonts w:ascii="Times New Roman" w:hAnsi="Times New Roman"/>
          <w:color w:val="262626"/>
          <w:sz w:val="22"/>
        </w:rPr>
        <w:t>: In single operating conditions, the zero-parameter Statistical Mean Z-score matches or outperforms deep neural networks ($\text{ROC-AUC} = 0.985 \pm 0.003, \text{F1} = 0.602$). It is statistically indistinguishable from Isolation Forest ($p = 0.86$) and significantly superior to LSTM Autoencoders on point classification ($p = 0.012$), while requiring negligible computation.</w:t>
      </w:r>
    </w:p>
    <w:p>
      <w:pPr>
        <w:pStyle w:val="ListNumber"/>
        <w:spacing w:before="30" w:after="30" w:line="276" w:lineRule="auto"/>
      </w:pPr>
      <w:r>
        <w:rPr>
          <w:rFonts w:ascii="Times New Roman" w:hAnsi="Times New Roman"/>
          <w:b/>
          <w:color w:val="262626"/>
          <w:sz w:val="22"/>
        </w:rPr>
        <w:t>The Classification-Lead Time Paradox</w:t>
      </w:r>
      <w:r>
        <w:rPr>
          <w:rFonts w:ascii="Times New Roman" w:hAnsi="Times New Roman"/>
          <w:color w:val="262626"/>
          <w:sz w:val="22"/>
        </w:rPr>
        <w:t>: Conventional point-wise classification metrics penalize prognostic early warnings. While the recurrent LSTM Autoencoder achieved lower point F1-scores (0.429), it provided a 3- to 10-fold earlier warning (25 to 111 cycles before failure compared to 10 cycles for classical models). Benchmarking frameworks must adopt persistence-filtered lead time metrics.</w:t>
      </w:r>
    </w:p>
    <w:p>
      <w:pPr>
        <w:pStyle w:val="ListNumber"/>
        <w:spacing w:before="30" w:after="30" w:line="276" w:lineRule="auto"/>
      </w:pPr>
      <w:r>
        <w:rPr>
          <w:rFonts w:ascii="Times New Roman" w:hAnsi="Times New Roman"/>
          <w:b/>
          <w:color w:val="262626"/>
          <w:sz w:val="22"/>
        </w:rPr>
        <w:t>Deep Networks Are Necessary for Multi-Regime Dynamics</w:t>
      </w:r>
      <w:r>
        <w:rPr>
          <w:rFonts w:ascii="Times New Roman" w:hAnsi="Times New Roman"/>
          <w:color w:val="262626"/>
          <w:sz w:val="22"/>
        </w:rPr>
        <w:t>: In multi-condition operating environments (FD002, FD004), simple statistical thresholding collapses completely ($\text{ROC-AUC} \approx 0.50, \text{Detection Rate} = 0\%$). In contrast, non-linear deep autoencoders disentangle operating variations from true degradation, with the Fully Connected Autoencoder achieving an ROC-AUC of 0.964 on FD004.</w:t>
      </w:r>
    </w:p>
    <w:p>
      <w:pPr>
        <w:pStyle w:val="ListNumber"/>
        <w:spacing w:before="30" w:after="30" w:line="276" w:lineRule="auto"/>
      </w:pPr>
      <w:r>
        <w:rPr>
          <w:rFonts w:ascii="Times New Roman" w:hAnsi="Times New Roman"/>
          <w:b/>
          <w:color w:val="262626"/>
          <w:sz w:val="22"/>
        </w:rPr>
        <w:t>Asymmetric Domain Transfer Robustness</w:t>
      </w:r>
      <w:r>
        <w:rPr>
          <w:rFonts w:ascii="Times New Roman" w:hAnsi="Times New Roman"/>
          <w:color w:val="262626"/>
          <w:sz w:val="22"/>
        </w:rPr>
        <w:t>: All models suffer catastrophic failure when transferred across operating condition shifts ($\text{FAR} \ge 85\%$). However, Isolation Forest exhibits unique robustness to novel, unseen mechanical fault modes under stable conditions (FD001 $\rightarrow$ FD003 $\text{ROC-AUC} = 0.904, \text{F1} = 0.596$), substantially outperforming deep autoencoders.</w:t>
      </w:r>
    </w:p>
    <w:p>
      <w:pPr>
        <w:pStyle w:val="ListNumber"/>
        <w:spacing w:before="30" w:after="30" w:line="276" w:lineRule="auto"/>
      </w:pPr>
      <w:r>
        <w:rPr>
          <w:rFonts w:ascii="Times New Roman" w:hAnsi="Times New Roman"/>
          <w:b/>
          <w:color w:val="262626"/>
          <w:sz w:val="22"/>
        </w:rPr>
        <w:t>Compact Temporal Horizons Outperform Long Sequences</w:t>
      </w:r>
      <w:r>
        <w:rPr>
          <w:rFonts w:ascii="Times New Roman" w:hAnsi="Times New Roman"/>
          <w:color w:val="262626"/>
          <w:sz w:val="22"/>
        </w:rPr>
        <w:t>: For recurrent sequence autoencoders, short sequence windows ($W = 10$) consistently outperform longer temporal horizons ($W = 50$), boosting F1-scores by 70%, reducing training latency by 63%, and mitigating recurrent unrolling errors.</w:t>
      </w:r>
    </w:p>
    <w:p>
      <w:pPr>
        <w:spacing w:before="40" w:after="100" w:line="276" w:lineRule="auto"/>
      </w:pPr>
      <w:r>
        <w:rPr>
          <w:rFonts w:ascii="Times New Roman" w:hAnsi="Times New Roman"/>
          <w:color w:val="262626"/>
          <w:sz w:val="22"/>
        </w:rPr>
        <w:t>In conclusion, industrial practitioners should deploy simple statistical or tree-based detectors for single-regime assets, while reserving feedforward deep autoencoders with compact input horizons for complex, multi-regime environments.</w:t>
      </w:r>
    </w:p>
    <w:p>
      <w:pPr>
        <w:spacing w:before="120" w:after="120"/>
      </w:pPr>
      <w:r>
        <w:rPr>
          <w:color w:val="BDC3C7"/>
          <w:sz w:val="16"/>
        </w:rPr>
        <w:t>―――――――――――――――――――――――――――――――――――――――――――――――――――――――</w:t>
      </w:r>
    </w:p>
    <w:p>
      <w:pPr>
        <w:keepNext/>
        <w:spacing w:before="240" w:after="80"/>
      </w:pPr>
      <w:r>
        <w:rPr>
          <w:rFonts w:ascii="Times New Roman" w:hAnsi="Times New Roman"/>
          <w:b/>
          <w:color w:val="2E75B6"/>
          <w:sz w:val="28"/>
        </w:rPr>
        <w:t>References</w:t>
      </w:r>
    </w:p>
    <w:p>
      <w:pPr>
        <w:spacing w:before="40" w:after="100" w:line="276" w:lineRule="auto"/>
      </w:pPr>
      <w:r>
        <w:rPr>
          <w:rFonts w:ascii="Times New Roman" w:hAnsi="Times New Roman"/>
          <w:color w:val="262626"/>
          <w:sz w:val="22"/>
        </w:rPr>
        <w:t xml:space="preserve">[1] Zhao, H., Wang, Y., Duan, J., Huang, C., Cao, D., Tong, Y., &amp; Xu, B. (2019). Multivariate time-series anomaly detection via graph attention network. </w:t>
      </w:r>
      <w:r>
        <w:rPr>
          <w:rFonts w:ascii="Times New Roman" w:hAnsi="Times New Roman"/>
          <w:i/>
          <w:color w:val="262626"/>
          <w:sz w:val="22"/>
        </w:rPr>
        <w:t>IEEE Transactions on Industrial Informatics</w:t>
      </w:r>
      <w:r>
        <w:rPr>
          <w:rFonts w:ascii="Times New Roman" w:hAnsi="Times New Roman"/>
          <w:color w:val="262626"/>
          <w:sz w:val="22"/>
        </w:rPr>
        <w:t>, 16(8), 5345–5354.</w:t>
      </w:r>
    </w:p>
    <w:p>
      <w:pPr>
        <w:spacing w:before="40" w:after="100" w:line="276" w:lineRule="auto"/>
      </w:pPr>
      <w:r>
        <w:rPr>
          <w:rFonts w:ascii="Times New Roman" w:hAnsi="Times New Roman"/>
          <w:color w:val="262626"/>
          <w:sz w:val="22"/>
        </w:rPr>
        <w:t xml:space="preserve">[2] Chandola, V., Banerjee, A., &amp; Kumar, V. (2009). Anomaly detection: A survey. </w:t>
      </w:r>
      <w:r>
        <w:rPr>
          <w:rFonts w:ascii="Times New Roman" w:hAnsi="Times New Roman"/>
          <w:i/>
          <w:color w:val="262626"/>
          <w:sz w:val="22"/>
        </w:rPr>
        <w:t>ACM Computing Surveys (CSUR)</w:t>
      </w:r>
      <w:r>
        <w:rPr>
          <w:rFonts w:ascii="Times New Roman" w:hAnsi="Times New Roman"/>
          <w:color w:val="262626"/>
          <w:sz w:val="22"/>
        </w:rPr>
        <w:t>, 41(3), 1–58.</w:t>
      </w:r>
    </w:p>
    <w:p>
      <w:pPr>
        <w:spacing w:before="40" w:after="100" w:line="276" w:lineRule="auto"/>
      </w:pPr>
      <w:r>
        <w:rPr>
          <w:rFonts w:ascii="Times New Roman" w:hAnsi="Times New Roman"/>
          <w:color w:val="262626"/>
          <w:sz w:val="22"/>
        </w:rPr>
        <w:t xml:space="preserve">[3] Zhou, C., &amp; Paffenroth, R. C. (2017). Anomaly detection with robust deep autoencoders. In </w:t>
      </w:r>
      <w:r>
        <w:rPr>
          <w:rFonts w:ascii="Times New Roman" w:hAnsi="Times New Roman"/>
          <w:i/>
          <w:color w:val="262626"/>
          <w:sz w:val="22"/>
        </w:rPr>
        <w:t>Proceedings of the 23rd ACM SIGKDD International Conference on Knowledge Discovery and Data Mining</w:t>
      </w:r>
      <w:r>
        <w:rPr>
          <w:rFonts w:ascii="Times New Roman" w:hAnsi="Times New Roman"/>
          <w:color w:val="262626"/>
          <w:sz w:val="22"/>
        </w:rPr>
        <w:t xml:space="preserve"> (pp. 665–674).</w:t>
      </w:r>
    </w:p>
    <w:p>
      <w:pPr>
        <w:spacing w:before="40" w:after="100" w:line="276" w:lineRule="auto"/>
      </w:pPr>
      <w:r>
        <w:rPr>
          <w:rFonts w:ascii="Times New Roman" w:hAnsi="Times New Roman"/>
          <w:color w:val="262626"/>
          <w:sz w:val="22"/>
        </w:rPr>
        <w:t xml:space="preserve">[4] Malhotra, P., Ramakrishnan, A., Anand, G., Vig, L., Agarwal, P., &amp; Shroff, G. (2016). LSTM-based encoder-decoder for multi-sensor anomaly detection. </w:t>
      </w:r>
      <w:r>
        <w:rPr>
          <w:rFonts w:ascii="Times New Roman" w:hAnsi="Times New Roman"/>
          <w:i/>
          <w:color w:val="262626"/>
          <w:sz w:val="22"/>
        </w:rPr>
        <w:t>arXiv preprint arXiv:1607.00148</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[5] Braei, M., &amp; Wagner, S. (2020). Anomaly detection in univariate time-series: A survey on the state-of-the-art. </w:t>
      </w:r>
      <w:r>
        <w:rPr>
          <w:rFonts w:ascii="Times New Roman" w:hAnsi="Times New Roman"/>
          <w:i/>
          <w:color w:val="262626"/>
          <w:sz w:val="22"/>
        </w:rPr>
        <w:t>arXiv preprint arXiv:2004.00433</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[6] Lei, Y., Li, N., Guo, L., Li, N., Yan, T., &amp; Lin, J. (2018). Machinery health prognostics: A systematic review from data acquisition to RUL prediction. </w:t>
      </w:r>
      <w:r>
        <w:rPr>
          <w:rFonts w:ascii="Times New Roman" w:hAnsi="Times New Roman"/>
          <w:i/>
          <w:color w:val="262626"/>
          <w:sz w:val="22"/>
        </w:rPr>
        <w:t>Mechanical Systems and Signal Processing</w:t>
      </w:r>
      <w:r>
        <w:rPr>
          <w:rFonts w:ascii="Times New Roman" w:hAnsi="Times New Roman"/>
          <w:color w:val="262626"/>
          <w:sz w:val="22"/>
        </w:rPr>
        <w:t>, 104, 799–834.</w:t>
      </w:r>
    </w:p>
    <w:p>
      <w:pPr>
        <w:spacing w:before="40" w:after="100" w:line="276" w:lineRule="auto"/>
      </w:pPr>
      <w:r>
        <w:rPr>
          <w:rFonts w:ascii="Times New Roman" w:hAnsi="Times New Roman"/>
          <w:color w:val="262626"/>
          <w:sz w:val="22"/>
        </w:rPr>
        <w:t xml:space="preserve">[7] Liu, F. T., Ting, K. M., &amp; Zhou, Z. H. (2008). Isolation forest. In </w:t>
      </w:r>
      <w:r>
        <w:rPr>
          <w:rFonts w:ascii="Times New Roman" w:hAnsi="Times New Roman"/>
          <w:i/>
          <w:color w:val="262626"/>
          <w:sz w:val="22"/>
        </w:rPr>
        <w:t>2008 Eighth IEEE International Conference on Data Mining</w:t>
      </w:r>
      <w:r>
        <w:rPr>
          <w:rFonts w:ascii="Times New Roman" w:hAnsi="Times New Roman"/>
          <w:color w:val="262626"/>
          <w:sz w:val="22"/>
        </w:rPr>
        <w:t xml:space="preserve"> (pp. 413–422). IEEE.</w:t>
      </w:r>
    </w:p>
    <w:p>
      <w:pPr>
        <w:spacing w:before="40" w:after="100" w:line="276" w:lineRule="auto"/>
      </w:pPr>
      <w:r>
        <w:rPr>
          <w:rFonts w:ascii="Times New Roman" w:hAnsi="Times New Roman"/>
          <w:color w:val="262626"/>
          <w:sz w:val="22"/>
        </w:rPr>
        <w:t xml:space="preserve">[8] Schölkopf, B., Platt, J. C., Shawe-Taylor, J., Smola, A. J., &amp; Williamson, R. C. (2001). Estimating the support of a high-dimensional distribution. </w:t>
      </w:r>
      <w:r>
        <w:rPr>
          <w:rFonts w:ascii="Times New Roman" w:hAnsi="Times New Roman"/>
          <w:i/>
          <w:color w:val="262626"/>
          <w:sz w:val="22"/>
        </w:rPr>
        <w:t>Neural Computation</w:t>
      </w:r>
      <w:r>
        <w:rPr>
          <w:rFonts w:ascii="Times New Roman" w:hAnsi="Times New Roman"/>
          <w:color w:val="262626"/>
          <w:sz w:val="22"/>
        </w:rPr>
        <w:t>, 13(7), 1443–1471.</w:t>
      </w:r>
    </w:p>
    <w:p>
      <w:pPr>
        <w:spacing w:before="40" w:after="100" w:line="276" w:lineRule="auto"/>
      </w:pPr>
      <w:r>
        <w:rPr>
          <w:rFonts w:ascii="Times New Roman" w:hAnsi="Times New Roman"/>
          <w:color w:val="262626"/>
          <w:sz w:val="22"/>
        </w:rPr>
        <w:t xml:space="preserve">[9] Vincent, P., Larochelle, H., Bengio, Y., &amp; Manzagol, P. A. (2008). Extracting and composing robust features with denoising autoencoders. In </w:t>
      </w:r>
      <w:r>
        <w:rPr>
          <w:rFonts w:ascii="Times New Roman" w:hAnsi="Times New Roman"/>
          <w:i/>
          <w:color w:val="262626"/>
          <w:sz w:val="22"/>
        </w:rPr>
        <w:t>Proceedings of the 25th International Conference on Machine Learning</w:t>
      </w:r>
      <w:r>
        <w:rPr>
          <w:rFonts w:ascii="Times New Roman" w:hAnsi="Times New Roman"/>
          <w:color w:val="262626"/>
          <w:sz w:val="22"/>
        </w:rPr>
        <w:t xml:space="preserve"> (pp. 1096–1103).</w:t>
      </w:r>
    </w:p>
    <w:p>
      <w:pPr>
        <w:spacing w:before="40" w:after="100" w:line="276" w:lineRule="auto"/>
      </w:pPr>
      <w:r>
        <w:rPr>
          <w:rFonts w:ascii="Times New Roman" w:hAnsi="Times New Roman"/>
          <w:color w:val="262626"/>
          <w:sz w:val="22"/>
        </w:rPr>
        <w:t xml:space="preserve">[10] Kingma, D. P., &amp; Welling, M. (2014). Auto-encoding variational Bayes. In </w:t>
      </w:r>
      <w:r>
        <w:rPr>
          <w:rFonts w:ascii="Times New Roman" w:hAnsi="Times New Roman"/>
          <w:i/>
          <w:color w:val="262626"/>
          <w:sz w:val="22"/>
        </w:rPr>
        <w:t>Proceedings of the International Conference on Learning Representations (ICLR)</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[11] Hochreiter, S., &amp; Schmidhuber, J. (1997). Long short-term memory. </w:t>
      </w:r>
      <w:r>
        <w:rPr>
          <w:rFonts w:ascii="Times New Roman" w:hAnsi="Times New Roman"/>
          <w:i/>
          <w:color w:val="262626"/>
          <w:sz w:val="22"/>
        </w:rPr>
        <w:t>Neural Computation</w:t>
      </w:r>
      <w:r>
        <w:rPr>
          <w:rFonts w:ascii="Times New Roman" w:hAnsi="Times New Roman"/>
          <w:color w:val="262626"/>
          <w:sz w:val="22"/>
        </w:rPr>
        <w:t>, 9(8), 1735–1780.</w:t>
      </w:r>
    </w:p>
    <w:p>
      <w:pPr>
        <w:spacing w:before="40" w:after="100" w:line="276" w:lineRule="auto"/>
      </w:pPr>
      <w:r>
        <w:rPr>
          <w:rFonts w:ascii="Times New Roman" w:hAnsi="Times New Roman"/>
          <w:color w:val="262626"/>
          <w:sz w:val="22"/>
        </w:rPr>
        <w:t xml:space="preserve">[12] Vaswani, A., Shazeer, N., Parmar, N., Uszkoreit, J., Jones, L., Gomez, A. N., Kaiser, Ł., &amp; Polosukhin, I. (2017). Attention is all you need. In </w:t>
      </w:r>
      <w:r>
        <w:rPr>
          <w:rFonts w:ascii="Times New Roman" w:hAnsi="Times New Roman"/>
          <w:i/>
          <w:color w:val="262626"/>
          <w:sz w:val="22"/>
        </w:rPr>
        <w:t>Advances in Neural Information Processing Systems</w:t>
      </w:r>
      <w:r>
        <w:rPr>
          <w:rFonts w:ascii="Times New Roman" w:hAnsi="Times New Roman"/>
          <w:color w:val="262626"/>
          <w:sz w:val="22"/>
        </w:rPr>
        <w:t xml:space="preserve"> (pp. 5998–6008).</w:t>
      </w:r>
    </w:p>
    <w:p>
      <w:pPr>
        <w:spacing w:before="40" w:after="100" w:line="276" w:lineRule="auto"/>
      </w:pPr>
      <w:r>
        <w:rPr>
          <w:rFonts w:ascii="Times New Roman" w:hAnsi="Times New Roman"/>
          <w:color w:val="262626"/>
          <w:sz w:val="22"/>
        </w:rPr>
        <w:t xml:space="preserve">[13] Saxena, A., Goebel, K., Simon, D., &amp; Eklund, N. (2008). Damage propagation modeling for aircraft engine run-to-failure simulation. In </w:t>
      </w:r>
      <w:r>
        <w:rPr>
          <w:rFonts w:ascii="Times New Roman" w:hAnsi="Times New Roman"/>
          <w:i/>
          <w:color w:val="262626"/>
          <w:sz w:val="22"/>
        </w:rPr>
        <w:t>2008 International Conference on Prognostics and Health Management</w:t>
      </w:r>
      <w:r>
        <w:rPr>
          <w:rFonts w:ascii="Times New Roman" w:hAnsi="Times New Roman"/>
          <w:color w:val="262626"/>
          <w:sz w:val="22"/>
        </w:rPr>
        <w:t xml:space="preserve"> (pp. 1–9). IEEE.</w:t>
      </w:r>
    </w:p>
    <w:p>
      <w:pPr>
        <w:spacing w:before="40" w:after="100" w:line="276" w:lineRule="auto"/>
      </w:pPr>
      <w:r>
        <w:rPr>
          <w:rFonts w:ascii="Times New Roman" w:hAnsi="Times New Roman"/>
          <w:color w:val="262626"/>
          <w:sz w:val="22"/>
        </w:rPr>
        <w:t xml:space="preserve">[14] Zheng, S., Ristovski, K., Farahat, A., &amp; Gupta, C. (2017). Long short-term memory network for remaining useful life estimation. In </w:t>
      </w:r>
      <w:r>
        <w:rPr>
          <w:rFonts w:ascii="Times New Roman" w:hAnsi="Times New Roman"/>
          <w:i/>
          <w:color w:val="262626"/>
          <w:sz w:val="22"/>
        </w:rPr>
        <w:t>2017 IEEE International Conference on Prognostics and Health Management (ICPHM)</w:t>
      </w:r>
      <w:r>
        <w:rPr>
          <w:rFonts w:ascii="Times New Roman" w:hAnsi="Times New Roman"/>
          <w:color w:val="262626"/>
          <w:sz w:val="22"/>
        </w:rPr>
        <w:t xml:space="preserve"> (pp. 88–95). IEEE.</w:t>
      </w:r>
    </w:p>
    <w:p>
      <w:pPr>
        <w:spacing w:before="40" w:after="100" w:line="276" w:lineRule="auto"/>
      </w:pPr>
      <w:r>
        <w:rPr>
          <w:rFonts w:ascii="Times New Roman" w:hAnsi="Times New Roman"/>
          <w:color w:val="262626"/>
          <w:sz w:val="22"/>
        </w:rPr>
        <w:t xml:space="preserve">[15] Li, X., Ding, Q., &amp; Sun, J. Q. (2018). Remaining useful life estimation in prognostic using deep convolution neural networks. </w:t>
      </w:r>
      <w:r>
        <w:rPr>
          <w:rFonts w:ascii="Times New Roman" w:hAnsi="Times New Roman"/>
          <w:i/>
          <w:color w:val="262626"/>
          <w:sz w:val="22"/>
        </w:rPr>
        <w:t>Reliability Engineering &amp; System Safety</w:t>
      </w:r>
      <w:r>
        <w:rPr>
          <w:rFonts w:ascii="Times New Roman" w:hAnsi="Times New Roman"/>
          <w:color w:val="262626"/>
          <w:sz w:val="22"/>
        </w:rPr>
        <w:t>, 172, 1–11.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