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imes New Roman" w:hAnsi="Times New Roman"/>
          <w:b/>
          <w:color w:val="1F4E79"/>
          <w:sz w:val="36"/>
        </w:rPr>
        <w:t>Research Questions (Revised — Aligned with Evidence-Based Gap)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Primary Research Question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/>
                <w:color w:val="1F4E79"/>
                <w:sz w:val="20"/>
              </w:rPr>
              <w:t>To what extent do unsupervised anomaly-detection methods differ in their ability to identify machine degradation and provide early failure warnings in multivariate industrial sensor data, when evaluated under a unified, methodologically rigorous framework with strict leakage prevention?</w:t>
            </w:r>
          </w:p>
        </w:tc>
      </w:tr>
    </w:tbl>
    <w:p>
      <w:pPr>
        <w:spacing w:before="40" w:after="100" w:line="276" w:lineRule="auto"/>
      </w:pPr>
      <w:r>
        <w:rPr>
          <w:rFonts w:ascii="Times New Roman" w:hAnsi="Times New Roman"/>
          <w:i/>
          <w:color w:val="262626"/>
          <w:sz w:val="22"/>
        </w:rPr>
        <w:t>Note: This is an empirical comparison question, not a "does our new method beat the baseline" question. The answer may be that simpler methods perform comparably — that is a valid and valuable finding.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Secondary Research Questions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RQ1: Baseline vs. Deep Learning Under Fair Conditions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color w:val="1F4E79"/>
                <w:sz w:val="20"/>
              </w:rPr>
              <w:t>When Isolation Forest and Autoencoder-based methods are evaluated under identical data splits, normalization, threshold selection, and metrics — how do their detection performances compare?</w:t>
            </w:r>
          </w:p>
        </w:tc>
      </w:tr>
    </w:tbl>
    <w:p>
      <w:pPr>
        <w:spacing w:before="40" w:after="100" w:line="276" w:lineRule="auto"/>
      </w:pPr>
      <w:r>
        <w:rPr>
          <w:rFonts w:ascii="Times New Roman" w:hAnsi="Times New Roman"/>
          <w:b/>
          <w:color w:val="262626"/>
          <w:sz w:val="22"/>
        </w:rPr>
        <w:t>Why this matters:</w:t>
      </w:r>
      <w:r>
        <w:rPr>
          <w:rFonts w:ascii="Times New Roman" w:hAnsi="Times New Roman"/>
          <w:color w:val="262626"/>
          <w:sz w:val="22"/>
        </w:rPr>
        <w:t xml:space="preserve"> Many papers compare methods under inconsistent experimental conditions. Fair comparison may reveal that performance differences are smaller than typically reported.</w:t>
      </w:r>
    </w:p>
    <w:p>
      <w:pPr>
        <w:spacing w:before="40" w:after="100" w:line="276" w:lineRule="auto"/>
      </w:pPr>
      <w:r>
        <w:rPr>
          <w:rFonts w:ascii="Times New Roman" w:hAnsi="Times New Roman"/>
          <w:b/>
          <w:color w:val="262626"/>
          <w:sz w:val="22"/>
        </w:rPr>
        <w:t>Evidence needed:</w:t>
      </w:r>
      <w:r>
        <w:rPr>
          <w:rFonts w:ascii="Times New Roman" w:hAnsi="Times New Roman"/>
          <w:color w:val="262626"/>
          <w:sz w:val="22"/>
        </w:rPr>
        <w:t xml:space="preserve"> Performance table with identical experimental setup, statistical significance tests across 5 seeds.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RQ2: Does Temporal Modeling Improve Detection?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color w:val="1F4E79"/>
                <w:sz w:val="20"/>
              </w:rPr>
              <w:t>Does an LSTM Autoencoder, which explicitly models temporal dependencies in sensor sequences, capture degradation patterns more effectively than a conventional feedforward Autoencoder that treats each timestep independently?</w:t>
            </w:r>
          </w:p>
        </w:tc>
      </w:tr>
    </w:tbl>
    <w:p>
      <w:pPr>
        <w:spacing w:before="40" w:after="100" w:line="276" w:lineRule="auto"/>
      </w:pPr>
      <w:r>
        <w:rPr>
          <w:rFonts w:ascii="Times New Roman" w:hAnsi="Times New Roman"/>
          <w:b/>
          <w:color w:val="262626"/>
          <w:sz w:val="22"/>
        </w:rPr>
        <w:t>Why this matters:</w:t>
      </w:r>
      <w:r>
        <w:rPr>
          <w:rFonts w:ascii="Times New Roman" w:hAnsi="Times New Roman"/>
          <w:color w:val="262626"/>
          <w:sz w:val="22"/>
        </w:rPr>
        <w:t xml:space="preserve"> LSTM-AE adds substantial computational overhead. If it doesn't meaningfully improve detection, practitioners should know.</w:t>
      </w:r>
    </w:p>
    <w:p>
      <w:pPr>
        <w:spacing w:before="40" w:after="100" w:line="276" w:lineRule="auto"/>
      </w:pPr>
      <w:r>
        <w:rPr>
          <w:rFonts w:ascii="Times New Roman" w:hAnsi="Times New Roman"/>
          <w:b/>
          <w:color w:val="262626"/>
          <w:sz w:val="22"/>
        </w:rPr>
        <w:t>Evidence needed:</w:t>
      </w:r>
      <w:r>
        <w:rPr>
          <w:rFonts w:ascii="Times New Roman" w:hAnsi="Times New Roman"/>
          <w:color w:val="262626"/>
          <w:sz w:val="22"/>
        </w:rPr>
        <w:t xml:space="preserve"> Performance comparison + anomaly-score trajectory visualization for representative engines + ablation on sequence length.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RQ3: How Does Detection Behave Across Operating Conditions?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color w:val="1F4E79"/>
                <w:sz w:val="20"/>
              </w:rPr>
              <w:t>How does the performance of each method change when the dataset includes multiple operating conditions (FD001 vs FD002) or multiple fault modes (FD001 vs FD003)?</w:t>
            </w:r>
          </w:p>
        </w:tc>
      </w:tr>
    </w:tbl>
    <w:p>
      <w:pPr>
        <w:spacing w:before="40" w:after="100" w:line="276" w:lineRule="auto"/>
      </w:pPr>
      <w:r>
        <w:rPr>
          <w:rFonts w:ascii="Times New Roman" w:hAnsi="Times New Roman"/>
          <w:b/>
          <w:color w:val="262626"/>
          <w:sz w:val="22"/>
        </w:rPr>
        <w:t>Why this matters:</w:t>
      </w:r>
      <w:r>
        <w:rPr>
          <w:rFonts w:ascii="Times New Roman" w:hAnsi="Times New Roman"/>
          <w:color w:val="262626"/>
          <w:sz w:val="22"/>
        </w:rPr>
        <w:t xml:space="preserve"> Real industrial systems operate under varying conditions. A model that only works under one condition has limited practical value.</w:t>
      </w:r>
    </w:p>
    <w:p>
      <w:pPr>
        <w:spacing w:before="40" w:after="100" w:line="276" w:lineRule="auto"/>
      </w:pPr>
      <w:r>
        <w:rPr>
          <w:rFonts w:ascii="Times New Roman" w:hAnsi="Times New Roman"/>
          <w:b/>
          <w:color w:val="262626"/>
          <w:sz w:val="22"/>
        </w:rPr>
        <w:t>Evidence needed:</w:t>
      </w:r>
      <w:r>
        <w:rPr>
          <w:rFonts w:ascii="Times New Roman" w:hAnsi="Times New Roman"/>
          <w:color w:val="262626"/>
          <w:sz w:val="22"/>
        </w:rPr>
        <w:t xml:space="preserve"> Per-subset performance table + cross-subset evaluation (train FD001 → test FD002) + performance degradation quantification.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RQ4: How Early Can Each Method Detect Degradation?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color w:val="1F4E79"/>
                <w:sz w:val="20"/>
              </w:rPr>
              <w:t>For each method, how many cycles before failure does the first sustained anomaly warning appear, and how does this vary across engines?</w:t>
            </w:r>
          </w:p>
        </w:tc>
      </w:tr>
    </w:tbl>
    <w:p>
      <w:pPr>
        <w:spacing w:before="40" w:after="100" w:line="276" w:lineRule="auto"/>
      </w:pPr>
      <w:r>
        <w:rPr>
          <w:rFonts w:ascii="Times New Roman" w:hAnsi="Times New Roman"/>
          <w:b/>
          <w:color w:val="262626"/>
          <w:sz w:val="22"/>
        </w:rPr>
        <w:t>Why this matters:</w:t>
      </w:r>
      <w:r>
        <w:rPr>
          <w:rFonts w:ascii="Times New Roman" w:hAnsi="Times New Roman"/>
          <w:color w:val="262626"/>
          <w:sz w:val="22"/>
        </w:rPr>
        <w:t xml:space="preserve"> An anomaly detector that only triggers 5 cycles before failure offers less value than one that triggers 50 cycles early. Mean lead time is more actionable than F1 alone.</w:t>
      </w:r>
    </w:p>
    <w:p>
      <w:pPr>
        <w:spacing w:before="40" w:after="100" w:line="276" w:lineRule="auto"/>
      </w:pPr>
      <w:r>
        <w:rPr>
          <w:rFonts w:ascii="Times New Roman" w:hAnsi="Times New Roman"/>
          <w:b/>
          <w:color w:val="262626"/>
          <w:sz w:val="22"/>
        </w:rPr>
        <w:t>Evidence needed:</w:t>
      </w:r>
      <w:r>
        <w:rPr>
          <w:rFonts w:ascii="Times New Roman" w:hAnsi="Times New Roman"/>
          <w:color w:val="262626"/>
          <w:sz w:val="22"/>
        </w:rPr>
        <w:t xml:space="preserve"> Lead-time distribution (boxplot/histogram) per method + per-engine detection timeline + missed failure analysis.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RQ5: What Is the Sensitivity–False Alarm Trade-off?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color w:val="1F4E79"/>
                <w:sz w:val="20"/>
              </w:rPr>
              <w:t>How does the choice of anomaly threshold affect the trade-off between detection sensitivity and false alarm rate for each method?</w:t>
            </w:r>
          </w:p>
        </w:tc>
      </w:tr>
    </w:tbl>
    <w:p>
      <w:pPr>
        <w:spacing w:before="40" w:after="100" w:line="276" w:lineRule="auto"/>
      </w:pPr>
      <w:r>
        <w:rPr>
          <w:rFonts w:ascii="Times New Roman" w:hAnsi="Times New Roman"/>
          <w:b/>
          <w:color w:val="262626"/>
          <w:sz w:val="22"/>
        </w:rPr>
        <w:t>Why this matters:</w:t>
      </w:r>
      <w:r>
        <w:rPr>
          <w:rFonts w:ascii="Times New Roman" w:hAnsi="Times New Roman"/>
          <w:color w:val="262626"/>
          <w:sz w:val="22"/>
        </w:rPr>
        <w:t xml:space="preserve"> In real systems, false alarms are costly. A method with high recall but unacceptable false alarm rate may be worse than one with moderate recall and low false alarms.</w:t>
      </w:r>
    </w:p>
    <w:p>
      <w:pPr>
        <w:spacing w:before="40" w:after="100" w:line="276" w:lineRule="auto"/>
      </w:pPr>
      <w:r>
        <w:rPr>
          <w:rFonts w:ascii="Times New Roman" w:hAnsi="Times New Roman"/>
          <w:b/>
          <w:color w:val="262626"/>
          <w:sz w:val="22"/>
        </w:rPr>
        <w:t>Evidence needed:</w:t>
      </w:r>
      <w:r>
        <w:rPr>
          <w:rFonts w:ascii="Times New Roman" w:hAnsi="Times New Roman"/>
          <w:color w:val="262626"/>
          <w:sz w:val="22"/>
        </w:rPr>
        <w:t xml:space="preserve"> Precision-recall curves + threshold sweep analysis + operating-point recommendation under different cost assumptions.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RQ6: Do Models Generalize to Unseen Engines?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color w:val="1F4E79"/>
                <w:sz w:val="20"/>
              </w:rPr>
              <w:t>When models are trained on one set of engines and evaluated on completely separate engines (engine-level test split), how much does performance degrade compared to evaluation on training engines?</w:t>
            </w:r>
          </w:p>
        </w:tc>
      </w:tr>
    </w:tbl>
    <w:p>
      <w:pPr>
        <w:spacing w:before="40" w:after="100" w:line="276" w:lineRule="auto"/>
      </w:pPr>
      <w:r>
        <w:rPr>
          <w:rFonts w:ascii="Times New Roman" w:hAnsi="Times New Roman"/>
          <w:b/>
          <w:color w:val="262626"/>
          <w:sz w:val="22"/>
        </w:rPr>
        <w:t>Why this matters:</w:t>
      </w:r>
      <w:r>
        <w:rPr>
          <w:rFonts w:ascii="Times New Roman" w:hAnsi="Times New Roman"/>
          <w:color w:val="262626"/>
          <w:sz w:val="22"/>
        </w:rPr>
        <w:t xml:space="preserve"> Tests whether the model has learned general degradation patterns vs. memorizing specific engine behavior.</w:t>
      </w:r>
    </w:p>
    <w:p>
      <w:pPr>
        <w:spacing w:before="40" w:after="100" w:line="276" w:lineRule="auto"/>
      </w:pPr>
      <w:r>
        <w:rPr>
          <w:rFonts w:ascii="Times New Roman" w:hAnsi="Times New Roman"/>
          <w:b/>
          <w:color w:val="262626"/>
          <w:sz w:val="22"/>
        </w:rPr>
        <w:t>Evidence needed:</w:t>
      </w:r>
      <w:r>
        <w:rPr>
          <w:rFonts w:ascii="Times New Roman" w:hAnsi="Times New Roman"/>
          <w:color w:val="262626"/>
          <w:sz w:val="22"/>
        </w:rPr>
        <w:t xml:space="preserve"> Generalization gap table (train-set performance vs. test-set performance) + analysis of which engine characteristics predict poor generalization.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RQ7: Is Added Complexity Justified?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color w:val="1F4E79"/>
                <w:sz w:val="20"/>
              </w:rPr>
              <w:t>Does the marginal performance improvement from more complex models (LSTM-AE &gt; AE &gt; IF &gt; statistical threshold) justify the additional computational cost?</w:t>
            </w:r>
          </w:p>
        </w:tc>
      </w:tr>
    </w:tbl>
    <w:p>
      <w:pPr>
        <w:spacing w:before="40" w:after="100" w:line="276" w:lineRule="auto"/>
      </w:pPr>
      <w:r>
        <w:rPr>
          <w:rFonts w:ascii="Times New Roman" w:hAnsi="Times New Roman"/>
          <w:b/>
          <w:color w:val="262626"/>
          <w:sz w:val="22"/>
        </w:rPr>
        <w:t>Why this matters:</w:t>
      </w:r>
      <w:r>
        <w:rPr>
          <w:rFonts w:ascii="Times New Roman" w:hAnsi="Times New Roman"/>
          <w:color w:val="262626"/>
          <w:sz w:val="22"/>
        </w:rPr>
        <w:t xml:space="preserve"> For resource-constrained edge deployment or rapid prototyping, practitioners need to know the cost-benefit trade-off.</w:t>
      </w:r>
    </w:p>
    <w:p>
      <w:pPr>
        <w:spacing w:before="40" w:after="100" w:line="276" w:lineRule="auto"/>
      </w:pPr>
      <w:r>
        <w:rPr>
          <w:rFonts w:ascii="Times New Roman" w:hAnsi="Times New Roman"/>
          <w:b/>
          <w:color w:val="262626"/>
          <w:sz w:val="22"/>
        </w:rPr>
        <w:t>Evidence needed:</w:t>
      </w:r>
      <w:r>
        <w:rPr>
          <w:rFonts w:ascii="Times New Roman" w:hAnsi="Times New Roman"/>
          <w:color w:val="262626"/>
          <w:sz w:val="22"/>
        </w:rPr>
        <w:t xml:space="preserve"> Performance-vs-complexity chart (F1 vs. parameter count, F1 vs. training time) + concrete recommendation table.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Research Question → Experiment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RQ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Primary Experiment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Dataset(s)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Key Metrics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Ablation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RQ1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Fair model comparison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FD001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F1, PR-AUC, Lead Time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Threshold strategy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RQ2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Temporal vs non-temporal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FD001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F1, Anomaly trajectories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Sequence length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RQ3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Cross-condition evaluation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FD001→FD002, FD003, FD004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Per-condition F1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Op. condition normalization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RQ4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Early warning analysis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FD001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Lead time distribution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Persistence window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RQ5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Threshold sensitivity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FD001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PR curves, FAR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Multiple threshold strategies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RQ6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Generalization test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FD001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Train vs test gap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Engine subset size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RQ7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Complexity analysis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FD001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F1 / training time ratio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Model size variants</w:t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Guiding Principle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i/>
                <w:color w:val="1F4E79"/>
                <w:sz w:val="20"/>
              </w:rPr>
              <w:t>We do not predetermine which method will "win." If Isolation Forest outperforms LSTM-AE under certain conditions, that is a finding we report with the same rigor as the reverse. The goal is understanding, not advocacy.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