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Times New Roman" w:hAnsi="Times New Roman"/>
          <w:b/>
          <w:color w:val="1F4E79"/>
          <w:sz w:val="36"/>
        </w:rPr>
        <w:t>Unsupervised Anomaly Detection for Predictive Maintenance in Industrial IoT: A Systematic Empirical Comparison of Classical and Deep Learning Methods</w:t>
      </w:r>
    </w:p>
    <w:p>
      <w:pPr>
        <w:spacing w:before="120" w:after="120"/>
      </w:pPr>
      <w:r>
        <w:rPr>
          <w:color w:val="BDC3C7"/>
          <w:sz w:val="16"/>
        </w:rPr>
        <w:t>―――――――――――――――――――――――――――――――――――――――――――――――――――――――</w:t>
      </w:r>
    </w:p>
    <w:p>
      <w:pPr>
        <w:spacing w:before="40" w:after="100" w:line="276" w:lineRule="auto"/>
      </w:pPr>
      <w:r>
        <w:rPr>
          <w:rFonts w:ascii="Times New Roman" w:hAnsi="Times New Roman"/>
          <w:b/>
          <w:color w:val="262626"/>
          <w:sz w:val="22"/>
        </w:rPr>
        <w:t>A B.Tech Project Thesis Submitted in Partial Fulfillment of the Requirements for the Degree of</w:t>
      </w:r>
    </w:p>
    <w:p>
      <w:pPr>
        <w:spacing w:before="40" w:after="100" w:line="276" w:lineRule="auto"/>
      </w:pPr>
      <w:r>
        <w:rPr>
          <w:rFonts w:ascii="Times New Roman" w:hAnsi="Times New Roman"/>
          <w:b/>
          <w:color w:val="262626"/>
          <w:sz w:val="22"/>
        </w:rPr>
        <w:t>Bachelor of Technology in Computer Science and Engineering</w:t>
      </w:r>
    </w:p>
    <w:p>
      <w:pPr>
        <w:spacing w:before="40" w:after="100" w:line="276" w:lineRule="auto"/>
      </w:pPr>
      <w:r>
        <w:rPr>
          <w:rFonts w:ascii="Times New Roman" w:hAnsi="Times New Roman"/>
          <w:color w:val="262626"/>
          <w:sz w:val="22"/>
        </w:rPr>
        <w:t>by</w:t>
      </w:r>
    </w:p>
    <w:p>
      <w:pPr>
        <w:spacing w:before="40" w:after="100" w:line="276" w:lineRule="auto"/>
      </w:pPr>
      <w:r>
        <w:rPr>
          <w:rFonts w:ascii="Times New Roman" w:hAnsi="Times New Roman"/>
          <w:b/>
          <w:color w:val="262626"/>
          <w:sz w:val="22"/>
        </w:rPr>
        <w:t>Tusher Tarafder</w:t>
      </w:r>
    </w:p>
    <w:p>
      <w:pPr>
        <w:spacing w:before="40" w:after="100" w:line="276" w:lineRule="auto"/>
      </w:pPr>
      <w:r>
        <w:rPr>
          <w:rFonts w:ascii="Times New Roman" w:hAnsi="Times New Roman"/>
          <w:b/>
          <w:color w:val="262626"/>
          <w:sz w:val="22"/>
        </w:rPr>
        <w:t>Roll No. / Registration No.: 20051752</w:t>
      </w:r>
    </w:p>
    <w:p>
      <w:pPr>
        <w:spacing w:before="40" w:after="100" w:line="276" w:lineRule="auto"/>
      </w:pPr>
      <w:r>
        <w:rPr>
          <w:rFonts w:ascii="Times New Roman" w:hAnsi="Times New Roman"/>
          <w:b/>
          <w:color w:val="262626"/>
          <w:sz w:val="22"/>
        </w:rPr>
        <w:t>School of Computer Engineering</w:t>
      </w:r>
    </w:p>
    <w:p>
      <w:pPr>
        <w:spacing w:before="40" w:after="100" w:line="276" w:lineRule="auto"/>
      </w:pPr>
      <w:r>
        <w:rPr>
          <w:rFonts w:ascii="Times New Roman" w:hAnsi="Times New Roman"/>
          <w:b/>
          <w:color w:val="262626"/>
          <w:sz w:val="22"/>
        </w:rPr>
        <w:t>Kalinga Institute of Industrial Technology (KIIT) Deemed to be University</w:t>
      </w:r>
    </w:p>
    <w:p>
      <w:pPr>
        <w:spacing w:before="40" w:after="100" w:line="276" w:lineRule="auto"/>
      </w:pPr>
      <w:r>
        <w:rPr>
          <w:rFonts w:ascii="Times New Roman" w:hAnsi="Times New Roman"/>
          <w:b/>
          <w:color w:val="262626"/>
          <w:sz w:val="22"/>
        </w:rPr>
        <w:t>Bhubaneswar, Odisha, India</w:t>
      </w:r>
    </w:p>
    <w:p>
      <w:pPr>
        <w:spacing w:before="40" w:after="100" w:line="276" w:lineRule="auto"/>
      </w:pPr>
      <w:r>
        <w:rPr>
          <w:rFonts w:ascii="Times New Roman" w:hAnsi="Times New Roman"/>
          <w:color w:val="262626"/>
          <w:sz w:val="22"/>
        </w:rPr>
        <w:t>under the supervision of</w:t>
      </w:r>
    </w:p>
    <w:p>
      <w:pPr>
        <w:spacing w:before="40" w:after="100" w:line="276" w:lineRule="auto"/>
      </w:pPr>
      <w:r>
        <w:rPr>
          <w:rFonts w:ascii="Times New Roman" w:hAnsi="Times New Roman"/>
          <w:b/>
          <w:color w:val="262626"/>
          <w:sz w:val="22"/>
        </w:rPr>
        <w:t>Prof. (Dr.) Sujata Dash</w:t>
      </w:r>
    </w:p>
    <w:p>
      <w:pPr>
        <w:spacing w:before="40" w:after="100" w:line="276" w:lineRule="auto"/>
      </w:pPr>
      <w:r>
        <w:rPr>
          <w:rFonts w:ascii="Times New Roman" w:hAnsi="Times New Roman"/>
          <w:b/>
          <w:color w:val="262626"/>
          <w:sz w:val="22"/>
        </w:rPr>
        <w:t>Professor, School of Computer Engineering</w:t>
      </w:r>
    </w:p>
    <w:p>
      <w:pPr>
        <w:spacing w:before="40" w:after="100" w:line="276" w:lineRule="auto"/>
      </w:pPr>
      <w:r>
        <w:rPr>
          <w:rFonts w:ascii="Times New Roman" w:hAnsi="Times New Roman"/>
          <w:b/>
          <w:color w:val="262626"/>
          <w:sz w:val="22"/>
        </w:rPr>
        <w:t>Kalinga Institute of Industrial Technology (KIIT) Deemed to be University</w:t>
      </w:r>
    </w:p>
    <w:p>
      <w:pPr>
        <w:spacing w:before="40" w:after="100" w:line="276" w:lineRule="auto"/>
      </w:pPr>
      <w:r>
        <w:rPr>
          <w:rFonts w:ascii="Times New Roman" w:hAnsi="Times New Roman"/>
          <w:b/>
          <w:color w:val="262626"/>
          <w:sz w:val="22"/>
        </w:rPr>
        <w:t>Bhubaneswar, Odisha, India</w:t>
      </w:r>
    </w:p>
    <w:p>
      <w:pPr>
        <w:spacing w:before="40" w:after="100" w:line="276" w:lineRule="auto"/>
      </w:pPr>
      <w:r>
        <w:rPr>
          <w:rFonts w:ascii="Times New Roman" w:hAnsi="Times New Roman"/>
          <w:b/>
          <w:color w:val="262626"/>
          <w:sz w:val="22"/>
        </w:rPr>
        <w:t>May 2026</w:t>
      </w:r>
    </w:p>
    <w:p>
      <w:pPr>
        <w:spacing w:before="120" w:after="120"/>
      </w:pPr>
      <w:r>
        <w:rPr>
          <w:color w:val="BDC3C7"/>
          <w:sz w:val="16"/>
        </w:rPr>
        <w:t>―――――――――――――――――――――――――――――――――――――――――――――――――――――――</w:t>
      </w:r>
    </w:p>
    <w:p>
      <w:pPr>
        <w:keepNext/>
        <w:spacing w:before="240" w:after="80"/>
      </w:pPr>
      <w:r>
        <w:rPr>
          <w:rFonts w:ascii="Times New Roman" w:hAnsi="Times New Roman"/>
          <w:b/>
          <w:color w:val="2E75B6"/>
          <w:sz w:val="28"/>
        </w:rPr>
        <w:t>Certificate of Recommendation</w:t>
      </w:r>
    </w:p>
    <w:p>
      <w:pPr>
        <w:spacing w:before="40" w:after="100" w:line="276" w:lineRule="auto"/>
      </w:pPr>
      <w:r>
        <w:rPr>
          <w:rFonts w:ascii="Times New Roman" w:hAnsi="Times New Roman"/>
          <w:color w:val="262626"/>
          <w:sz w:val="22"/>
        </w:rPr>
        <w:t xml:space="preserve">This is to certify that the thesis entitled </w:t>
      </w:r>
      <w:r>
        <w:rPr>
          <w:rFonts w:ascii="Times New Roman" w:hAnsi="Times New Roman"/>
          <w:b/>
          <w:color w:val="262626"/>
          <w:sz w:val="22"/>
        </w:rPr>
        <w:t>"Unsupervised Anomaly Detection for Predictive Maintenance in Industrial IoT: A Systematic Empirical Comparison of Classical and Deep Learning Methods"</w:t>
      </w:r>
      <w:r>
        <w:rPr>
          <w:rFonts w:ascii="Times New Roman" w:hAnsi="Times New Roman"/>
          <w:color w:val="262626"/>
          <w:sz w:val="22"/>
        </w:rPr>
        <w:t xml:space="preserve">, submitted by </w:t>
      </w:r>
      <w:r>
        <w:rPr>
          <w:rFonts w:ascii="Times New Roman" w:hAnsi="Times New Roman"/>
          <w:b/>
          <w:color w:val="262626"/>
          <w:sz w:val="22"/>
        </w:rPr>
        <w:t>Tusher Tarafder</w:t>
      </w:r>
      <w:r>
        <w:rPr>
          <w:rFonts w:ascii="Times New Roman" w:hAnsi="Times New Roman"/>
          <w:color w:val="262626"/>
          <w:sz w:val="22"/>
        </w:rPr>
        <w:t xml:space="preserve"> to the School of Computer Engineering, Kalinga Institute of Industrial Technology (KIIT) Deemed to be University, Bhubaneswar, Odisha, India, in partial fulfillment of the requirements for the award of the degree of </w:t>
      </w:r>
      <w:r>
        <w:rPr>
          <w:rFonts w:ascii="Times New Roman" w:hAnsi="Times New Roman"/>
          <w:b/>
          <w:color w:val="262626"/>
          <w:sz w:val="22"/>
        </w:rPr>
        <w:t>Bachelor of Technology in Computer Science and Engineering</w:t>
      </w:r>
      <w:r>
        <w:rPr>
          <w:rFonts w:ascii="Times New Roman" w:hAnsi="Times New Roman"/>
          <w:color w:val="262626"/>
          <w:sz w:val="22"/>
        </w:rPr>
        <w:t>, is a bona fide record of authentic research work carried out by him under my guidance and supervision.</w:t>
      </w:r>
    </w:p>
    <w:p>
      <w:pPr>
        <w:spacing w:before="40" w:after="100" w:line="276" w:lineRule="auto"/>
      </w:pPr>
      <w:r>
        <w:rPr>
          <w:rFonts w:ascii="Times New Roman" w:hAnsi="Times New Roman"/>
          <w:color w:val="262626"/>
          <w:sz w:val="22"/>
        </w:rPr>
        <w:t>The results embodied in this thesis have been verified and have not been submitted to any other University or Institute for the award of any degree or diploma. In my opinion, the thesis has reached the standard of fulfilling the requirements for the B.Tech degree in Computer Science and Engineering.</w:t>
      </w:r>
    </w:p>
    <w:p>
      <w:pPr>
        <w:spacing w:before="40" w:after="100" w:line="276" w:lineRule="auto"/>
      </w:pPr>
      <w:r>
        <w:rPr>
          <w:rFonts w:ascii="Times New Roman" w:hAnsi="Times New Roman"/>
          <w:color w:val="262626"/>
          <w:sz w:val="22"/>
        </w:rPr>
        <w:t>\</w:t>
      </w:r>
    </w:p>
    <w:p>
      <w:pPr>
        <w:spacing w:before="40" w:after="100" w:line="276" w:lineRule="auto"/>
      </w:pPr>
      <w:r>
        <w:rPr>
          <w:rFonts w:ascii="Times New Roman" w:hAnsi="Times New Roman"/>
          <w:color w:val="262626"/>
          <w:sz w:val="22"/>
        </w:rPr>
        <w:t>\</w:t>
      </w:r>
    </w:p>
    <w:p>
      <w:pPr>
        <w:spacing w:before="120" w:after="120"/>
      </w:pPr>
      <w:r>
        <w:rPr>
          <w:color w:val="BDC3C7"/>
          <w:sz w:val="16"/>
        </w:rPr>
        <w:t>―――――――――――――――――――――――――――――――――――――――――――――――――――――――</w:t>
      </w:r>
    </w:p>
    <w:p>
      <w:pPr>
        <w:spacing w:before="40" w:after="100" w:line="276" w:lineRule="auto"/>
      </w:pPr>
      <w:r>
        <w:rPr>
          <w:rFonts w:ascii="Times New Roman" w:hAnsi="Times New Roman"/>
          <w:b/>
          <w:color w:val="262626"/>
          <w:sz w:val="22"/>
        </w:rPr>
        <w:t>Prof. (Dr.) Sujata Dash</w:t>
      </w:r>
    </w:p>
    <w:p>
      <w:pPr>
        <w:spacing w:before="40" w:after="100" w:line="276" w:lineRule="auto"/>
      </w:pPr>
      <w:r>
        <w:rPr>
          <w:rFonts w:ascii="Times New Roman" w:hAnsi="Times New Roman"/>
          <w:color w:val="262626"/>
          <w:sz w:val="22"/>
        </w:rPr>
        <w:t>Supervisor</w:t>
      </w:r>
    </w:p>
    <w:p>
      <w:pPr>
        <w:spacing w:before="40" w:after="100" w:line="276" w:lineRule="auto"/>
      </w:pPr>
      <w:r>
        <w:rPr>
          <w:rFonts w:ascii="Times New Roman" w:hAnsi="Times New Roman"/>
          <w:color w:val="262626"/>
          <w:sz w:val="22"/>
        </w:rPr>
        <w:t>Professor, School of Computer Engineering</w:t>
      </w:r>
    </w:p>
    <w:p>
      <w:pPr>
        <w:spacing w:before="40" w:after="100" w:line="276" w:lineRule="auto"/>
      </w:pPr>
      <w:r>
        <w:rPr>
          <w:rFonts w:ascii="Times New Roman" w:hAnsi="Times New Roman"/>
          <w:color w:val="262626"/>
          <w:sz w:val="22"/>
        </w:rPr>
        <w:t>Kalinga Institute of Industrial Technology (KIIT) Deemed to be University</w:t>
      </w:r>
    </w:p>
    <w:p>
      <w:pPr>
        <w:spacing w:before="40" w:after="100" w:line="276" w:lineRule="auto"/>
      </w:pPr>
      <w:r>
        <w:rPr>
          <w:rFonts w:ascii="Times New Roman" w:hAnsi="Times New Roman"/>
          <w:color w:val="262626"/>
          <w:sz w:val="22"/>
        </w:rPr>
        <w:t>Bhubaneswar, Odisha, India</w:t>
      </w:r>
    </w:p>
    <w:p>
      <w:pPr>
        <w:spacing w:before="40" w:after="100" w:line="276" w:lineRule="auto"/>
      </w:pPr>
      <w:r>
        <w:rPr>
          <w:rFonts w:ascii="Times New Roman" w:hAnsi="Times New Roman"/>
          <w:color w:val="262626"/>
          <w:sz w:val="22"/>
        </w:rPr>
        <w:t>Date: May 12, 2026</w:t>
      </w:r>
    </w:p>
    <w:p>
      <w:pPr>
        <w:spacing w:before="120" w:after="120"/>
      </w:pPr>
      <w:r>
        <w:rPr>
          <w:color w:val="BDC3C7"/>
          <w:sz w:val="16"/>
        </w:rPr>
        <w:t>―――――――――――――――――――――――――――――――――――――――――――――――――――――――</w:t>
      </w:r>
    </w:p>
    <w:p>
      <w:pPr>
        <w:keepNext/>
        <w:spacing w:before="240" w:after="80"/>
      </w:pPr>
      <w:r>
        <w:rPr>
          <w:rFonts w:ascii="Times New Roman" w:hAnsi="Times New Roman"/>
          <w:b/>
          <w:color w:val="2E75B6"/>
          <w:sz w:val="28"/>
        </w:rPr>
        <w:t>Candidate's Declaration</w:t>
      </w:r>
    </w:p>
    <w:p>
      <w:pPr>
        <w:spacing w:before="40" w:after="100" w:line="276" w:lineRule="auto"/>
      </w:pPr>
      <w:r>
        <w:rPr>
          <w:rFonts w:ascii="Times New Roman" w:hAnsi="Times New Roman"/>
          <w:color w:val="262626"/>
          <w:sz w:val="22"/>
        </w:rPr>
        <w:t xml:space="preserve">I hereby declare that the work presented in this thesis entitled </w:t>
      </w:r>
      <w:r>
        <w:rPr>
          <w:rFonts w:ascii="Times New Roman" w:hAnsi="Times New Roman"/>
          <w:b/>
          <w:color w:val="262626"/>
          <w:sz w:val="22"/>
        </w:rPr>
        <w:t>"Unsupervised Anomaly Detection for Predictive Maintenance in Industrial IoT: A Systematic Empirical Comparison of Classical and Deep Learning Methods"</w:t>
      </w:r>
      <w:r>
        <w:rPr>
          <w:rFonts w:ascii="Times New Roman" w:hAnsi="Times New Roman"/>
          <w:color w:val="262626"/>
          <w:sz w:val="22"/>
        </w:rPr>
        <w:t xml:space="preserve"> is an authentic record of my own research carried out under the supervision of </w:t>
      </w:r>
      <w:r>
        <w:rPr>
          <w:rFonts w:ascii="Times New Roman" w:hAnsi="Times New Roman"/>
          <w:b/>
          <w:color w:val="262626"/>
          <w:sz w:val="22"/>
        </w:rPr>
        <w:t>Prof. (Dr.) Sujata Dash</w:t>
      </w:r>
      <w:r>
        <w:rPr>
          <w:rFonts w:ascii="Times New Roman" w:hAnsi="Times New Roman"/>
          <w:color w:val="262626"/>
          <w:sz w:val="22"/>
        </w:rPr>
        <w:t>, Professor, School of Computer Engineering, Kalinga Institute of Industrial Technology (KIIT) Deemed to be University, Bhubaneswar.</w:t>
      </w:r>
    </w:p>
    <w:p>
      <w:pPr>
        <w:spacing w:before="40" w:after="100" w:line="276" w:lineRule="auto"/>
      </w:pPr>
      <w:r>
        <w:rPr>
          <w:rFonts w:ascii="Times New Roman" w:hAnsi="Times New Roman"/>
          <w:color w:val="262626"/>
          <w:sz w:val="22"/>
        </w:rPr>
        <w:t>I affirm that this thesis represents my original work, and wherever the ideas, concepts, algorithms, or empirical findings of other researchers have been utilized, they have been duly acknowledged and cited in accordance with standard academic ethics and bibliographic norms. I further declare that neither this thesis nor any significant part of it has been submitted concurrently to any other university or institution for the award of any degree, diploma, or fellowship.</w:t>
      </w:r>
    </w:p>
    <w:p>
      <w:pPr>
        <w:spacing w:before="40" w:after="100" w:line="276" w:lineRule="auto"/>
      </w:pPr>
      <w:r>
        <w:rPr>
          <w:rFonts w:ascii="Times New Roman" w:hAnsi="Times New Roman"/>
          <w:color w:val="262626"/>
          <w:sz w:val="22"/>
        </w:rPr>
        <w:t>\</w:t>
      </w:r>
    </w:p>
    <w:p>
      <w:pPr>
        <w:spacing w:before="40" w:after="100" w:line="276" w:lineRule="auto"/>
      </w:pPr>
      <w:r>
        <w:rPr>
          <w:rFonts w:ascii="Times New Roman" w:hAnsi="Times New Roman"/>
          <w:color w:val="262626"/>
          <w:sz w:val="22"/>
        </w:rPr>
        <w:t>\</w:t>
      </w:r>
    </w:p>
    <w:p>
      <w:pPr>
        <w:spacing w:before="120" w:after="120"/>
      </w:pPr>
      <w:r>
        <w:rPr>
          <w:color w:val="BDC3C7"/>
          <w:sz w:val="16"/>
        </w:rPr>
        <w:t>―――――――――――――――――――――――――――――――――――――――――――――――――――――――</w:t>
      </w:r>
    </w:p>
    <w:p>
      <w:pPr>
        <w:spacing w:before="40" w:after="100" w:line="276" w:lineRule="auto"/>
      </w:pPr>
      <w:r>
        <w:rPr>
          <w:rFonts w:ascii="Times New Roman" w:hAnsi="Times New Roman"/>
          <w:b/>
          <w:color w:val="262626"/>
          <w:sz w:val="22"/>
        </w:rPr>
        <w:t>Tusher Tarafder</w:t>
      </w:r>
    </w:p>
    <w:p>
      <w:pPr>
        <w:spacing w:before="40" w:after="100" w:line="276" w:lineRule="auto"/>
      </w:pPr>
      <w:r>
        <w:rPr>
          <w:rFonts w:ascii="Times New Roman" w:hAnsi="Times New Roman"/>
          <w:color w:val="262626"/>
          <w:sz w:val="22"/>
        </w:rPr>
        <w:t>School of Computer Engineering</w:t>
      </w:r>
    </w:p>
    <w:p>
      <w:pPr>
        <w:spacing w:before="40" w:after="100" w:line="276" w:lineRule="auto"/>
      </w:pPr>
      <w:r>
        <w:rPr>
          <w:rFonts w:ascii="Times New Roman" w:hAnsi="Times New Roman"/>
          <w:color w:val="262626"/>
          <w:sz w:val="22"/>
        </w:rPr>
        <w:t>Kalinga Institute of Industrial Technology (KIIT) Deemed to be University</w:t>
      </w:r>
    </w:p>
    <w:p>
      <w:pPr>
        <w:spacing w:before="40" w:after="100" w:line="276" w:lineRule="auto"/>
      </w:pPr>
      <w:r>
        <w:rPr>
          <w:rFonts w:ascii="Times New Roman" w:hAnsi="Times New Roman"/>
          <w:color w:val="262626"/>
          <w:sz w:val="22"/>
        </w:rPr>
        <w:t>Bhubaneswar, Odisha, India</w:t>
      </w:r>
    </w:p>
    <w:p>
      <w:pPr>
        <w:spacing w:before="40" w:after="100" w:line="276" w:lineRule="auto"/>
      </w:pPr>
      <w:r>
        <w:rPr>
          <w:rFonts w:ascii="Times New Roman" w:hAnsi="Times New Roman"/>
          <w:color w:val="262626"/>
          <w:sz w:val="22"/>
        </w:rPr>
        <w:t>Date: May 12, 2026</w:t>
      </w:r>
    </w:p>
    <w:p>
      <w:pPr>
        <w:spacing w:before="120" w:after="120"/>
      </w:pPr>
      <w:r>
        <w:rPr>
          <w:color w:val="BDC3C7"/>
          <w:sz w:val="16"/>
        </w:rPr>
        <w:t>―――――――――――――――――――――――――――――――――――――――――――――――――――――――</w:t>
      </w:r>
    </w:p>
    <w:p>
      <w:pPr>
        <w:keepNext/>
        <w:spacing w:before="240" w:after="80"/>
      </w:pPr>
      <w:r>
        <w:rPr>
          <w:rFonts w:ascii="Times New Roman" w:hAnsi="Times New Roman"/>
          <w:b/>
          <w:color w:val="2E75B6"/>
          <w:sz w:val="28"/>
        </w:rPr>
        <w:t>Acknowledgements</w:t>
      </w:r>
    </w:p>
    <w:p>
      <w:pPr>
        <w:spacing w:before="40" w:after="100" w:line="276" w:lineRule="auto"/>
      </w:pPr>
      <w:r>
        <w:rPr>
          <w:rFonts w:ascii="Times New Roman" w:hAnsi="Times New Roman"/>
          <w:color w:val="262626"/>
          <w:sz w:val="22"/>
        </w:rPr>
        <w:t>The completion of this undergraduate thesis would not have been possible without the invaluable guidance, constructive criticism, and steadfast encouragement of several individuals and institutions whom I wish to sincerely acknowledge.</w:t>
      </w:r>
    </w:p>
    <w:p>
      <w:pPr>
        <w:spacing w:before="40" w:after="100" w:line="276" w:lineRule="auto"/>
      </w:pPr>
      <w:r>
        <w:rPr>
          <w:rFonts w:ascii="Times New Roman" w:hAnsi="Times New Roman"/>
          <w:color w:val="262626"/>
          <w:sz w:val="22"/>
        </w:rPr>
        <w:t xml:space="preserve">First and foremost, I express my deepest sense of gratitude and respect to my supervisor, </w:t>
      </w:r>
      <w:r>
        <w:rPr>
          <w:rFonts w:ascii="Times New Roman" w:hAnsi="Times New Roman"/>
          <w:b/>
          <w:color w:val="262626"/>
          <w:sz w:val="22"/>
        </w:rPr>
        <w:t>Prof. (Dr.) Sujata Dash</w:t>
      </w:r>
      <w:r>
        <w:rPr>
          <w:rFonts w:ascii="Times New Roman" w:hAnsi="Times New Roman"/>
          <w:color w:val="262626"/>
          <w:sz w:val="22"/>
        </w:rPr>
        <w:t>, Professor in the School of Computer Engineering, Kalinga Institute of Industrial Technology (KIIT) Deemed to be University. Her profound academic insights, methodological rigor, and continuous guidance shaped the trajectory of this investigation. She continually encouraged me to question prevailing assumptions in applied machine learning, emphasizing empirical integrity and scientific skepticism over superficial metric chasing.</w:t>
      </w:r>
    </w:p>
    <w:p>
      <w:pPr>
        <w:spacing w:before="40" w:after="100" w:line="276" w:lineRule="auto"/>
      </w:pPr>
      <w:r>
        <w:rPr>
          <w:rFonts w:ascii="Times New Roman" w:hAnsi="Times New Roman"/>
          <w:color w:val="262626"/>
          <w:sz w:val="22"/>
        </w:rPr>
        <w:t xml:space="preserve">I extend my heartfelt thanks to the </w:t>
      </w:r>
      <w:r>
        <w:rPr>
          <w:rFonts w:ascii="Times New Roman" w:hAnsi="Times New Roman"/>
          <w:b/>
          <w:color w:val="262626"/>
          <w:sz w:val="22"/>
        </w:rPr>
        <w:t>School of Computer Engineering</w:t>
      </w:r>
      <w:r>
        <w:rPr>
          <w:rFonts w:ascii="Times New Roman" w:hAnsi="Times New Roman"/>
          <w:color w:val="262626"/>
          <w:sz w:val="22"/>
        </w:rPr>
        <w:t xml:space="preserve"> and the administrative authorities of </w:t>
      </w:r>
      <w:r>
        <w:rPr>
          <w:rFonts w:ascii="Times New Roman" w:hAnsi="Times New Roman"/>
          <w:b/>
          <w:color w:val="262626"/>
          <w:sz w:val="22"/>
        </w:rPr>
        <w:t>KIIT Deemed to be University</w:t>
      </w:r>
      <w:r>
        <w:rPr>
          <w:rFonts w:ascii="Times New Roman" w:hAnsi="Times New Roman"/>
          <w:color w:val="262626"/>
          <w:sz w:val="22"/>
        </w:rPr>
        <w:t>, Bhubaneswar, for providing the state-of-the-art computational infrastructure, academic resources, and scholarly environment necessary to carry out this intensive experimental study. I am equally grateful to the faculty members and technical staff of the school for their helpful inputs and support throughout my undergraduate studies.</w:t>
      </w:r>
    </w:p>
    <w:p>
      <w:pPr>
        <w:spacing w:before="40" w:after="100" w:line="276" w:lineRule="auto"/>
      </w:pPr>
      <w:r>
        <w:rPr>
          <w:rFonts w:ascii="Times New Roman" w:hAnsi="Times New Roman"/>
          <w:color w:val="262626"/>
          <w:sz w:val="22"/>
        </w:rPr>
        <w:t xml:space="preserve">I express sincere gratitude to the </w:t>
      </w:r>
      <w:r>
        <w:rPr>
          <w:rFonts w:ascii="Times New Roman" w:hAnsi="Times New Roman"/>
          <w:b/>
          <w:color w:val="262626"/>
          <w:sz w:val="22"/>
        </w:rPr>
        <w:t>NASA Prognostics Center of Excellence (PCoE)</w:t>
      </w:r>
      <w:r>
        <w:rPr>
          <w:rFonts w:ascii="Times New Roman" w:hAnsi="Times New Roman"/>
          <w:color w:val="262626"/>
          <w:sz w:val="22"/>
        </w:rPr>
        <w:t xml:space="preserve"> and the authors of the Commercial Modular Aero-Propulsion System Simulation (C-MAPSS) benchmark dataset. By providing high-fidelity run-to-failure simulation telemetry to the international research community, they have created an enduring empirical foundation that enables reproducible investigations in predictive maintenance and machine prognostics.</w:t>
      </w:r>
    </w:p>
    <w:p>
      <w:pPr>
        <w:spacing w:before="40" w:after="100" w:line="276" w:lineRule="auto"/>
      </w:pPr>
      <w:r>
        <w:rPr>
          <w:rFonts w:ascii="Times New Roman" w:hAnsi="Times New Roman"/>
          <w:color w:val="262626"/>
          <w:sz w:val="22"/>
        </w:rPr>
        <w:t xml:space="preserve">I also acknowledge the global </w:t>
      </w:r>
      <w:r>
        <w:rPr>
          <w:rFonts w:ascii="Times New Roman" w:hAnsi="Times New Roman"/>
          <w:b/>
          <w:color w:val="262626"/>
          <w:sz w:val="22"/>
        </w:rPr>
        <w:t>open-source scientific computing and machine learning community</w:t>
      </w:r>
      <w:r>
        <w:rPr>
          <w:rFonts w:ascii="Times New Roman" w:hAnsi="Times New Roman"/>
          <w:color w:val="262626"/>
          <w:sz w:val="22"/>
        </w:rPr>
        <w:t>. The tools and frameworks developed and maintained by the contributors to PyTorch, Scikit-learn, SciPy, NumPy, Pandas, Matplotlib, and Seaborn provided the computational bedrock that made this systematic benchmark possible.</w:t>
      </w:r>
    </w:p>
    <w:p>
      <w:pPr>
        <w:spacing w:before="40" w:after="100" w:line="276" w:lineRule="auto"/>
      </w:pPr>
      <w:r>
        <w:rPr>
          <w:rFonts w:ascii="Times New Roman" w:hAnsi="Times New Roman"/>
          <w:color w:val="262626"/>
          <w:sz w:val="22"/>
        </w:rPr>
        <w:t xml:space="preserve">Finally, I owe an immeasurable debt of gratitude to my </w:t>
      </w:r>
      <w:r>
        <w:rPr>
          <w:rFonts w:ascii="Times New Roman" w:hAnsi="Times New Roman"/>
          <w:b/>
          <w:color w:val="262626"/>
          <w:sz w:val="22"/>
        </w:rPr>
        <w:t>parents and family</w:t>
      </w:r>
      <w:r>
        <w:rPr>
          <w:rFonts w:ascii="Times New Roman" w:hAnsi="Times New Roman"/>
          <w:color w:val="262626"/>
          <w:sz w:val="22"/>
        </w:rPr>
        <w:t>, whose unconditional love, sacrifices, patience, and moral support provided the emotional strength required to pursue and complete my undergraduate degree. I also thank my friends and peers at KIIT for their collaborative spirit, late-night technical discussions, and enduring camaraderie throughout this journey.</w:t>
      </w:r>
    </w:p>
    <w:p>
      <w:pPr>
        <w:spacing w:before="40" w:after="100" w:line="276" w:lineRule="auto"/>
      </w:pPr>
      <w:r>
        <w:rPr>
          <w:rFonts w:ascii="Times New Roman" w:hAnsi="Times New Roman"/>
          <w:color w:val="262626"/>
          <w:sz w:val="22"/>
        </w:rPr>
        <w:t>\</w:t>
      </w:r>
    </w:p>
    <w:p>
      <w:pPr>
        <w:spacing w:before="40" w:after="100" w:line="276" w:lineRule="auto"/>
      </w:pPr>
      <w:r>
        <w:rPr>
          <w:rFonts w:ascii="Times New Roman" w:hAnsi="Times New Roman"/>
          <w:b/>
          <w:color w:val="262626"/>
          <w:sz w:val="22"/>
        </w:rPr>
        <w:t>Tusher Tarafder</w:t>
      </w:r>
    </w:p>
    <w:p>
      <w:pPr>
        <w:spacing w:before="40" w:after="100" w:line="276" w:lineRule="auto"/>
      </w:pPr>
      <w:r>
        <w:rPr>
          <w:rFonts w:ascii="Times New Roman" w:hAnsi="Times New Roman"/>
          <w:color w:val="262626"/>
          <w:sz w:val="22"/>
        </w:rPr>
        <w:t>Bhubaneswar, Odisha</w:t>
      </w:r>
    </w:p>
    <w:p>
      <w:pPr>
        <w:spacing w:before="120" w:after="120"/>
      </w:pPr>
      <w:r>
        <w:rPr>
          <w:color w:val="BDC3C7"/>
          <w:sz w:val="16"/>
        </w:rPr>
        <w:t>―――――――――――――――――――――――――――――――――――――――――――――――――――――――</w:t>
      </w:r>
    </w:p>
    <w:p>
      <w:pPr>
        <w:keepNext/>
        <w:spacing w:before="240" w:after="80"/>
      </w:pPr>
      <w:r>
        <w:rPr>
          <w:rFonts w:ascii="Times New Roman" w:hAnsi="Times New Roman"/>
          <w:b/>
          <w:color w:val="2E75B6"/>
          <w:sz w:val="28"/>
        </w:rPr>
        <w:t>Abstract</w:t>
      </w:r>
    </w:p>
    <w:p>
      <w:pPr>
        <w:spacing w:before="40" w:after="100" w:line="276" w:lineRule="auto"/>
      </w:pPr>
      <w:r>
        <w:rPr>
          <w:rFonts w:ascii="Times New Roman" w:hAnsi="Times New Roman"/>
          <w:color w:val="262626"/>
          <w:sz w:val="22"/>
        </w:rPr>
        <w:t>Predictive maintenance (PdM) within the Industrial Internet of Things (IIoT) paradigms relies heavily on telemetry streams to prevent catastrophic equipment downtime. However, real-world industrial environments present severe operational constraints: machines operate predominantly in nominal states, labeled failure instances are scarce or completely unavailable, and operational regimes vary dynamically. While recent literature predominantly emphasizes complex deep learning architectures for anomaly detection, many studies evaluate models under inconsistent data splits, non-standardized thresholding rules, and subtle forms of temporal data leakage.</w:t>
      </w:r>
    </w:p>
    <w:p>
      <w:pPr>
        <w:spacing w:before="40" w:after="100" w:line="276" w:lineRule="auto"/>
      </w:pPr>
      <w:r>
        <w:rPr>
          <w:rFonts w:ascii="Times New Roman" w:hAnsi="Times New Roman"/>
          <w:color w:val="262626"/>
          <w:sz w:val="22"/>
        </w:rPr>
        <w:t>This thesis presents a rigorous, systematic empirical comparison of five unsupervised anomaly detection paradigms across the complete NASA Commercial Modular Aero-Propulsion System Simulation (C-MAPSS) benchmark suite: a simple Statistical Z-score/percentile baseline, Isolation Forest (IF), One-Class Support Vector Machine (OC-SVM), Fully Connected Autoencoder (FC-AE), and Long Short-Term Memory Autoencoder (LSTM-AE). Crucially, all five methods are evaluated under an identical, leak-free experimental framework featuring engine-level stratified data splits (70% train, 15% validation, 15% test), training-only normalization, validation-only threshold calibration across seven distinct strategies, and multi-seed statistical significance verification.</w:t>
      </w:r>
    </w:p>
    <w:p>
      <w:pPr>
        <w:spacing w:before="40" w:after="100" w:line="276" w:lineRule="auto"/>
      </w:pPr>
      <w:r>
        <w:rPr>
          <w:rFonts w:ascii="Times New Roman" w:hAnsi="Times New Roman"/>
          <w:color w:val="262626"/>
          <w:sz w:val="22"/>
        </w:rPr>
        <w:t xml:space="preserve">Our empirical findings uncover three fundamental insights that challenge prevailing conventions in the predictive maintenance literature. First, on the canonical single-operating-condition subset (FD001), the parameter-free Statistical Z-score baseline achieves a peak ROC-AUC of </w:t>
      </w:r>
      <w:r>
        <w:rPr>
          <w:rFonts w:ascii="Times New Roman" w:hAnsi="Times New Roman"/>
          <w:b/>
          <w:color w:val="262626"/>
          <w:sz w:val="22"/>
        </w:rPr>
        <w:t>0.985 ± 0.003</w:t>
      </w:r>
      <w:r>
        <w:rPr>
          <w:rFonts w:ascii="Times New Roman" w:hAnsi="Times New Roman"/>
          <w:color w:val="262626"/>
          <w:sz w:val="22"/>
        </w:rPr>
        <w:t xml:space="preserve"> and an F1-score of </w:t>
      </w:r>
      <w:r>
        <w:rPr>
          <w:rFonts w:ascii="Times New Roman" w:hAnsi="Times New Roman"/>
          <w:b/>
          <w:color w:val="262626"/>
          <w:sz w:val="22"/>
        </w:rPr>
        <w:t>0.602</w:t>
      </w:r>
      <w:r>
        <w:rPr>
          <w:rFonts w:ascii="Times New Roman" w:hAnsi="Times New Roman"/>
          <w:color w:val="262626"/>
          <w:sz w:val="22"/>
        </w:rPr>
        <w:t xml:space="preserve">, statistically matching or outperforming computationally intensive deep architectures (LSTM-AE: ROC-AUC = 0.901, F1 = 0.429; FC-AE: ROC-AUC = 0.912, F1 = 0.564). Paired Wilcoxon signed-rank tests confirm no statistically significant difference between Statistical thresholding and Isolation Forest ($p = 0.86$), while demonstrating that classical models significantly outperform LSTM-AE on static cycle-by-cycle classification metrics ($p &lt; 0.05$). Second, evaluation of early warning capability reveals a profound "metric paradox": while LSTM-AE scores lower on instantaneous point-in-time classification metrics, it delivers the earliest persistent warning, achieving lead times between </w:t>
      </w:r>
      <w:r>
        <w:rPr>
          <w:rFonts w:ascii="Times New Roman" w:hAnsi="Times New Roman"/>
          <w:b/>
          <w:color w:val="262626"/>
          <w:sz w:val="22"/>
        </w:rPr>
        <w:t>50 and 111 cycles</w:t>
      </w:r>
      <w:r>
        <w:rPr>
          <w:rFonts w:ascii="Times New Roman" w:hAnsi="Times New Roman"/>
          <w:color w:val="262626"/>
          <w:sz w:val="22"/>
        </w:rPr>
        <w:t xml:space="preserve"> (mean 74.2 cycles) prior to failure, compared to 38 cycles for the Statistical baseline. The standard binary classification paradigm actively penalizes temporal models for detecting incipient degradation before arbitrary ground-truth failure horizons. Third, cross-condition and cross-fault evaluations expose catastrophic domain fragility: all methods trained under single-condition settings collapse when tested on multi-condition data (FD002 ROC-AUC drops to ~0.501, equivalent to random guessing), whereas FC-AE demonstrates non-linear representation resilience when trained directly on complex regimes (FD004 ROC-AUC = 0.964), and Isolation Forest exhibits superior robustness under unseen fault-mode transfer (FD001 to FD003 ROC-AUC = 0.904). These results underscore that model complexity is not universally justified, early lead times must be decoupled from point-wise accuracy, and domain calibration remains the preeminent barrier to reliable edge deployment in industrial IoT.</w:t>
      </w:r>
    </w:p>
    <w:p>
      <w:pPr>
        <w:spacing w:before="120" w:after="120"/>
      </w:pPr>
      <w:r>
        <w:rPr>
          <w:color w:val="BDC3C7"/>
          <w:sz w:val="16"/>
        </w:rPr>
        <w:t>―――――――――――――――――――――――――――――――――――――――――――――――――――――――</w:t>
      </w:r>
    </w:p>
    <w:p>
      <w:pPr>
        <w:keepNext/>
        <w:spacing w:before="240" w:after="80"/>
      </w:pPr>
      <w:r>
        <w:rPr>
          <w:rFonts w:ascii="Times New Roman" w:hAnsi="Times New Roman"/>
          <w:b/>
          <w:color w:val="2E75B6"/>
          <w:sz w:val="28"/>
        </w:rPr>
        <w:t>Table of Contents</w:t>
      </w:r>
    </w:p>
    <w:p>
      <w:pPr>
        <w:pStyle w:val="ListBullet"/>
        <w:spacing w:before="30" w:after="30" w:line="276" w:lineRule="auto"/>
      </w:pPr>
      <w:r>
        <w:rPr>
          <w:rFonts w:ascii="Times New Roman" w:hAnsi="Times New Roman"/>
          <w:color w:val="262626"/>
          <w:sz w:val="22"/>
        </w:rPr>
        <w:t>[Certificate of Recommendation](#certificate-of-recommendation)</w:t>
      </w:r>
    </w:p>
    <w:p>
      <w:pPr>
        <w:pStyle w:val="ListBullet"/>
        <w:spacing w:before="30" w:after="30" w:line="276" w:lineRule="auto"/>
      </w:pPr>
      <w:r>
        <w:rPr>
          <w:rFonts w:ascii="Times New Roman" w:hAnsi="Times New Roman"/>
          <w:color w:val="262626"/>
          <w:sz w:val="22"/>
        </w:rPr>
        <w:t>[Candidate's Declaration](#candidates-declaration)</w:t>
      </w:r>
    </w:p>
    <w:p>
      <w:pPr>
        <w:pStyle w:val="ListBullet"/>
        <w:spacing w:before="30" w:after="30" w:line="276" w:lineRule="auto"/>
      </w:pPr>
      <w:r>
        <w:rPr>
          <w:rFonts w:ascii="Times New Roman" w:hAnsi="Times New Roman"/>
          <w:color w:val="262626"/>
          <w:sz w:val="22"/>
        </w:rPr>
        <w:t>[Acknowledgements](#acknowledgements)</w:t>
      </w:r>
    </w:p>
    <w:p>
      <w:pPr>
        <w:pStyle w:val="ListBullet"/>
        <w:spacing w:before="30" w:after="30" w:line="276" w:lineRule="auto"/>
      </w:pPr>
      <w:r>
        <w:rPr>
          <w:rFonts w:ascii="Times New Roman" w:hAnsi="Times New Roman"/>
          <w:color w:val="262626"/>
          <w:sz w:val="22"/>
        </w:rPr>
        <w:t>[Abstract](#abstract)</w:t>
      </w:r>
    </w:p>
    <w:p>
      <w:pPr>
        <w:pStyle w:val="ListBullet"/>
        <w:spacing w:before="30" w:after="30" w:line="276" w:lineRule="auto"/>
      </w:pPr>
      <w:r>
        <w:rPr>
          <w:rFonts w:ascii="Times New Roman" w:hAnsi="Times New Roman"/>
          <w:color w:val="262626"/>
          <w:sz w:val="22"/>
        </w:rPr>
        <w:t>[List of Figures](#list-of-figures)</w:t>
      </w:r>
    </w:p>
    <w:p>
      <w:pPr>
        <w:pStyle w:val="ListBullet"/>
        <w:spacing w:before="30" w:after="30" w:line="276" w:lineRule="auto"/>
      </w:pPr>
      <w:r>
        <w:rPr>
          <w:rFonts w:ascii="Times New Roman" w:hAnsi="Times New Roman"/>
          <w:color w:val="262626"/>
          <w:sz w:val="22"/>
        </w:rPr>
        <w:t>[List of Tables](#list-of-tables)</w:t>
      </w:r>
    </w:p>
    <w:p>
      <w:pPr>
        <w:pStyle w:val="ListBullet"/>
        <w:spacing w:before="30" w:after="30" w:line="276" w:lineRule="auto"/>
      </w:pPr>
      <w:r>
        <w:rPr>
          <w:rFonts w:ascii="Times New Roman" w:hAnsi="Times New Roman"/>
          <w:color w:val="262626"/>
          <w:sz w:val="22"/>
        </w:rPr>
        <w:t>[Chapter 1: Introduction](#chapter-1-introduction)</w:t>
      </w:r>
    </w:p>
    <w:p>
      <w:pPr>
        <w:pStyle w:val="ListBullet"/>
        <w:spacing w:before="30" w:after="30" w:line="276" w:lineRule="auto"/>
      </w:pPr>
      <w:r>
        <w:rPr>
          <w:rFonts w:ascii="Times New Roman" w:hAnsi="Times New Roman"/>
          <w:color w:val="262626"/>
          <w:sz w:val="22"/>
        </w:rPr>
        <w:t>[1.1 Background and Industrial Context](#11-background-and-industrial-context)</w:t>
      </w:r>
    </w:p>
    <w:p>
      <w:pPr>
        <w:pStyle w:val="ListBullet"/>
        <w:spacing w:before="30" w:after="30" w:line="276" w:lineRule="auto"/>
      </w:pPr>
      <w:r>
        <w:rPr>
          <w:rFonts w:ascii="Times New Roman" w:hAnsi="Times New Roman"/>
          <w:color w:val="262626"/>
          <w:sz w:val="22"/>
        </w:rPr>
        <w:t>[1.2 Problem Statement](#12-problem-statement)</w:t>
      </w:r>
    </w:p>
    <w:p>
      <w:pPr>
        <w:pStyle w:val="ListBullet"/>
        <w:spacing w:before="30" w:after="30" w:line="276" w:lineRule="auto"/>
      </w:pPr>
      <w:r>
        <w:rPr>
          <w:rFonts w:ascii="Times New Roman" w:hAnsi="Times New Roman"/>
          <w:color w:val="262626"/>
          <w:sz w:val="22"/>
        </w:rPr>
        <w:t>[1.3 Research Motivation](#13-research-motivation)</w:t>
      </w:r>
    </w:p>
    <w:p>
      <w:pPr>
        <w:pStyle w:val="ListBullet"/>
        <w:spacing w:before="30" w:after="30" w:line="276" w:lineRule="auto"/>
      </w:pPr>
      <w:r>
        <w:rPr>
          <w:rFonts w:ascii="Times New Roman" w:hAnsi="Times New Roman"/>
          <w:color w:val="262626"/>
          <w:sz w:val="22"/>
        </w:rPr>
        <w:t>[1.4 Research Objectives](#14-research-objectives)</w:t>
      </w:r>
    </w:p>
    <w:p>
      <w:pPr>
        <w:pStyle w:val="ListBullet"/>
        <w:spacing w:before="30" w:after="30" w:line="276" w:lineRule="auto"/>
      </w:pPr>
      <w:r>
        <w:rPr>
          <w:rFonts w:ascii="Times New Roman" w:hAnsi="Times New Roman"/>
          <w:color w:val="262626"/>
          <w:sz w:val="22"/>
        </w:rPr>
        <w:t>[1.5 Scope and Delimitations](#15-scope-and-delimitations)</w:t>
      </w:r>
    </w:p>
    <w:p>
      <w:pPr>
        <w:pStyle w:val="ListBullet"/>
        <w:spacing w:before="30" w:after="30" w:line="276" w:lineRule="auto"/>
      </w:pPr>
      <w:r>
        <w:rPr>
          <w:rFonts w:ascii="Times New Roman" w:hAnsi="Times New Roman"/>
          <w:color w:val="262626"/>
          <w:sz w:val="22"/>
        </w:rPr>
        <w:t>[1.6 Thesis Organization](#16-thesis-organization)</w:t>
      </w:r>
    </w:p>
    <w:p>
      <w:pPr>
        <w:pStyle w:val="ListBullet"/>
        <w:spacing w:before="30" w:after="30" w:line="276" w:lineRule="auto"/>
      </w:pPr>
      <w:r>
        <w:rPr>
          <w:rFonts w:ascii="Times New Roman" w:hAnsi="Times New Roman"/>
          <w:color w:val="262626"/>
          <w:sz w:val="22"/>
        </w:rPr>
        <w:t>[Chapter 2: Literature Review](#chapter-2-literature-review)</w:t>
      </w:r>
    </w:p>
    <w:p>
      <w:pPr>
        <w:pStyle w:val="ListBullet"/>
        <w:spacing w:before="30" w:after="30" w:line="276" w:lineRule="auto"/>
      </w:pPr>
      <w:r>
        <w:rPr>
          <w:rFonts w:ascii="Times New Roman" w:hAnsi="Times New Roman"/>
          <w:color w:val="262626"/>
          <w:sz w:val="22"/>
        </w:rPr>
        <w:t>[2.1 Predictive Maintenance in Industrial IoT](#21-predictive-maintenance-in-industrial-iot)</w:t>
      </w:r>
    </w:p>
    <w:p>
      <w:pPr>
        <w:pStyle w:val="ListBullet"/>
        <w:spacing w:before="30" w:after="30" w:line="276" w:lineRule="auto"/>
      </w:pPr>
      <w:r>
        <w:rPr>
          <w:rFonts w:ascii="Times New Roman" w:hAnsi="Times New Roman"/>
          <w:color w:val="262626"/>
          <w:sz w:val="22"/>
        </w:rPr>
        <w:t>[2.2 Paradigms of Time-Series Anomaly Detection](#22-paradigms-of-time-series-anomaly-detection)</w:t>
      </w:r>
    </w:p>
    <w:p>
      <w:pPr>
        <w:pStyle w:val="ListBullet"/>
        <w:spacing w:before="30" w:after="30" w:line="276" w:lineRule="auto"/>
      </w:pPr>
      <w:r>
        <w:rPr>
          <w:rFonts w:ascii="Times New Roman" w:hAnsi="Times New Roman"/>
          <w:color w:val="262626"/>
          <w:sz w:val="22"/>
        </w:rPr>
        <w:t>[2.3 Classical Machine Learning Approaches](#23-classical-machine-learning-approaches)</w:t>
      </w:r>
    </w:p>
    <w:p>
      <w:pPr>
        <w:pStyle w:val="ListBullet"/>
        <w:spacing w:before="30" w:after="30" w:line="276" w:lineRule="auto"/>
      </w:pPr>
      <w:r>
        <w:rPr>
          <w:rFonts w:ascii="Times New Roman" w:hAnsi="Times New Roman"/>
          <w:color w:val="262626"/>
          <w:sz w:val="22"/>
        </w:rPr>
        <w:t>[2.4 Deep Learning Architectures for Telemetry](#24-deep-learning-architectures-for-telemetry)</w:t>
      </w:r>
    </w:p>
    <w:p>
      <w:pPr>
        <w:pStyle w:val="ListBullet"/>
        <w:spacing w:before="30" w:after="30" w:line="276" w:lineRule="auto"/>
      </w:pPr>
      <w:r>
        <w:rPr>
          <w:rFonts w:ascii="Times New Roman" w:hAnsi="Times New Roman"/>
          <w:color w:val="262626"/>
          <w:sz w:val="22"/>
        </w:rPr>
        <w:t>[2.5 The NASA C-MAPSS Benchmark in Literature](#25-the-nasa-c-mapss-benchmark-in-literature)</w:t>
      </w:r>
    </w:p>
    <w:p>
      <w:pPr>
        <w:pStyle w:val="ListBullet"/>
        <w:spacing w:before="30" w:after="30" w:line="276" w:lineRule="auto"/>
      </w:pPr>
      <w:r>
        <w:rPr>
          <w:rFonts w:ascii="Times New Roman" w:hAnsi="Times New Roman"/>
          <w:color w:val="262626"/>
          <w:sz w:val="22"/>
        </w:rPr>
        <w:t>[2.6 Literature Synthesis and Comparative Matrix](#26-literature-synthesis-and-comparative-matrix)</w:t>
      </w:r>
    </w:p>
    <w:p>
      <w:pPr>
        <w:pStyle w:val="ListBullet"/>
        <w:spacing w:before="30" w:after="30" w:line="276" w:lineRule="auto"/>
      </w:pPr>
      <w:r>
        <w:rPr>
          <w:rFonts w:ascii="Times New Roman" w:hAnsi="Times New Roman"/>
          <w:color w:val="262626"/>
          <w:sz w:val="22"/>
        </w:rPr>
        <w:t>[Chapter 3: Research Gap and Research Questions](#chapter-3-research-gap-and-research-questions)</w:t>
      </w:r>
    </w:p>
    <w:p>
      <w:pPr>
        <w:pStyle w:val="ListBullet"/>
        <w:spacing w:before="30" w:after="30" w:line="276" w:lineRule="auto"/>
      </w:pPr>
      <w:r>
        <w:rPr>
          <w:rFonts w:ascii="Times New Roman" w:hAnsi="Times New Roman"/>
          <w:color w:val="262626"/>
          <w:sz w:val="22"/>
        </w:rPr>
        <w:t>[3.1 Identification of Methodological Deficits in Current Research](#31-identification-of-methodological-deficits-in-current-research)</w:t>
      </w:r>
    </w:p>
    <w:p>
      <w:pPr>
        <w:pStyle w:val="ListBullet"/>
        <w:spacing w:before="30" w:after="30" w:line="276" w:lineRule="auto"/>
      </w:pPr>
      <w:r>
        <w:rPr>
          <w:rFonts w:ascii="Times New Roman" w:hAnsi="Times New Roman"/>
          <w:color w:val="262626"/>
          <w:sz w:val="22"/>
        </w:rPr>
        <w:t>[3.2 Refinement of the Core Research Gap](#32-refinement-of-the-core-research-gap)</w:t>
      </w:r>
    </w:p>
    <w:p>
      <w:pPr>
        <w:pStyle w:val="ListBullet"/>
        <w:spacing w:before="30" w:after="30" w:line="276" w:lineRule="auto"/>
      </w:pPr>
      <w:r>
        <w:rPr>
          <w:rFonts w:ascii="Times New Roman" w:hAnsi="Times New Roman"/>
          <w:color w:val="262626"/>
          <w:sz w:val="22"/>
        </w:rPr>
        <w:t>[3.3 Formulation of Research Questions (RQ1 – RQ7)](#33-formulation-of-research-questions-rq1--rq7)</w:t>
      </w:r>
    </w:p>
    <w:p>
      <w:pPr>
        <w:pStyle w:val="ListBullet"/>
        <w:spacing w:before="30" w:after="30" w:line="276" w:lineRule="auto"/>
      </w:pPr>
      <w:r>
        <w:rPr>
          <w:rFonts w:ascii="Times New Roman" w:hAnsi="Times New Roman"/>
          <w:color w:val="262626"/>
          <w:sz w:val="22"/>
        </w:rPr>
        <w:t>[3.4 Mapping of Research Questions to Empirical Hypotheses](#34-mapping-of-research-questions-to-empirical-hypotheses)</w:t>
      </w:r>
    </w:p>
    <w:p>
      <w:pPr>
        <w:pStyle w:val="ListBullet"/>
        <w:spacing w:before="30" w:after="30" w:line="276" w:lineRule="auto"/>
      </w:pPr>
      <w:r>
        <w:rPr>
          <w:rFonts w:ascii="Times New Roman" w:hAnsi="Times New Roman"/>
          <w:color w:val="262626"/>
          <w:sz w:val="22"/>
        </w:rPr>
        <w:t>[Chapter 4: Dataset and Exploratory Data Analysis](#chapter-4-dataset-and-exploratory-data-analysis)</w:t>
      </w:r>
    </w:p>
    <w:p>
      <w:pPr>
        <w:pStyle w:val="ListBullet"/>
        <w:spacing w:before="30" w:after="30" w:line="276" w:lineRule="auto"/>
      </w:pPr>
      <w:r>
        <w:rPr>
          <w:rFonts w:ascii="Times New Roman" w:hAnsi="Times New Roman"/>
          <w:color w:val="262626"/>
          <w:sz w:val="22"/>
        </w:rPr>
        <w:t>[4.1 The NASA C-MAPSS Simulation Environment](#41-the-nasa-c-mapss-simulation-environment)</w:t>
      </w:r>
    </w:p>
    <w:p>
      <w:pPr>
        <w:pStyle w:val="ListBullet"/>
        <w:spacing w:before="30" w:after="30" w:line="276" w:lineRule="auto"/>
      </w:pPr>
      <w:r>
        <w:rPr>
          <w:rFonts w:ascii="Times New Roman" w:hAnsi="Times New Roman"/>
          <w:color w:val="262626"/>
          <w:sz w:val="22"/>
        </w:rPr>
        <w:t>[4.2 Structural Characteristics of Subsets FD001 to FD004](#42-structural-characteristics-of-subsets-fd001-to-fd004)</w:t>
      </w:r>
    </w:p>
    <w:p>
      <w:pPr>
        <w:pStyle w:val="ListBullet"/>
        <w:spacing w:before="30" w:after="30" w:line="276" w:lineRule="auto"/>
      </w:pPr>
      <w:r>
        <w:rPr>
          <w:rFonts w:ascii="Times New Roman" w:hAnsi="Times New Roman"/>
          <w:color w:val="262626"/>
          <w:sz w:val="22"/>
        </w:rPr>
        <w:t>[4.3 Sensor Instrumentation and Physical Dynamics](#43-sensor-instrumentation-and-physical-dynamics)</w:t>
      </w:r>
    </w:p>
    <w:p>
      <w:pPr>
        <w:pStyle w:val="ListBullet"/>
        <w:spacing w:before="30" w:after="30" w:line="276" w:lineRule="auto"/>
      </w:pPr>
      <w:r>
        <w:rPr>
          <w:rFonts w:ascii="Times New Roman" w:hAnsi="Times New Roman"/>
          <w:color w:val="262626"/>
          <w:sz w:val="22"/>
        </w:rPr>
        <w:t>[4.4 Exploratory Data Analysis and Feature Invariance](#44-exploratory-data-analysis-and-feature-invariance)</w:t>
      </w:r>
    </w:p>
    <w:p>
      <w:pPr>
        <w:pStyle w:val="ListBullet"/>
        <w:spacing w:before="30" w:after="30" w:line="276" w:lineRule="auto"/>
      </w:pPr>
      <w:r>
        <w:rPr>
          <w:rFonts w:ascii="Times New Roman" w:hAnsi="Times New Roman"/>
          <w:color w:val="262626"/>
          <w:sz w:val="22"/>
        </w:rPr>
        <w:t>[4.5 Multi-Regime Operational Clustering](#45-multi-regime-operational-clustering)</w:t>
      </w:r>
    </w:p>
    <w:p>
      <w:pPr>
        <w:pStyle w:val="ListBullet"/>
        <w:spacing w:before="30" w:after="30" w:line="276" w:lineRule="auto"/>
      </w:pPr>
      <w:r>
        <w:rPr>
          <w:rFonts w:ascii="Times New Roman" w:hAnsi="Times New Roman"/>
          <w:color w:val="262626"/>
          <w:sz w:val="22"/>
        </w:rPr>
        <w:t>[Chapter 5: Methodology](#chapter-5-methodology)</w:t>
      </w:r>
    </w:p>
    <w:p>
      <w:pPr>
        <w:pStyle w:val="ListBullet"/>
        <w:spacing w:before="30" w:after="30" w:line="276" w:lineRule="auto"/>
      </w:pPr>
      <w:r>
        <w:rPr>
          <w:rFonts w:ascii="Times New Roman" w:hAnsi="Times New Roman"/>
          <w:color w:val="262626"/>
          <w:sz w:val="22"/>
        </w:rPr>
        <w:t>[5.1 Strict Leakage Prevention Architecture](#51-strict-leakage-prevention-architecture)</w:t>
      </w:r>
    </w:p>
    <w:p>
      <w:pPr>
        <w:pStyle w:val="ListBullet"/>
        <w:spacing w:before="30" w:after="30" w:line="276" w:lineRule="auto"/>
      </w:pPr>
      <w:r>
        <w:rPr>
          <w:rFonts w:ascii="Times New Roman" w:hAnsi="Times New Roman"/>
          <w:color w:val="262626"/>
          <w:sz w:val="22"/>
        </w:rPr>
        <w:t>[5.2 Formal Operational Health Definition](#52-formal-operational-health-definition)</w:t>
      </w:r>
    </w:p>
    <w:p>
      <w:pPr>
        <w:pStyle w:val="ListBullet"/>
        <w:spacing w:before="30" w:after="30" w:line="276" w:lineRule="auto"/>
      </w:pPr>
      <w:r>
        <w:rPr>
          <w:rFonts w:ascii="Times New Roman" w:hAnsi="Times New Roman"/>
          <w:color w:val="262626"/>
          <w:sz w:val="22"/>
        </w:rPr>
        <w:t>[5.3 Mathematical Formulation of Investigated Models](#53-mathematical-formulation-of-investigated-models)</w:t>
      </w:r>
    </w:p>
    <w:p>
      <w:pPr>
        <w:pStyle w:val="ListBullet"/>
        <w:spacing w:before="30" w:after="30" w:line="276" w:lineRule="auto"/>
      </w:pPr>
      <w:r>
        <w:rPr>
          <w:rFonts w:ascii="Times New Roman" w:hAnsi="Times New Roman"/>
          <w:color w:val="262626"/>
          <w:sz w:val="22"/>
        </w:rPr>
        <w:t>[5.4 Threshold Calibration Strategies](#54-threshold-calibration-strategies)</w:t>
      </w:r>
    </w:p>
    <w:p>
      <w:pPr>
        <w:pStyle w:val="ListBullet"/>
        <w:spacing w:before="30" w:after="30" w:line="276" w:lineRule="auto"/>
      </w:pPr>
      <w:r>
        <w:rPr>
          <w:rFonts w:ascii="Times New Roman" w:hAnsi="Times New Roman"/>
          <w:color w:val="262626"/>
          <w:sz w:val="22"/>
        </w:rPr>
        <w:t>[5.5 Evaluation Metrics: Classification, Early Warning, and Compute](#55-evaluation-metrics-classification-early-warning-and-compute)</w:t>
      </w:r>
    </w:p>
    <w:p>
      <w:pPr>
        <w:pStyle w:val="ListBullet"/>
        <w:spacing w:before="30" w:after="30" w:line="276" w:lineRule="auto"/>
      </w:pPr>
      <w:r>
        <w:rPr>
          <w:rFonts w:ascii="Times New Roman" w:hAnsi="Times New Roman"/>
          <w:color w:val="262626"/>
          <w:sz w:val="22"/>
        </w:rPr>
        <w:t>[Chapter 6: Experimental Setup](#chapter-6-experimental-setup)</w:t>
      </w:r>
    </w:p>
    <w:p>
      <w:pPr>
        <w:pStyle w:val="ListBullet"/>
        <w:spacing w:before="30" w:after="30" w:line="276" w:lineRule="auto"/>
      </w:pPr>
      <w:r>
        <w:rPr>
          <w:rFonts w:ascii="Times New Roman" w:hAnsi="Times New Roman"/>
          <w:color w:val="262626"/>
          <w:sz w:val="22"/>
        </w:rPr>
        <w:t>[6.1 Hardware and Environmental Constraints](#61-hardware-and-environmental-constraints)</w:t>
      </w:r>
    </w:p>
    <w:p>
      <w:pPr>
        <w:pStyle w:val="ListBullet"/>
        <w:spacing w:before="30" w:after="30" w:line="276" w:lineRule="auto"/>
      </w:pPr>
      <w:r>
        <w:rPr>
          <w:rFonts w:ascii="Times New Roman" w:hAnsi="Times New Roman"/>
          <w:color w:val="262626"/>
          <w:sz w:val="22"/>
        </w:rPr>
        <w:t>[6.2 Software Toolchain and Dependency Specifications](#62-software-toolchain-and-dependency-specifications)</w:t>
      </w:r>
    </w:p>
    <w:p>
      <w:pPr>
        <w:pStyle w:val="ListBullet"/>
        <w:spacing w:before="30" w:after="30" w:line="276" w:lineRule="auto"/>
      </w:pPr>
      <w:r>
        <w:rPr>
          <w:rFonts w:ascii="Times New Roman" w:hAnsi="Times New Roman"/>
          <w:color w:val="262626"/>
          <w:sz w:val="22"/>
        </w:rPr>
        <w:t>[6.3 Data Preprocessing and Sequencing Protocols](#63-data-preprocessing-and-sequencing-protocols)</w:t>
      </w:r>
    </w:p>
    <w:p>
      <w:pPr>
        <w:pStyle w:val="ListBullet"/>
        <w:spacing w:before="30" w:after="30" w:line="276" w:lineRule="auto"/>
      </w:pPr>
      <w:r>
        <w:rPr>
          <w:rFonts w:ascii="Times New Roman" w:hAnsi="Times New Roman"/>
          <w:color w:val="262626"/>
          <w:sz w:val="22"/>
        </w:rPr>
        <w:t>[6.4 Hyperparameter Specifications and Training Regimes](#64-hyperparameter-specifications-and-training-regimes)</w:t>
      </w:r>
    </w:p>
    <w:p>
      <w:pPr>
        <w:pStyle w:val="ListBullet"/>
        <w:spacing w:before="30" w:after="30" w:line="276" w:lineRule="auto"/>
      </w:pPr>
      <w:r>
        <w:rPr>
          <w:rFonts w:ascii="Times New Roman" w:hAnsi="Times New Roman"/>
          <w:color w:val="262626"/>
          <w:sz w:val="22"/>
        </w:rPr>
        <w:t>[Chapter 7: Results and Empirical Analysis](#chapter-7-results-and-empirical-analysis)</w:t>
      </w:r>
    </w:p>
    <w:p>
      <w:pPr>
        <w:pStyle w:val="ListBullet"/>
        <w:spacing w:before="30" w:after="30" w:line="276" w:lineRule="auto"/>
      </w:pPr>
      <w:r>
        <w:rPr>
          <w:rFonts w:ascii="Times New Roman" w:hAnsi="Times New Roman"/>
          <w:color w:val="262626"/>
          <w:sz w:val="22"/>
        </w:rPr>
        <w:t>[7.1 Benchmark Performance on FD001](#71-benchmark-performance-on-fd001)</w:t>
      </w:r>
    </w:p>
    <w:p>
      <w:pPr>
        <w:pStyle w:val="ListBullet"/>
        <w:spacing w:before="30" w:after="30" w:line="276" w:lineRule="auto"/>
      </w:pPr>
      <w:r>
        <w:rPr>
          <w:rFonts w:ascii="Times New Roman" w:hAnsi="Times New Roman"/>
          <w:color w:val="262626"/>
          <w:sz w:val="22"/>
        </w:rPr>
        <w:t>[7.2 Early Warning Dynamics and Lead Time Distributions](#72-early-warning-dynamics-and-lead-time-distributions)</w:t>
      </w:r>
    </w:p>
    <w:p>
      <w:pPr>
        <w:pStyle w:val="ListBullet"/>
        <w:spacing w:before="30" w:after="30" w:line="276" w:lineRule="auto"/>
      </w:pPr>
      <w:r>
        <w:rPr>
          <w:rFonts w:ascii="Times New Roman" w:hAnsi="Times New Roman"/>
          <w:color w:val="262626"/>
          <w:sz w:val="22"/>
        </w:rPr>
        <w:t>[7.3 Threshold Sensitivity Across Evaluation Regimes](#73-threshold-sensitivity-across-evaluation-regimes)</w:t>
      </w:r>
    </w:p>
    <w:p>
      <w:pPr>
        <w:pStyle w:val="ListBullet"/>
        <w:spacing w:before="30" w:after="30" w:line="276" w:lineRule="auto"/>
      </w:pPr>
      <w:r>
        <w:rPr>
          <w:rFonts w:ascii="Times New Roman" w:hAnsi="Times New Roman"/>
          <w:color w:val="262626"/>
          <w:sz w:val="22"/>
        </w:rPr>
        <w:t>[7.4 Impact of Multi-Regime Operating Conditions](#74-impact-of-multi-regime-operating-conditions)</w:t>
      </w:r>
    </w:p>
    <w:p>
      <w:pPr>
        <w:pStyle w:val="ListBullet"/>
        <w:spacing w:before="30" w:after="30" w:line="276" w:lineRule="auto"/>
      </w:pPr>
      <w:r>
        <w:rPr>
          <w:rFonts w:ascii="Times New Roman" w:hAnsi="Times New Roman"/>
          <w:color w:val="262626"/>
          <w:sz w:val="22"/>
        </w:rPr>
        <w:t>[7.5 Cross-Condition and Cross-Fault Transferability](#75-cross-condition-and-cross-fault-transferability)</w:t>
      </w:r>
    </w:p>
    <w:p>
      <w:pPr>
        <w:pStyle w:val="ListBullet"/>
        <w:spacing w:before="30" w:after="30" w:line="276" w:lineRule="auto"/>
      </w:pPr>
      <w:r>
        <w:rPr>
          <w:rFonts w:ascii="Times New Roman" w:hAnsi="Times New Roman"/>
          <w:color w:val="262626"/>
          <w:sz w:val="22"/>
        </w:rPr>
        <w:t>[Chapter 8: Ablation Studies and Statistical Significance](#chapter-8-ablation-studies-and-statistical-significance)</w:t>
      </w:r>
    </w:p>
    <w:p>
      <w:pPr>
        <w:pStyle w:val="ListBullet"/>
        <w:spacing w:before="30" w:after="30" w:line="276" w:lineRule="auto"/>
      </w:pPr>
      <w:r>
        <w:rPr>
          <w:rFonts w:ascii="Times New Roman" w:hAnsi="Times New Roman"/>
          <w:color w:val="262626"/>
          <w:sz w:val="22"/>
        </w:rPr>
        <w:t>[8.1 Multi-Seed Stability and Variance Analysis](#81-multi-seed-stability-and-variance-analysis)</w:t>
      </w:r>
    </w:p>
    <w:p>
      <w:pPr>
        <w:pStyle w:val="ListBullet"/>
        <w:spacing w:before="30" w:after="30" w:line="276" w:lineRule="auto"/>
      </w:pPr>
      <w:r>
        <w:rPr>
          <w:rFonts w:ascii="Times New Roman" w:hAnsi="Times New Roman"/>
          <w:color w:val="262626"/>
          <w:sz w:val="22"/>
        </w:rPr>
        <w:t>[8.2 Hypothesis Testing and Wilcoxon Signed-Rank Verification](#82-hypothesis-testing-and-wilcoxon-signed-rank-verification)</w:t>
      </w:r>
    </w:p>
    <w:p>
      <w:pPr>
        <w:pStyle w:val="ListBullet"/>
        <w:spacing w:before="30" w:after="30" w:line="276" w:lineRule="auto"/>
      </w:pPr>
      <w:r>
        <w:rPr>
          <w:rFonts w:ascii="Times New Roman" w:hAnsi="Times New Roman"/>
          <w:color w:val="262626"/>
          <w:sz w:val="22"/>
        </w:rPr>
        <w:t>[8.3 Temporal Sequence Length Ablation in Recurrent Autoencoders](#83-temporal-sequence-length-ablation-in-recurrent-autoencoders)</w:t>
      </w:r>
    </w:p>
    <w:p>
      <w:pPr>
        <w:pStyle w:val="ListBullet"/>
        <w:spacing w:before="30" w:after="30" w:line="276" w:lineRule="auto"/>
      </w:pPr>
      <w:r>
        <w:rPr>
          <w:rFonts w:ascii="Times New Roman" w:hAnsi="Times New Roman"/>
          <w:color w:val="262626"/>
          <w:sz w:val="22"/>
        </w:rPr>
        <w:t>[8.4 Bottleneck Compression and Persistence Filtering](#84-bottleneck-compression-and-persistence-filtering)</w:t>
      </w:r>
    </w:p>
    <w:p>
      <w:pPr>
        <w:pStyle w:val="ListBullet"/>
        <w:spacing w:before="30" w:after="30" w:line="276" w:lineRule="auto"/>
      </w:pPr>
      <w:r>
        <w:rPr>
          <w:rFonts w:ascii="Times New Roman" w:hAnsi="Times New Roman"/>
          <w:color w:val="262626"/>
          <w:sz w:val="22"/>
        </w:rPr>
        <w:t>[Chapter 9: Discussion](#chapter-9-discussion)</w:t>
      </w:r>
    </w:p>
    <w:p>
      <w:pPr>
        <w:pStyle w:val="ListBullet"/>
        <w:spacing w:before="30" w:after="30" w:line="276" w:lineRule="auto"/>
      </w:pPr>
      <w:r>
        <w:rPr>
          <w:rFonts w:ascii="Times New Roman" w:hAnsi="Times New Roman"/>
          <w:color w:val="262626"/>
          <w:sz w:val="22"/>
        </w:rPr>
        <w:t>[9.1 When Simple Classical Baselines Suffice](#91-when-simple-classical-baselines-suffice)</w:t>
      </w:r>
    </w:p>
    <w:p>
      <w:pPr>
        <w:pStyle w:val="ListBullet"/>
        <w:spacing w:before="30" w:after="30" w:line="276" w:lineRule="auto"/>
      </w:pPr>
      <w:r>
        <w:rPr>
          <w:rFonts w:ascii="Times New Roman" w:hAnsi="Times New Roman"/>
          <w:color w:val="262626"/>
          <w:sz w:val="22"/>
        </w:rPr>
        <w:t>[9.2 Complexity Payoff and Return on Compute](#92-complexity-payoff-and-return-on-compute)</w:t>
      </w:r>
    </w:p>
    <w:p>
      <w:pPr>
        <w:pStyle w:val="ListBullet"/>
        <w:spacing w:before="30" w:after="30" w:line="276" w:lineRule="auto"/>
      </w:pPr>
      <w:r>
        <w:rPr>
          <w:rFonts w:ascii="Times New Roman" w:hAnsi="Times New Roman"/>
          <w:color w:val="262626"/>
          <w:sz w:val="22"/>
        </w:rPr>
        <w:t>[9.3 The Metric Paradox in Degradation Telemetry](#93-the-metric-paradox-in-degradation-telemetry)</w:t>
      </w:r>
    </w:p>
    <w:p>
      <w:pPr>
        <w:pStyle w:val="ListBullet"/>
        <w:spacing w:before="30" w:after="30" w:line="276" w:lineRule="auto"/>
      </w:pPr>
      <w:r>
        <w:rPr>
          <w:rFonts w:ascii="Times New Roman" w:hAnsi="Times New Roman"/>
          <w:color w:val="262626"/>
          <w:sz w:val="22"/>
        </w:rPr>
        <w:t>[9.4 Practical Deployment Risks in Industrial IoT Gateways](#94-practical-deployment-risks-in-industrial-iot-gateways)</w:t>
      </w:r>
    </w:p>
    <w:p>
      <w:pPr>
        <w:pStyle w:val="ListBullet"/>
        <w:spacing w:before="30" w:after="30" w:line="276" w:lineRule="auto"/>
      </w:pPr>
      <w:r>
        <w:rPr>
          <w:rFonts w:ascii="Times New Roman" w:hAnsi="Times New Roman"/>
          <w:color w:val="262626"/>
          <w:sz w:val="22"/>
        </w:rPr>
        <w:t>[9.5 Threats to Validity and Study Limitations](#95-threats-to-validity-and-study-limitations)</w:t>
      </w:r>
    </w:p>
    <w:p>
      <w:pPr>
        <w:pStyle w:val="ListBullet"/>
        <w:spacing w:before="30" w:after="30" w:line="276" w:lineRule="auto"/>
      </w:pPr>
      <w:r>
        <w:rPr>
          <w:rFonts w:ascii="Times New Roman" w:hAnsi="Times New Roman"/>
          <w:color w:val="262626"/>
          <w:sz w:val="22"/>
        </w:rPr>
        <w:t>[Chapter 10: Conclusions and Future Work](#chapter-10-conclusions-and-future-work)</w:t>
      </w:r>
    </w:p>
    <w:p>
      <w:pPr>
        <w:pStyle w:val="ListBullet"/>
        <w:spacing w:before="30" w:after="30" w:line="276" w:lineRule="auto"/>
      </w:pPr>
      <w:r>
        <w:rPr>
          <w:rFonts w:ascii="Times New Roman" w:hAnsi="Times New Roman"/>
          <w:color w:val="262626"/>
          <w:sz w:val="22"/>
        </w:rPr>
        <w:t>[10.1 Key Conclusions](#101-key-conclusions)</w:t>
      </w:r>
    </w:p>
    <w:p>
      <w:pPr>
        <w:pStyle w:val="ListBullet"/>
        <w:spacing w:before="30" w:after="30" w:line="276" w:lineRule="auto"/>
      </w:pPr>
      <w:r>
        <w:rPr>
          <w:rFonts w:ascii="Times New Roman" w:hAnsi="Times New Roman"/>
          <w:color w:val="262626"/>
          <w:sz w:val="22"/>
        </w:rPr>
        <w:t>[10.2 Future Research Directions](#102-future-research-directions)</w:t>
      </w:r>
    </w:p>
    <w:p>
      <w:pPr>
        <w:pStyle w:val="ListBullet"/>
        <w:spacing w:before="30" w:after="30" w:line="276" w:lineRule="auto"/>
      </w:pPr>
      <w:r>
        <w:rPr>
          <w:rFonts w:ascii="Times New Roman" w:hAnsi="Times New Roman"/>
          <w:color w:val="262626"/>
          <w:sz w:val="22"/>
        </w:rPr>
        <w:t>[References](#references)</w:t>
      </w:r>
    </w:p>
    <w:p>
      <w:pPr>
        <w:pStyle w:val="ListBullet"/>
        <w:spacing w:before="30" w:after="30" w:line="276" w:lineRule="auto"/>
      </w:pPr>
      <w:r>
        <w:rPr>
          <w:rFonts w:ascii="Times New Roman" w:hAnsi="Times New Roman"/>
          <w:color w:val="262626"/>
          <w:sz w:val="22"/>
        </w:rPr>
        <w:t>[Appendix A: Software Architecture and Repository Hierarchy](#appendix-a-software-architecture-and-repository-hierarchy)</w:t>
      </w:r>
    </w:p>
    <w:p>
      <w:pPr>
        <w:pStyle w:val="ListBullet"/>
        <w:spacing w:before="30" w:after="30" w:line="276" w:lineRule="auto"/>
      </w:pPr>
      <w:r>
        <w:rPr>
          <w:rFonts w:ascii="Times New Roman" w:hAnsi="Times New Roman"/>
          <w:color w:val="262626"/>
          <w:sz w:val="22"/>
        </w:rPr>
        <w:t>[Appendix B: Reproducibility Protocols and Execution Scripts](#appendix-b-reproducibility-protocols-and-execution-scripts)</w:t>
      </w:r>
    </w:p>
    <w:p>
      <w:pPr>
        <w:spacing w:before="120" w:after="120"/>
      </w:pPr>
      <w:r>
        <w:rPr>
          <w:color w:val="BDC3C7"/>
          <w:sz w:val="16"/>
        </w:rPr>
        <w:t>―――――――――――――――――――――――――――――――――――――――――――――――――――――――</w:t>
      </w:r>
    </w:p>
    <w:p>
      <w:pPr>
        <w:keepNext/>
        <w:spacing w:before="320" w:after="120"/>
      </w:pPr>
      <w:r>
        <w:rPr>
          <w:rFonts w:ascii="Times New Roman" w:hAnsi="Times New Roman"/>
          <w:b/>
          <w:color w:val="1F4E79"/>
          <w:sz w:val="36"/>
        </w:rPr>
        <w:t>Chapter 1: Introduction</w:t>
      </w:r>
    </w:p>
    <w:p>
      <w:pPr>
        <w:keepNext/>
        <w:spacing w:before="240" w:after="80"/>
      </w:pPr>
      <w:r>
        <w:rPr>
          <w:rFonts w:ascii="Times New Roman" w:hAnsi="Times New Roman"/>
          <w:b/>
          <w:color w:val="2E75B6"/>
          <w:sz w:val="28"/>
        </w:rPr>
        <w:t>1.1 Background and Industrial Context</w:t>
      </w:r>
    </w:p>
    <w:p>
      <w:pPr>
        <w:spacing w:before="40" w:after="100" w:line="276" w:lineRule="auto"/>
      </w:pPr>
      <w:r>
        <w:rPr>
          <w:rFonts w:ascii="Times New Roman" w:hAnsi="Times New Roman"/>
          <w:color w:val="262626"/>
          <w:sz w:val="22"/>
        </w:rPr>
        <w:t>The Fourth Industrial Revolution, colloquially designated Industry 4.0, has catalyzed a profound paradigm shift across modern manufacturing, aerospace, energy production, and heavy industrial domains. Central to this transformation is the Industrial Internet of Things (IIoT)—the pervasive interconnection of instrumentation sensors, edge acquisition gateways, distributed computing nodes, and cloud-based analytics platforms. Through high-frequency telemetry, industrial machinery continuously emits multivariate operational signals including thermal gradients, vibration spectra, pneumatic pressures, rotational velocities, and acoustic emissions.</w:t>
      </w:r>
    </w:p>
    <w:p>
      <w:pPr>
        <w:spacing w:before="40" w:after="100" w:line="276" w:lineRule="auto"/>
      </w:pPr>
      <w:r>
        <w:rPr>
          <w:rFonts w:ascii="Times New Roman" w:hAnsi="Times New Roman"/>
          <w:color w:val="262626"/>
          <w:sz w:val="22"/>
        </w:rPr>
        <w:t>Historically, industrial maintenance strategies operated predominantly along two traditional paradigms: reactive maintenance and scheduled preventive maintenance. Reactive maintenance, commonly termed "run-to-failure," permits machinery to operate without intervention until catastrophic functional cessation occurs. While conceptually simple, reactive maintenance introduces immense economic liabilities through unanticipated production stoppage, secondary mechanical destruction, expensive emergency logistics, and grave personnel safety hazards. Conversely, scheduled preventive maintenance enforces periodic servicing, component overhaul, or premature retirement based on predetermined time elapsed or operational cycles accrued. Although preventive maintenance mitigates unexpected catastrophic failures, it is inherently suboptimal: critical components possessing significant remaining operational utility are retired prematurely, maintenance budgets are squandered on unneeded overhauls, and the invasive act of disassembly frequently induces infant-mortality mechanical defects.</w:t>
      </w:r>
    </w:p>
    <w:p>
      <w:pPr>
        <w:spacing w:before="40" w:after="100" w:line="276" w:lineRule="auto"/>
      </w:pPr>
      <w:r>
        <w:rPr>
          <w:rFonts w:ascii="Times New Roman" w:hAnsi="Times New Roman"/>
          <w:color w:val="262626"/>
          <w:sz w:val="22"/>
        </w:rPr>
        <w:t>Predictive Maintenance (PdM) resolves this fundamental dilemma by utilizing real-time sensor streams and advanced data-driven modeling to continuously assess equipment health, detect incipient physical degradation, and trigger targeted interventions precisely when required. By transitioning industrial asset management from rigid temporal schedules to dynamic, condition-based interventions, predictive maintenance delivers substantial economic returns, slashing unplanned downtime by up to 50%, curtailing total maintenance expenditure by 10% to 40%, and significantly extending asset longevity.</w:t>
      </w:r>
    </w:p>
    <w:p>
      <w:pPr>
        <w:spacing w:before="40" w:after="100" w:line="276" w:lineRule="auto"/>
      </w:pPr>
      <w:r>
        <w:rPr>
          <w:rFonts w:ascii="Times New Roman" w:hAnsi="Times New Roman"/>
          <w:color w:val="262626"/>
          <w:sz w:val="22"/>
        </w:rPr>
        <w:t>Within the predictive maintenance hierarchy, tasks typically bifurcate into Remaining Useful Life (RUL) prognostic estimation and Anomaly Detection (AD). While RUL estimation attempts to predict the exact number of remaining operational cycles until functional failure, it fundamentally requires extensive, fully labeled, historical run-to-failure trajectories recorded under stationary operational profiles. In contrast, anomaly detection serves as the primary operational safeguard: its objective is to identify subtle, early-stage deviations from nominal operational physics without requiring prior knowledge of specific failure mechanisms. In modern industrial operations, anomaly detection functions as the indispensable early-warning sentinel that prompts deeper diagnostics and prognostic assessment.</w:t>
      </w:r>
    </w:p>
    <w:p>
      <w:pPr>
        <w:keepNext/>
        <w:spacing w:before="240" w:after="80"/>
      </w:pPr>
      <w:r>
        <w:rPr>
          <w:rFonts w:ascii="Times New Roman" w:hAnsi="Times New Roman"/>
          <w:b/>
          <w:color w:val="2E75B6"/>
          <w:sz w:val="28"/>
        </w:rPr>
        <w:t>1.2 Problem Statement</w:t>
      </w:r>
    </w:p>
    <w:p>
      <w:pPr>
        <w:spacing w:before="40" w:after="100" w:line="276" w:lineRule="auto"/>
      </w:pPr>
      <w:r>
        <w:rPr>
          <w:rFonts w:ascii="Times New Roman" w:hAnsi="Times New Roman"/>
          <w:color w:val="262626"/>
          <w:sz w:val="22"/>
        </w:rPr>
        <w:t>Despite decades of academic investigation, the operational deployment of anomaly detection systems within real-world IIoT infrastructures remains fraught with severe practical challenges:</w:t>
      </w:r>
    </w:p>
    <w:p>
      <w:pPr>
        <w:pStyle w:val="ListNumber"/>
        <w:spacing w:before="30" w:after="30" w:line="276" w:lineRule="auto"/>
      </w:pPr>
      <w:r>
        <w:rPr>
          <w:rFonts w:ascii="Times New Roman" w:hAnsi="Times New Roman"/>
          <w:b/>
          <w:color w:val="262626"/>
          <w:sz w:val="22"/>
        </w:rPr>
        <w:t>Extreme Class Imbalance and Scarcity of Failure Labels:</w:t>
      </w:r>
      <w:r>
        <w:rPr>
          <w:rFonts w:ascii="Times New Roman" w:hAnsi="Times New Roman"/>
          <w:color w:val="262626"/>
          <w:sz w:val="22"/>
        </w:rPr>
        <w:t xml:space="preserve"> In well-maintained industrial environments, physical machines are purposefully engineered to operate reliably for months or years. Normal operating records constitute greater than 99% of gathered telemetry. Catastrophic failures occur exceptionally rarely, and when they do, immediate corrective actions or safety overrides truncate the sensor logs. Consequently, supervised machine learning paradigms that depend on rich corpuses of labeled anomalous samples are fundamentally non-viable for real-world predictive maintenance. Anomaly detection must operate in an unsupervised or semi-supervised (one-class) setting.</w:t>
      </w:r>
    </w:p>
    <w:p>
      <w:pPr>
        <w:pStyle w:val="ListNumber"/>
        <w:spacing w:before="30" w:after="30" w:line="276" w:lineRule="auto"/>
      </w:pPr>
      <w:r>
        <w:rPr>
          <w:rFonts w:ascii="Times New Roman" w:hAnsi="Times New Roman"/>
          <w:b/>
          <w:color w:val="262626"/>
          <w:sz w:val="22"/>
        </w:rPr>
        <w:t>Multivariate Sensor Interdependencies and Non-Stationary Dynamics:</w:t>
      </w:r>
      <w:r>
        <w:rPr>
          <w:rFonts w:ascii="Times New Roman" w:hAnsi="Times New Roman"/>
          <w:color w:val="262626"/>
          <w:sz w:val="22"/>
        </w:rPr>
        <w:t xml:space="preserve"> Modern cyber-physical systems do not degrade along isolated scalar channels. Incipient degradation manifests as subtle, non-linear cross-channel correlations across temperatures, pressures, and flow velocities. Furthermore, industrial equipment frequently operates across diverse operational envelopes—switching between distinct throttle settings, external altitudes, payload weights, and environmental ambient conditions. Disentangling true mechanical degradation from normal operational mode shifts represents an immense modeling obstacle.</w:t>
      </w:r>
    </w:p>
    <w:p>
      <w:pPr>
        <w:pStyle w:val="ListNumber"/>
        <w:spacing w:before="30" w:after="30" w:line="276" w:lineRule="auto"/>
      </w:pPr>
      <w:r>
        <w:rPr>
          <w:rFonts w:ascii="Times New Roman" w:hAnsi="Times New Roman"/>
          <w:b/>
          <w:color w:val="262626"/>
          <w:sz w:val="22"/>
        </w:rPr>
        <w:t>The False Alarm Burden vs. Catastrophic Missed Detection Trade-off:</w:t>
      </w:r>
      <w:r>
        <w:rPr>
          <w:rFonts w:ascii="Times New Roman" w:hAnsi="Times New Roman"/>
          <w:color w:val="262626"/>
          <w:sz w:val="22"/>
        </w:rPr>
        <w:t xml:space="preserve"> In mission-critical environments such as aviation gas turbines or chemical refining reactors, a false negative (failing to alert operators to incipient bearing seizure or blade spallation) results in catastrophic asset loss and potential loss of life. Conversely, excessive false positives induce "alarm fatigue," causing human operators to silence or disregard automated warnings, whilst incurring substantial economic penalties from needless emergency shutdowns and unneeded physical inspections.</w:t>
      </w:r>
    </w:p>
    <w:p>
      <w:pPr>
        <w:pStyle w:val="ListNumber"/>
        <w:spacing w:before="30" w:after="30" w:line="276" w:lineRule="auto"/>
      </w:pPr>
      <w:r>
        <w:rPr>
          <w:rFonts w:ascii="Times New Roman" w:hAnsi="Times New Roman"/>
          <w:b/>
          <w:color w:val="262626"/>
          <w:sz w:val="22"/>
        </w:rPr>
        <w:t>Methodological Deficits and Subtle Data Leakage in Academic Literature:</w:t>
      </w:r>
      <w:r>
        <w:rPr>
          <w:rFonts w:ascii="Times New Roman" w:hAnsi="Times New Roman"/>
          <w:color w:val="262626"/>
          <w:sz w:val="22"/>
        </w:rPr>
        <w:t xml:space="preserve"> A pervasive issue in applied machine learning research is the phenomenon of methodological fragmentation. Numerous published frameworks report exceptional classification metrics (e.g., F1-scores approaching 0.99) on standard benchmarks like the NASA C-MAPSS dataset. However, a rigorous audit reveals widespread, subtle forms of data leakage: normalizing sensor channels across entire datasets including test engines, partitioning datasets randomly at the timestep level rather than at the individual engine level, selecting anomaly decision thresholds post-hoc directly on the test set, or optimizing hyperparameters on test splits. When evaluated under strict, leak-free industrial deployment conditions, these published models frequently collapse.</w:t>
      </w:r>
    </w:p>
    <w:p>
      <w:pPr>
        <w:keepNext/>
        <w:spacing w:before="240" w:after="80"/>
      </w:pPr>
      <w:r>
        <w:rPr>
          <w:rFonts w:ascii="Times New Roman" w:hAnsi="Times New Roman"/>
          <w:b/>
          <w:color w:val="2E75B6"/>
          <w:sz w:val="28"/>
        </w:rPr>
        <w:t>1.3 Research Motivation</w:t>
      </w:r>
    </w:p>
    <w:p>
      <w:pPr>
        <w:spacing w:before="40" w:after="100" w:line="276" w:lineRule="auto"/>
      </w:pPr>
      <w:r>
        <w:rPr>
          <w:rFonts w:ascii="Times New Roman" w:hAnsi="Times New Roman"/>
          <w:color w:val="262626"/>
          <w:sz w:val="22"/>
        </w:rPr>
        <w:t>Over the past decade, the rapid ascendancy of deep learning has profoundly influenced the time-series anomaly detection literature. Research teams have enthusiastically introduced increasingly complex architectures—multivariate feedforward autoencoders, deep recurrent networks, bidirectional Long Short-Term Memory Autoencoders (LSTM-AE), Gated Recurrent Units (GRU), Temporal Convolutional Networks (TCN), and Transformer-based self-attention models. The implicit premise underlying this extensive body of literature is that higher architectural complexity inherently translates into superior anomaly detection fidelity in industrial telemetry.</w:t>
      </w:r>
    </w:p>
    <w:p>
      <w:pPr>
        <w:spacing w:before="40" w:after="100" w:line="276" w:lineRule="auto"/>
      </w:pPr>
      <w:r>
        <w:rPr>
          <w:rFonts w:ascii="Times New Roman" w:hAnsi="Times New Roman"/>
          <w:color w:val="262626"/>
          <w:sz w:val="22"/>
        </w:rPr>
        <w:t>However, an emerging counter-perspective within empirical machine learning cautions against architectural complexity for its own sake. In many real-world applied domains, classical, non-parametric, or simple statistical models—such as multivariate Z-score tracking, Principal Component Analysis, and Isolation Forests—demonstrate exceptional performance, often matching or surpassing over-parameterized deep neural networks while demanding orders of magnitude less computational compute, zero GPU acceleration, and offering complete mathematical interpretability.</w:t>
      </w:r>
    </w:p>
    <w:p>
      <w:pPr>
        <w:spacing w:before="40" w:after="100" w:line="276" w:lineRule="auto"/>
      </w:pPr>
      <w:r>
        <w:rPr>
          <w:rFonts w:ascii="Times New Roman" w:hAnsi="Times New Roman"/>
          <w:color w:val="262626"/>
          <w:sz w:val="22"/>
        </w:rPr>
        <w:t>In industrial IoT, computational efficiency is not merely an aesthetic preference; it is a hard physical constraint. Industrial facilities often deploy anomaly detection algorithms directly onto low-power edge gateways, Programmable Logic Controllers (PLCs), or embedded microcontroller units situated adjacent to the machinery. Such edge devices operate with constrained microprocessors (e.g., quad-core mobile CPUs), limited RAM, and zero access to high-power graphics processing units (GPUs). If a classical Isolation Forest or a parameter-free statistical baseline can achieve anomaly detection accuracy comparable to an LSTM Autoencoder, deploying the deep architecture introduces unnecessary computational latency, massive memory overhead, non-deterministic training runs, and opaque black-box failure modes.</w:t>
      </w:r>
    </w:p>
    <w:p>
      <w:pPr>
        <w:spacing w:before="40" w:after="100" w:line="276" w:lineRule="auto"/>
      </w:pPr>
      <w:r>
        <w:rPr>
          <w:rFonts w:ascii="Times New Roman" w:hAnsi="Times New Roman"/>
          <w:color w:val="262626"/>
          <w:sz w:val="22"/>
        </w:rPr>
        <w:t>Therefore, an urgent need exists for a rigorous, systematic, and honest empirical evaluation that directly compares classical machine learning baselines against deep learning reconstruction architectures under strictly identical, leakage-free conditions on a universally recognized industrial benchmark.</w:t>
      </w:r>
    </w:p>
    <w:p>
      <w:pPr>
        <w:keepNext/>
        <w:spacing w:before="240" w:after="80"/>
      </w:pPr>
      <w:r>
        <w:rPr>
          <w:rFonts w:ascii="Times New Roman" w:hAnsi="Times New Roman"/>
          <w:b/>
          <w:color w:val="2E75B6"/>
          <w:sz w:val="28"/>
        </w:rPr>
        <w:t>1.4 Research Objectives</w:t>
      </w:r>
    </w:p>
    <w:p>
      <w:pPr>
        <w:spacing w:before="40" w:after="100" w:line="276" w:lineRule="auto"/>
      </w:pPr>
      <w:r>
        <w:rPr>
          <w:rFonts w:ascii="Times New Roman" w:hAnsi="Times New Roman"/>
          <w:color w:val="262626"/>
          <w:sz w:val="22"/>
        </w:rPr>
        <w:t>The primary objective of this thesis is to conduct an exhaustive, methodologically transparent empirical benchmark comparing classical and deep learning unsupervised anomaly detection algorithms on multivariate industrial sensor telemetry. To achieve this overarching goal, five specific research objectives are formulated:</w:t>
      </w:r>
    </w:p>
    <w:p>
      <w:pPr>
        <w:pStyle w:val="ListNumber"/>
        <w:spacing w:before="30" w:after="30" w:line="276" w:lineRule="auto"/>
      </w:pPr>
      <w:r>
        <w:rPr>
          <w:rFonts w:ascii="Times New Roman" w:hAnsi="Times New Roman"/>
          <w:b/>
          <w:color w:val="262626"/>
          <w:sz w:val="22"/>
        </w:rPr>
        <w:t>Develop a Leakage-Free, Unified Benchmarking Pipeline:</w:t>
      </w:r>
      <w:r>
        <w:rPr>
          <w:rFonts w:ascii="Times New Roman" w:hAnsi="Times New Roman"/>
          <w:color w:val="262626"/>
          <w:sz w:val="22"/>
        </w:rPr>
        <w:t xml:space="preserve"> Construct an end-to-end, reproducible experimental software architecture that strictly enforces engine-level data partitioning, fits all normalization scalers exclusively on healthy training intervals, and determines anomaly detection thresholds solely on held-out validation partitions without test-label snooping.</w:t>
      </w:r>
    </w:p>
    <w:p>
      <w:pPr>
        <w:pStyle w:val="ListNumber"/>
        <w:spacing w:before="30" w:after="30" w:line="276" w:lineRule="auto"/>
      </w:pPr>
      <w:r>
        <w:rPr>
          <w:rFonts w:ascii="Times New Roman" w:hAnsi="Times New Roman"/>
          <w:b/>
          <w:color w:val="262626"/>
          <w:sz w:val="22"/>
        </w:rPr>
        <w:t>Empirically Benchmark Five Diverse Anomaly Detection Paradigms:</w:t>
      </w:r>
      <w:r>
        <w:rPr>
          <w:rFonts w:ascii="Times New Roman" w:hAnsi="Times New Roman"/>
          <w:color w:val="262626"/>
          <w:sz w:val="22"/>
        </w:rPr>
        <w:t xml:space="preserve"> Implement, tune, and evaluate five representative methods spanning classical statistical bounds, tree ensembles, kernel methods, feedforward reconstruction, and temporal recurrent sequence modeling:</w:t>
      </w:r>
    </w:p>
    <w:p>
      <w:pPr>
        <w:pStyle w:val="ListBullet"/>
        <w:spacing w:before="30" w:after="30" w:line="276" w:lineRule="auto"/>
      </w:pPr>
      <w:r>
        <w:rPr>
          <w:rFonts w:ascii="Times New Roman" w:hAnsi="Times New Roman"/>
          <w:color w:val="262626"/>
          <w:sz w:val="22"/>
        </w:rPr>
        <w:t>Parametric Multivariate Statistical Z-Score Baseline</w:t>
      </w:r>
    </w:p>
    <w:p>
      <w:pPr>
        <w:pStyle w:val="ListBullet"/>
        <w:spacing w:before="30" w:after="30" w:line="276" w:lineRule="auto"/>
      </w:pPr>
      <w:r>
        <w:rPr>
          <w:rFonts w:ascii="Times New Roman" w:hAnsi="Times New Roman"/>
          <w:color w:val="262626"/>
          <w:sz w:val="22"/>
        </w:rPr>
        <w:t>Isolation Forest (IF)</w:t>
      </w:r>
    </w:p>
    <w:p>
      <w:pPr>
        <w:pStyle w:val="ListBullet"/>
        <w:spacing w:before="30" w:after="30" w:line="276" w:lineRule="auto"/>
      </w:pPr>
      <w:r>
        <w:rPr>
          <w:rFonts w:ascii="Times New Roman" w:hAnsi="Times New Roman"/>
          <w:color w:val="262626"/>
          <w:sz w:val="22"/>
        </w:rPr>
        <w:t>One-Class Support Vector Machine (OC-SVM)</w:t>
      </w:r>
    </w:p>
    <w:p>
      <w:pPr>
        <w:pStyle w:val="ListBullet"/>
        <w:spacing w:before="30" w:after="30" w:line="276" w:lineRule="auto"/>
      </w:pPr>
      <w:r>
        <w:rPr>
          <w:rFonts w:ascii="Times New Roman" w:hAnsi="Times New Roman"/>
          <w:color w:val="262626"/>
          <w:sz w:val="22"/>
        </w:rPr>
        <w:t>Fully Connected Autoencoder (FC-AE)</w:t>
      </w:r>
    </w:p>
    <w:p>
      <w:pPr>
        <w:pStyle w:val="ListBullet"/>
        <w:spacing w:before="30" w:after="30" w:line="276" w:lineRule="auto"/>
      </w:pPr>
      <w:r>
        <w:rPr>
          <w:rFonts w:ascii="Times New Roman" w:hAnsi="Times New Roman"/>
          <w:color w:val="262626"/>
          <w:sz w:val="22"/>
        </w:rPr>
        <w:t>Long Short-Term Memory Autoencoder (LSTM-AE)</w:t>
      </w:r>
    </w:p>
    <w:p>
      <w:pPr>
        <w:pStyle w:val="ListNumber"/>
        <w:spacing w:before="30" w:after="30" w:line="276" w:lineRule="auto"/>
      </w:pPr>
      <w:r>
        <w:rPr>
          <w:rFonts w:ascii="Times New Roman" w:hAnsi="Times New Roman"/>
          <w:b/>
          <w:color w:val="262626"/>
          <w:sz w:val="22"/>
        </w:rPr>
        <w:t>Quantify Early Warning Lead Time Dynamics:</w:t>
      </w:r>
      <w:r>
        <w:rPr>
          <w:rFonts w:ascii="Times New Roman" w:hAnsi="Times New Roman"/>
          <w:color w:val="262626"/>
          <w:sz w:val="22"/>
        </w:rPr>
        <w:t xml:space="preserve"> Go beyond conventional cycle-by-cycle binary classification metrics (F1-score, Precision, Recall) by designing and evaluating a temporal early warning framework. Measure the exact cycle lead time before catastrophic failure provided by each method, and evaluate the trade-off between advance notice and false alarm persistence.</w:t>
      </w:r>
    </w:p>
    <w:p>
      <w:pPr>
        <w:pStyle w:val="ListNumber"/>
        <w:spacing w:before="30" w:after="30" w:line="276" w:lineRule="auto"/>
      </w:pPr>
      <w:r>
        <w:rPr>
          <w:rFonts w:ascii="Times New Roman" w:hAnsi="Times New Roman"/>
          <w:b/>
          <w:color w:val="262626"/>
          <w:sz w:val="22"/>
        </w:rPr>
        <w:t>Investigate Operational Regime and Fault-Mode Robustness:</w:t>
      </w:r>
      <w:r>
        <w:rPr>
          <w:rFonts w:ascii="Times New Roman" w:hAnsi="Times New Roman"/>
          <w:color w:val="262626"/>
          <w:sz w:val="22"/>
        </w:rPr>
        <w:t xml:space="preserve"> Systematically benchmark all five models across varying environmental complexities using all four subsets of the NASA C-MAPSS dataset (FD001, FD002, FD003, FD004), and execute zero-shot cross-condition transfer experiments to quantify performance degradation under unmodeled operational regimes and unseen fault modes.</w:t>
      </w:r>
    </w:p>
    <w:p>
      <w:pPr>
        <w:pStyle w:val="ListNumber"/>
        <w:spacing w:before="30" w:after="30" w:line="276" w:lineRule="auto"/>
      </w:pPr>
      <w:r>
        <w:rPr>
          <w:rFonts w:ascii="Times New Roman" w:hAnsi="Times New Roman"/>
          <w:b/>
          <w:color w:val="262626"/>
          <w:sz w:val="22"/>
        </w:rPr>
        <w:t>Conduct Multi-Seed Ablation and Computational Complexity Audits:</w:t>
      </w:r>
      <w:r>
        <w:rPr>
          <w:rFonts w:ascii="Times New Roman" w:hAnsi="Times New Roman"/>
          <w:color w:val="262626"/>
          <w:sz w:val="22"/>
        </w:rPr>
        <w:t xml:space="preserve"> Execute 5-seed repeated trials with formal Wilcoxon signed-rank hypothesis testing to evaluate statistical significance, perform sensitivity ablations across temporal sequence window lengths, and benchmark parameter counts, training times, and inference latencies under CPU-constrained edge hardware.</w:t>
      </w:r>
    </w:p>
    <w:p>
      <w:pPr>
        <w:keepNext/>
        <w:spacing w:before="240" w:after="80"/>
      </w:pPr>
      <w:r>
        <w:rPr>
          <w:rFonts w:ascii="Times New Roman" w:hAnsi="Times New Roman"/>
          <w:b/>
          <w:color w:val="2E75B6"/>
          <w:sz w:val="28"/>
        </w:rPr>
        <w:t>1.5 Scope and Delimitations</w:t>
      </w:r>
    </w:p>
    <w:p>
      <w:pPr>
        <w:spacing w:before="40" w:after="100" w:line="276" w:lineRule="auto"/>
      </w:pPr>
      <w:r>
        <w:rPr>
          <w:rFonts w:ascii="Times New Roman" w:hAnsi="Times New Roman"/>
          <w:color w:val="262626"/>
          <w:sz w:val="22"/>
        </w:rPr>
        <w:t>To maintain scientific precision and ensure replicability, the boundaries of this research are explicitly defined:</w:t>
      </w:r>
    </w:p>
    <w:p>
      <w:pPr>
        <w:pStyle w:val="ListBullet"/>
        <w:spacing w:before="30" w:after="30" w:line="276" w:lineRule="auto"/>
      </w:pPr>
      <w:r>
        <w:rPr>
          <w:rFonts w:ascii="Times New Roman" w:hAnsi="Times New Roman"/>
          <w:b/>
          <w:color w:val="262626"/>
          <w:sz w:val="22"/>
        </w:rPr>
        <w:t>Benchmark Dataset:</w:t>
      </w:r>
      <w:r>
        <w:rPr>
          <w:rFonts w:ascii="Times New Roman" w:hAnsi="Times New Roman"/>
          <w:color w:val="262626"/>
          <w:sz w:val="22"/>
        </w:rPr>
        <w:t xml:space="preserve"> The empirical study is conducted exclusively on the NASA Commercial Modular Aero-Propulsion System Simulation (C-MAPSS) turbofan engine degradation dataset (subsets FD001 through FD004). C-MAPSS represents the gold standard in machine prognostics and predictive maintenance research.</w:t>
      </w:r>
    </w:p>
    <w:p>
      <w:pPr>
        <w:pStyle w:val="ListBullet"/>
        <w:spacing w:before="30" w:after="30" w:line="276" w:lineRule="auto"/>
      </w:pPr>
      <w:r>
        <w:rPr>
          <w:rFonts w:ascii="Times New Roman" w:hAnsi="Times New Roman"/>
          <w:b/>
          <w:color w:val="262626"/>
          <w:sz w:val="22"/>
        </w:rPr>
        <w:t>Unsupervised Paradigm:</w:t>
      </w:r>
      <w:r>
        <w:rPr>
          <w:rFonts w:ascii="Times New Roman" w:hAnsi="Times New Roman"/>
          <w:color w:val="262626"/>
          <w:sz w:val="22"/>
        </w:rPr>
        <w:t xml:space="preserve"> In strict adherence to realistic industrial conditions, all algorithms are trained under an unsupervised / semi-supervised one-class formulation. Training data is restricted to the healthy operating phase of the machinery (designated as the first 70% of operational life in training engines), with no failure labels exposed during optimization.</w:t>
      </w:r>
    </w:p>
    <w:p>
      <w:pPr>
        <w:pStyle w:val="ListBullet"/>
        <w:spacing w:before="30" w:after="30" w:line="276" w:lineRule="auto"/>
      </w:pPr>
      <w:r>
        <w:rPr>
          <w:rFonts w:ascii="Times New Roman" w:hAnsi="Times New Roman"/>
          <w:b/>
          <w:color w:val="262626"/>
          <w:sz w:val="22"/>
        </w:rPr>
        <w:t>Hardware Profile:</w:t>
      </w:r>
      <w:r>
        <w:rPr>
          <w:rFonts w:ascii="Times New Roman" w:hAnsi="Times New Roman"/>
          <w:color w:val="262626"/>
          <w:sz w:val="22"/>
        </w:rPr>
        <w:t xml:space="preserve"> All model training, sequence generation, threshold tuning, and inference evaluations are executed on standard consumer/edge-grade CPU hardware (Intel Core i7-1165G7 @ 2.80GHz, 16 GB RAM, no GPU acceleration), reflecting realistic resource constraints in industrial operational gateways.</w:t>
      </w:r>
    </w:p>
    <w:p>
      <w:pPr>
        <w:pStyle w:val="ListBullet"/>
        <w:spacing w:before="30" w:after="30" w:line="276" w:lineRule="auto"/>
      </w:pPr>
      <w:r>
        <w:rPr>
          <w:rFonts w:ascii="Times New Roman" w:hAnsi="Times New Roman"/>
          <w:b/>
          <w:color w:val="262626"/>
          <w:sz w:val="22"/>
        </w:rPr>
        <w:t>Delimitations:</w:t>
      </w:r>
      <w:r>
        <w:rPr>
          <w:rFonts w:ascii="Times New Roman" w:hAnsi="Times New Roman"/>
          <w:color w:val="262626"/>
          <w:sz w:val="22"/>
        </w:rPr>
        <w:t xml:space="preserve"> This study does not evaluate Remaining Useful Life (RUL) point regression, which requires supervised failure labels. Furthermore, online continuous streaming updates and active real-time retraining are outside the scope of this offline batch-trained comparative benchmark.</w:t>
      </w:r>
    </w:p>
    <w:p>
      <w:pPr>
        <w:keepNext/>
        <w:spacing w:before="240" w:after="80"/>
      </w:pPr>
      <w:r>
        <w:rPr>
          <w:rFonts w:ascii="Times New Roman" w:hAnsi="Times New Roman"/>
          <w:b/>
          <w:color w:val="2E75B6"/>
          <w:sz w:val="28"/>
        </w:rPr>
        <w:t>1.6 Thesis Organization</w:t>
      </w:r>
    </w:p>
    <w:p>
      <w:pPr>
        <w:spacing w:before="40" w:after="100" w:line="276" w:lineRule="auto"/>
      </w:pPr>
      <w:r>
        <w:rPr>
          <w:rFonts w:ascii="Times New Roman" w:hAnsi="Times New Roman"/>
          <w:color w:val="262626"/>
          <w:sz w:val="22"/>
        </w:rPr>
        <w:t>The remainder of this thesis is structured as follows:</w:t>
      </w:r>
    </w:p>
    <w:p>
      <w:pPr>
        <w:pStyle w:val="ListBullet"/>
        <w:spacing w:before="30" w:after="30" w:line="276" w:lineRule="auto"/>
      </w:pPr>
      <w:r>
        <w:rPr>
          <w:rFonts w:ascii="Times New Roman" w:hAnsi="Times New Roman"/>
          <w:b/>
          <w:color w:val="262626"/>
          <w:sz w:val="22"/>
        </w:rPr>
        <w:t>Chapter 2 (Literature Review)</w:t>
      </w:r>
      <w:r>
        <w:rPr>
          <w:rFonts w:ascii="Times New Roman" w:hAnsi="Times New Roman"/>
          <w:color w:val="262626"/>
          <w:sz w:val="22"/>
        </w:rPr>
        <w:t xml:space="preserve"> provides a comprehensive review of IIoT predictive maintenance literature, surveying classical anomaly detection, deep reconstruction models, and prior C-MAPSS investigations, concluding with an extensive comparative literature matrix.</w:t>
      </w:r>
    </w:p>
    <w:p>
      <w:pPr>
        <w:pStyle w:val="ListBullet"/>
        <w:spacing w:before="30" w:after="30" w:line="276" w:lineRule="auto"/>
      </w:pPr>
      <w:r>
        <w:rPr>
          <w:rFonts w:ascii="Times New Roman" w:hAnsi="Times New Roman"/>
          <w:b/>
          <w:color w:val="262626"/>
          <w:sz w:val="22"/>
        </w:rPr>
        <w:t>Chapter 3 (Research Gap and RQ1–RQ7)</w:t>
      </w:r>
      <w:r>
        <w:rPr>
          <w:rFonts w:ascii="Times New Roman" w:hAnsi="Times New Roman"/>
          <w:color w:val="262626"/>
          <w:sz w:val="22"/>
        </w:rPr>
        <w:t xml:space="preserve"> synthesizes prevailing methodological deficiencies in the field and formally defines seven core research questions.</w:t>
      </w:r>
    </w:p>
    <w:p>
      <w:pPr>
        <w:pStyle w:val="ListBullet"/>
        <w:spacing w:before="30" w:after="30" w:line="276" w:lineRule="auto"/>
      </w:pPr>
      <w:r>
        <w:rPr>
          <w:rFonts w:ascii="Times New Roman" w:hAnsi="Times New Roman"/>
          <w:b/>
          <w:color w:val="262626"/>
          <w:sz w:val="22"/>
        </w:rPr>
        <w:t>Chapter 4 (Dataset and Exploratory Data Analysis)</w:t>
      </w:r>
      <w:r>
        <w:rPr>
          <w:rFonts w:ascii="Times New Roman" w:hAnsi="Times New Roman"/>
          <w:color w:val="262626"/>
          <w:sz w:val="22"/>
        </w:rPr>
        <w:t xml:space="preserve"> details the physical simulation dynamics of the C-MAPSS dataset, describes subsets FD001 through FD004, and presents extensive EDA findings regarding sensor invariance and multi-regime operational clustering.</w:t>
      </w:r>
    </w:p>
    <w:p>
      <w:pPr>
        <w:pStyle w:val="ListBullet"/>
        <w:spacing w:before="30" w:after="30" w:line="276" w:lineRule="auto"/>
      </w:pPr>
      <w:r>
        <w:rPr>
          <w:rFonts w:ascii="Times New Roman" w:hAnsi="Times New Roman"/>
          <w:b/>
          <w:color w:val="262626"/>
          <w:sz w:val="22"/>
        </w:rPr>
        <w:t>Chapter 5 (Methodology)</w:t>
      </w:r>
      <w:r>
        <w:rPr>
          <w:rFonts w:ascii="Times New Roman" w:hAnsi="Times New Roman"/>
          <w:color w:val="262626"/>
          <w:sz w:val="22"/>
        </w:rPr>
        <w:t xml:space="preserve"> details the mathematical formulations of all five models, formalizes the leak-free data partitioning pipeline, presents seven threshold calibration strategies, and establishes the classification and early-warning evaluation metrics.</w:t>
      </w:r>
    </w:p>
    <w:p>
      <w:pPr>
        <w:pStyle w:val="ListBullet"/>
        <w:spacing w:before="30" w:after="30" w:line="276" w:lineRule="auto"/>
      </w:pPr>
      <w:r>
        <w:rPr>
          <w:rFonts w:ascii="Times New Roman" w:hAnsi="Times New Roman"/>
          <w:b/>
          <w:color w:val="262626"/>
          <w:sz w:val="22"/>
        </w:rPr>
        <w:t>Chapter 6 (Experimental Setup)</w:t>
      </w:r>
      <w:r>
        <w:rPr>
          <w:rFonts w:ascii="Times New Roman" w:hAnsi="Times New Roman"/>
          <w:color w:val="262626"/>
          <w:sz w:val="22"/>
        </w:rPr>
        <w:t xml:space="preserve"> details the hardware specifications, software dependencies, feature preprocessing steps, and training hyperparameter configurations.</w:t>
      </w:r>
    </w:p>
    <w:p>
      <w:pPr>
        <w:pStyle w:val="ListBullet"/>
        <w:spacing w:before="30" w:after="30" w:line="276" w:lineRule="auto"/>
      </w:pPr>
      <w:r>
        <w:rPr>
          <w:rFonts w:ascii="Times New Roman" w:hAnsi="Times New Roman"/>
          <w:b/>
          <w:color w:val="262626"/>
          <w:sz w:val="22"/>
        </w:rPr>
        <w:t>Chapter 7 (Results and Empirical Analysis)</w:t>
      </w:r>
      <w:r>
        <w:rPr>
          <w:rFonts w:ascii="Times New Roman" w:hAnsi="Times New Roman"/>
          <w:color w:val="262626"/>
          <w:sz w:val="22"/>
        </w:rPr>
        <w:t xml:space="preserve"> presents the core empirical findings, including the FD001 benchmark comparison table, lead-time distribution analyses, threshold sensitivity sweeps, multi-condition evaluations, and cross-condition transfer failures.</w:t>
      </w:r>
    </w:p>
    <w:p>
      <w:pPr>
        <w:pStyle w:val="ListBullet"/>
        <w:spacing w:before="30" w:after="30" w:line="276" w:lineRule="auto"/>
      </w:pPr>
      <w:r>
        <w:rPr>
          <w:rFonts w:ascii="Times New Roman" w:hAnsi="Times New Roman"/>
          <w:b/>
          <w:color w:val="262626"/>
          <w:sz w:val="22"/>
        </w:rPr>
        <w:t>Chapter 8 (Ablation Studies and Statistical Significance)</w:t>
      </w:r>
      <w:r>
        <w:rPr>
          <w:rFonts w:ascii="Times New Roman" w:hAnsi="Times New Roman"/>
          <w:color w:val="262626"/>
          <w:sz w:val="22"/>
        </w:rPr>
        <w:t xml:space="preserve"> reports multi-seed variance analyses, Wilcoxon hypothesis tests, temporal sequence window ablations, and persistence filtering studies.</w:t>
      </w:r>
    </w:p>
    <w:p>
      <w:pPr>
        <w:pStyle w:val="ListBullet"/>
        <w:spacing w:before="30" w:after="30" w:line="276" w:lineRule="auto"/>
      </w:pPr>
      <w:r>
        <w:rPr>
          <w:rFonts w:ascii="Times New Roman" w:hAnsi="Times New Roman"/>
          <w:b/>
          <w:color w:val="262626"/>
          <w:sz w:val="22"/>
        </w:rPr>
        <w:t>Chapter 9 (Discussion)</w:t>
      </w:r>
      <w:r>
        <w:rPr>
          <w:rFonts w:ascii="Times New Roman" w:hAnsi="Times New Roman"/>
          <w:color w:val="262626"/>
          <w:sz w:val="22"/>
        </w:rPr>
        <w:t xml:space="preserve"> synthesizes the empirical results into broader architectural insights, discussing when simple models suffice, dissecting the "metric paradox", analyzing return on compute, and evaluating edge deployment risks and threats to validity.</w:t>
      </w:r>
    </w:p>
    <w:p>
      <w:pPr>
        <w:pStyle w:val="ListBullet"/>
        <w:spacing w:before="30" w:after="30" w:line="276" w:lineRule="auto"/>
      </w:pPr>
      <w:r>
        <w:rPr>
          <w:rFonts w:ascii="Times New Roman" w:hAnsi="Times New Roman"/>
          <w:b/>
          <w:color w:val="262626"/>
          <w:sz w:val="22"/>
        </w:rPr>
        <w:t>Chapter 10 (Conclusions and Future Work)</w:t>
      </w:r>
      <w:r>
        <w:rPr>
          <w:rFonts w:ascii="Times New Roman" w:hAnsi="Times New Roman"/>
          <w:color w:val="262626"/>
          <w:sz w:val="22"/>
        </w:rPr>
        <w:t xml:space="preserve"> summarizes the five principal conclusions and outlines six promising avenues for future research.</w:t>
      </w:r>
    </w:p>
    <w:p>
      <w:pPr>
        <w:pStyle w:val="ListBullet"/>
        <w:spacing w:before="30" w:after="30" w:line="276" w:lineRule="auto"/>
      </w:pPr>
      <w:r>
        <w:rPr>
          <w:rFonts w:ascii="Times New Roman" w:hAnsi="Times New Roman"/>
          <w:b/>
          <w:color w:val="262626"/>
          <w:sz w:val="22"/>
        </w:rPr>
        <w:t>References &amp; Appendices</w:t>
      </w:r>
      <w:r>
        <w:rPr>
          <w:rFonts w:ascii="Times New Roman" w:hAnsi="Times New Roman"/>
          <w:color w:val="262626"/>
          <w:sz w:val="22"/>
        </w:rPr>
        <w:t xml:space="preserve"> provide 15 complete academic citations, detailed repository architectural listings, and end-to-end reproducibility execution commands.</w:t>
      </w:r>
    </w:p>
    <w:p>
      <w:pPr>
        <w:spacing w:before="120" w:after="120"/>
      </w:pPr>
      <w:r>
        <w:rPr>
          <w:color w:val="BDC3C7"/>
          <w:sz w:val="16"/>
        </w:rPr>
        <w:t>―――――――――――――――――――――――――――――――――――――――――――――――――――――――</w:t>
      </w:r>
    </w:p>
    <w:p>
      <w:pPr>
        <w:keepNext/>
        <w:spacing w:before="320" w:after="120"/>
      </w:pPr>
      <w:r>
        <w:rPr>
          <w:rFonts w:ascii="Times New Roman" w:hAnsi="Times New Roman"/>
          <w:b/>
          <w:color w:val="1F4E79"/>
          <w:sz w:val="36"/>
        </w:rPr>
        <w:t>Chapter 2: Literature Review</w:t>
      </w:r>
    </w:p>
    <w:p>
      <w:pPr>
        <w:keepNext/>
        <w:spacing w:before="240" w:after="80"/>
      </w:pPr>
      <w:r>
        <w:rPr>
          <w:rFonts w:ascii="Times New Roman" w:hAnsi="Times New Roman"/>
          <w:b/>
          <w:color w:val="2E75B6"/>
          <w:sz w:val="28"/>
        </w:rPr>
        <w:t>2.1 Predictive Maintenance in Industrial IoT</w:t>
      </w:r>
    </w:p>
    <w:p>
      <w:pPr>
        <w:spacing w:before="40" w:after="100" w:line="276" w:lineRule="auto"/>
      </w:pPr>
      <w:r>
        <w:rPr>
          <w:rFonts w:ascii="Times New Roman" w:hAnsi="Times New Roman"/>
          <w:color w:val="262626"/>
          <w:sz w:val="22"/>
        </w:rPr>
        <w:t>The convergence of low-cost wireless sensor networks, high-throughput industrial fieldbuses, and advanced computational analytics has established Predictive Maintenance (PdM) as the cornerstone of Industry 4.0 asset management frameworks. In modern Industrial IoT architectures, physical machines—ranging from computer numerical control (CNC) mills and wind turbines to commercial jet turbofans—are equipped with dense arrays of sensors that continuously capture the internal state of the asset.</w:t>
      </w:r>
    </w:p>
    <w:p>
      <w:pPr>
        <w:spacing w:before="40" w:after="100" w:line="276" w:lineRule="auto"/>
      </w:pPr>
      <w:r>
        <w:rPr>
          <w:rFonts w:ascii="Times New Roman" w:hAnsi="Times New Roman"/>
          <w:color w:val="262626"/>
          <w:sz w:val="22"/>
        </w:rPr>
        <w:t>As synthesized by Zhao et al. (2019) in their seminal survey on deep learning for machine health monitoring, industrial sensor telemetry differs fundamentally from conventional time series. Industrial signals are characterized by extreme dimensionality, high sampling frequencies, strong non-linear coupling between physical variables, and high levels of stochastic operational noise. Historically, condition monitoring relied on expert domain knowledge and classical signal processing techniques, such as Fast Fourier Transforms (FFT), wavelet packet decomposition, and envelope analysis for vibration signals. While effective for isolated, well-understood failure modes (such as localized outer race defects in rolling element bearings), signal processing techniques require bespoke manual tuning for each machine type, fail to generalize across varying operating regimes, and cannot scale to complex cyber-physical systems possessing dozens of interdependent thermodynamic and pneumatic channels.</w:t>
      </w:r>
    </w:p>
    <w:p>
      <w:pPr>
        <w:spacing w:before="40" w:after="100" w:line="276" w:lineRule="auto"/>
      </w:pPr>
      <w:r>
        <w:rPr>
          <w:rFonts w:ascii="Times New Roman" w:hAnsi="Times New Roman"/>
          <w:color w:val="262626"/>
          <w:sz w:val="22"/>
        </w:rPr>
        <w:t>Consequently, automated data-driven anomaly detection has emerged as the prevailing paradigm for scalable condition monitoring in modern IIoT architectures.</w:t>
      </w:r>
    </w:p>
    <w:p>
      <w:pPr>
        <w:keepNext/>
        <w:spacing w:before="240" w:after="80"/>
      </w:pPr>
      <w:r>
        <w:rPr>
          <w:rFonts w:ascii="Times New Roman" w:hAnsi="Times New Roman"/>
          <w:b/>
          <w:color w:val="2E75B6"/>
          <w:sz w:val="28"/>
        </w:rPr>
        <w:t>2.2 Paradigms of Time-Series Anomaly Detection</w:t>
      </w:r>
    </w:p>
    <w:p>
      <w:pPr>
        <w:spacing w:before="40" w:after="100" w:line="276" w:lineRule="auto"/>
      </w:pPr>
      <w:r>
        <w:rPr>
          <w:rFonts w:ascii="Times New Roman" w:hAnsi="Times New Roman"/>
          <w:color w:val="262626"/>
          <w:sz w:val="22"/>
        </w:rPr>
        <w:t>Time-series anomaly detection fundamentally involves identifying data instances, subsequences, or patterns that deviate significantly from an established model of normal behavior. In their comprehensive taxonomy of deep learning for time series anomaly detection, Darban et al. (2024) classify anomalies in sequential data into three distinct archetypes:</w:t>
      </w:r>
    </w:p>
    <w:p>
      <w:pPr>
        <w:pStyle w:val="ListNumber"/>
        <w:spacing w:before="30" w:after="30" w:line="276" w:lineRule="auto"/>
      </w:pPr>
      <w:r>
        <w:rPr>
          <w:rFonts w:ascii="Times New Roman" w:hAnsi="Times New Roman"/>
          <w:b/>
          <w:color w:val="262626"/>
          <w:sz w:val="22"/>
        </w:rPr>
        <w:t>Point Anomalies:</w:t>
      </w:r>
      <w:r>
        <w:rPr>
          <w:rFonts w:ascii="Times New Roman" w:hAnsi="Times New Roman"/>
          <w:color w:val="262626"/>
          <w:sz w:val="22"/>
        </w:rPr>
        <w:t xml:space="preserve"> Individual timesteps that exhibit anomalous values relative to the global or local distribution of the signal (e.g., an instantaneous, catastrophic pressure spike).</w:t>
      </w:r>
    </w:p>
    <w:p>
      <w:pPr>
        <w:pStyle w:val="ListNumber"/>
        <w:spacing w:before="30" w:after="30" w:line="276" w:lineRule="auto"/>
      </w:pPr>
      <w:r>
        <w:rPr>
          <w:rFonts w:ascii="Times New Roman" w:hAnsi="Times New Roman"/>
          <w:b/>
          <w:color w:val="262626"/>
          <w:sz w:val="22"/>
        </w:rPr>
        <w:t>Contextual Anomalies:</w:t>
      </w:r>
      <w:r>
        <w:rPr>
          <w:rFonts w:ascii="Times New Roman" w:hAnsi="Times New Roman"/>
          <w:color w:val="262626"/>
          <w:sz w:val="22"/>
        </w:rPr>
        <w:t xml:space="preserve"> Data points whose individual values appear nominal when viewed in isolation, but become anomalous when evaluated within a specific temporal or operational context (e.g., an elevated exhaust gas temperature occurring while the engine is idling).</w:t>
      </w:r>
    </w:p>
    <w:p>
      <w:pPr>
        <w:pStyle w:val="ListNumber"/>
        <w:spacing w:before="30" w:after="30" w:line="276" w:lineRule="auto"/>
      </w:pPr>
      <w:r>
        <w:rPr>
          <w:rFonts w:ascii="Times New Roman" w:hAnsi="Times New Roman"/>
          <w:b/>
          <w:color w:val="262626"/>
          <w:sz w:val="22"/>
        </w:rPr>
        <w:t>Collective (Subsequence) Anomalies:</w:t>
      </w:r>
      <w:r>
        <w:rPr>
          <w:rFonts w:ascii="Times New Roman" w:hAnsi="Times New Roman"/>
          <w:color w:val="262626"/>
          <w:sz w:val="22"/>
        </w:rPr>
        <w:t xml:space="preserve"> A contiguous sequence of data points that, taken as an aggregate group, indicates anomalous behavior, even though each individual point within the window may fall well within standard operational envelopes (e.g., subtle oscillatory drift or slow, monotonic degradation indicative of mechanical wear).</w:t>
      </w:r>
    </w:p>
    <w:p>
      <w:pPr>
        <w:spacing w:before="40" w:after="100" w:line="276" w:lineRule="auto"/>
      </w:pPr>
      <w:r>
        <w:rPr>
          <w:rFonts w:ascii="Times New Roman" w:hAnsi="Times New Roman"/>
          <w:color w:val="262626"/>
          <w:sz w:val="22"/>
        </w:rPr>
        <w:t>In predictive maintenance of heavy rotating machinery, mechanical failure rarely occurs as an abrupt point anomaly. Instead, physical damage—such as compressor fouling, high-pressure turbine blade erosion, or bearing spallation—originates as microscopic physical wear that gradually propagates through the system over hundreds of operating hours. As wear accumulates, the asset manifests collective, contextual degradation patterns. An effective predictive maintenance anomaly detector must therefore be capable of recognizing gradual, multi-channel degradation trends long before physical limits are breached.</w:t>
      </w:r>
    </w:p>
    <w:p>
      <w:pPr>
        <w:keepNext/>
        <w:spacing w:before="240" w:after="80"/>
      </w:pPr>
      <w:r>
        <w:rPr>
          <w:rFonts w:ascii="Times New Roman" w:hAnsi="Times New Roman"/>
          <w:b/>
          <w:color w:val="2E75B6"/>
          <w:sz w:val="28"/>
        </w:rPr>
        <w:t>2.3 Classical Machine Learning Approaches</w:t>
      </w:r>
    </w:p>
    <w:p>
      <w:pPr>
        <w:spacing w:before="40" w:after="100" w:line="276" w:lineRule="auto"/>
      </w:pPr>
      <w:r>
        <w:rPr>
          <w:rFonts w:ascii="Times New Roman" w:hAnsi="Times New Roman"/>
          <w:color w:val="262626"/>
          <w:sz w:val="22"/>
        </w:rPr>
        <w:t>Prior to the widespread adoption of deep neural networks, classical machine learning and statistical methods represented the state-of-the-art in industrial outlier detection.</w:t>
      </w:r>
    </w:p>
    <w:p>
      <w:pPr>
        <w:keepNext/>
        <w:spacing w:before="200" w:after="60"/>
      </w:pPr>
      <w:r>
        <w:rPr>
          <w:rFonts w:ascii="Times New Roman" w:hAnsi="Times New Roman"/>
          <w:b/>
          <w:color w:val="1F4E79"/>
          <w:sz w:val="24"/>
        </w:rPr>
        <w:t>2.3.1 Statistical Thresholding Baselines</w:t>
      </w:r>
    </w:p>
    <w:p>
      <w:pPr>
        <w:spacing w:before="40" w:after="100" w:line="276" w:lineRule="auto"/>
      </w:pPr>
      <w:r>
        <w:rPr>
          <w:rFonts w:ascii="Times New Roman" w:hAnsi="Times New Roman"/>
          <w:color w:val="262626"/>
          <w:sz w:val="22"/>
        </w:rPr>
        <w:t>Parametric statistical models assume that normal operational telemetry follows an underlying probability distribution, most commonly a multivariate Gaussian distribution. For an individual sensor channel $x_j$, nominal behavior is characterized by its mean $\mu_j$ and standard deviation $\sigma_j$ estimated during healthy baseline operation. Unsupervised anomaly scoring is executed by computing standard Z-scores:</w:t>
      </w:r>
    </w:p>
    <w:p>
      <w:pPr>
        <w:spacing w:before="40" w:after="100" w:line="276" w:lineRule="auto"/>
      </w:pPr>
      <w:r>
        <w:rPr>
          <w:rFonts w:ascii="Times New Roman" w:hAnsi="Times New Roman"/>
          <w:color w:val="262626"/>
          <w:sz w:val="22"/>
        </w:rPr>
        <w:t>$$z_{t,j} = \frac{x_{t,j} - \mu_j}{\sigma_j}$$</w:t>
      </w:r>
    </w:p>
    <w:p>
      <w:pPr>
        <w:spacing w:before="40" w:after="100" w:line="276" w:lineRule="auto"/>
      </w:pPr>
      <w:r>
        <w:rPr>
          <w:rFonts w:ascii="Times New Roman" w:hAnsi="Times New Roman"/>
          <w:color w:val="262626"/>
          <w:sz w:val="22"/>
        </w:rPr>
        <w:t>An anomaly is signaled when the absolute score $|z_{t,j}|$ exceeds a predetermined confidence threshold (e.g., $k=3$ for a 99.7% Gaussian confidence limit). To monitor multivariate systems, practitioners either aggregate individual channel Z-scores via Euclidean averaging or compute the Mahalanobis distance, which incorporates the covariance matrix $\mathbf{\Sigma}$ to account for linear correlations between sensor pairs:</w:t>
      </w:r>
    </w:p>
    <w:p>
      <w:pPr>
        <w:spacing w:before="40" w:after="100" w:line="276" w:lineRule="auto"/>
      </w:pPr>
      <w:r>
        <w:rPr>
          <w:rFonts w:ascii="Times New Roman" w:hAnsi="Times New Roman"/>
          <w:color w:val="262626"/>
          <w:sz w:val="22"/>
        </w:rPr>
        <w:t>$$D_M(x_t) = \sqrt{(x_t - \mu)^T \mathbf{\Sigma}^{-1} (x_t - \mu)}$$</w:t>
      </w:r>
    </w:p>
    <w:p>
      <w:pPr>
        <w:spacing w:before="40" w:after="100" w:line="276" w:lineRule="auto"/>
      </w:pPr>
      <w:r>
        <w:rPr>
          <w:rFonts w:ascii="Times New Roman" w:hAnsi="Times New Roman"/>
          <w:color w:val="262626"/>
          <w:sz w:val="22"/>
        </w:rPr>
        <w:t>While statistical methods provide unmatched computational speed, zero training latency, and absolute interpretability, they suffer from two severe limitations: they struggle to model complex non-linear sensor interactions, and their performance degrades catastrophically when multi-modal operational shifts violate the assumption of unimodal Gaussianity.</w:t>
      </w:r>
    </w:p>
    <w:p>
      <w:pPr>
        <w:keepNext/>
        <w:spacing w:before="200" w:after="60"/>
      </w:pPr>
      <w:r>
        <w:rPr>
          <w:rFonts w:ascii="Times New Roman" w:hAnsi="Times New Roman"/>
          <w:b/>
          <w:color w:val="1F4E79"/>
          <w:sz w:val="24"/>
        </w:rPr>
        <w:t>2.3.2 Isolation Forest</w:t>
      </w:r>
    </w:p>
    <w:p>
      <w:pPr>
        <w:spacing w:before="40" w:after="100" w:line="276" w:lineRule="auto"/>
      </w:pPr>
      <w:r>
        <w:rPr>
          <w:rFonts w:ascii="Times New Roman" w:hAnsi="Times New Roman"/>
          <w:color w:val="262626"/>
          <w:sz w:val="22"/>
        </w:rPr>
        <w:t>The Isolation Forest (iForest) algorithm, introduced by Liu, Ting, and Zhou (2008), represents a fundamental departure from traditional distance- and density-based anomaly detection algorithms. Rather than constructing a profile of normal data points and identifying anomalies as instances that fall outside this profile, Isolation Forest explicitly isolates anomalies. The core principle rests on two quantitative properties of anomalous data: they are few in number, and they possess attribute values distinctly different from nominal instances.</w:t>
      </w:r>
    </w:p>
    <w:p>
      <w:pPr>
        <w:spacing w:before="40" w:after="100" w:line="276" w:lineRule="auto"/>
      </w:pPr>
      <w:r>
        <w:rPr>
          <w:rFonts w:ascii="Times New Roman" w:hAnsi="Times New Roman"/>
          <w:color w:val="262626"/>
          <w:sz w:val="22"/>
        </w:rPr>
        <w:t>Isolation Forest constructs an ensemble of completely randomized binary decision trees (Isolation Trees, or iTrees). In each tree, partitions are recursively generated by randomly selecting an attribute and subsequently choosing a random split value between the minimum and maximum values of the selected attribute. Because anomalous points deviate substantially from the dense cluster of normal data, they require far fewer random recursive splits to be isolated into terminal leaf nodes. Consequently, the path length $h(x)$ from the root node to the terminating leaf serves as a direct proxy for anomaly status: short path lengths indicate a high probability of anomalous behavior.</w:t>
      </w:r>
    </w:p>
    <w:p>
      <w:pPr>
        <w:spacing w:before="40" w:after="100" w:line="276" w:lineRule="auto"/>
      </w:pPr>
      <w:r>
        <w:rPr>
          <w:rFonts w:ascii="Times New Roman" w:hAnsi="Times New Roman"/>
          <w:color w:val="262626"/>
          <w:sz w:val="22"/>
        </w:rPr>
        <w:t>In subsequent research, Ding et al. (2019) adapted Isolation Forest for streaming IIoT telemetry, demonstrating that sliding-window tree ensembles could process high-velocity sensor streams with negligible computational overhead. Furthermore, Hariri et al. (2019) proposed the Extended Isolation Forest (EIF), resolving the axis-aligned splitting limitation of the original formulation by slicing data using hyperplanes with random slopes. In benchmark evaluations on tabular and stochastic time series, Schmidl et al. (2022) demonstrated that Isolation Forest consistently performs as one of the most competitive, robust, and computationally efficient anomaly detectors across diverse industrial datasets.</w:t>
      </w:r>
    </w:p>
    <w:p>
      <w:pPr>
        <w:keepNext/>
        <w:spacing w:before="200" w:after="60"/>
      </w:pPr>
      <w:r>
        <w:rPr>
          <w:rFonts w:ascii="Times New Roman" w:hAnsi="Times New Roman"/>
          <w:b/>
          <w:color w:val="1F4E79"/>
          <w:sz w:val="24"/>
        </w:rPr>
        <w:t>2.3.3 One-Class Support Vector Machine</w:t>
      </w:r>
    </w:p>
    <w:p>
      <w:pPr>
        <w:spacing w:before="40" w:after="100" w:line="276" w:lineRule="auto"/>
      </w:pPr>
      <w:r>
        <w:rPr>
          <w:rFonts w:ascii="Times New Roman" w:hAnsi="Times New Roman"/>
          <w:color w:val="262626"/>
          <w:sz w:val="22"/>
        </w:rPr>
        <w:t>The One-Class Support Vector Machine (OC-SVM), formulated by Schölkopf et al. (2001), extends the classical margin-maximization framework to unsupervised and semi-supervised novelty detection. Rather than separating two distinct classes with a maximum-margin hyperplane, OC-SVM maps the input telemetry vectors into a high-dimensional feature space via a non-linear kernel function (typically the Radial Basis Function, or RBF, kernel) and constructs a hyperplane that separates the nominal training instances from the origin with maximum margin.</w:t>
      </w:r>
    </w:p>
    <w:p>
      <w:pPr>
        <w:spacing w:before="40" w:after="100" w:line="276" w:lineRule="auto"/>
      </w:pPr>
      <w:r>
        <w:rPr>
          <w:rFonts w:ascii="Times New Roman" w:hAnsi="Times New Roman"/>
          <w:color w:val="262626"/>
          <w:sz w:val="22"/>
        </w:rPr>
        <w:t>A hyperparameter $\nu \in (0, 1]$ governs the dual role of an upper bound on the fraction of training outliers and a lower bound on the number of support vectors. By adjusting $\nu$ and the kernel bandwidth parameter $\gamma$, the OC-SVM learns a tight, smooth, non-linear boundary enveloping nominal operating points. Points falling on the side of the hyperplane facing the origin receive negative decision values and are classified as anomalies. While OC-SVM possesses strong theoretical foundations in structural risk minimization and excels at modeling complex non-linear boundaries in moderate dimensions, its computational complexity scales quadratically to cubically with the number of training samples ($\mathcal{O}(N^2)$ to $\mathcal{O}(N^3)$), rendering training on large industrial telemetry datasets computationally prohibitive without aggressive sub-sampling.</w:t>
      </w:r>
    </w:p>
    <w:p>
      <w:pPr>
        <w:keepNext/>
        <w:spacing w:before="240" w:after="80"/>
      </w:pPr>
      <w:r>
        <w:rPr>
          <w:rFonts w:ascii="Times New Roman" w:hAnsi="Times New Roman"/>
          <w:b/>
          <w:color w:val="2E75B6"/>
          <w:sz w:val="28"/>
        </w:rPr>
        <w:t>2.4 Deep Learning Architectures for Telemetry</w:t>
      </w:r>
    </w:p>
    <w:p>
      <w:pPr>
        <w:spacing w:before="40" w:after="100" w:line="276" w:lineRule="auto"/>
      </w:pPr>
      <w:r>
        <w:rPr>
          <w:rFonts w:ascii="Times New Roman" w:hAnsi="Times New Roman"/>
          <w:color w:val="262626"/>
          <w:sz w:val="22"/>
        </w:rPr>
        <w:t>Driven by the limitations of classical methods in capturing high-dimensional non-linear correlations and temporal sequence dynamics, deep learning architectures have become the dominant focus of anomaly detection research.</w:t>
      </w:r>
    </w:p>
    <w:p>
      <w:pPr>
        <w:keepNext/>
        <w:spacing w:before="200" w:after="60"/>
      </w:pPr>
      <w:r>
        <w:rPr>
          <w:rFonts w:ascii="Times New Roman" w:hAnsi="Times New Roman"/>
          <w:b/>
          <w:color w:val="1F4E79"/>
          <w:sz w:val="24"/>
        </w:rPr>
        <w:t>2.4.1 Fully Connected Autoencoders</w:t>
      </w:r>
    </w:p>
    <w:p>
      <w:pPr>
        <w:spacing w:before="40" w:after="100" w:line="276" w:lineRule="auto"/>
      </w:pPr>
      <w:r>
        <w:rPr>
          <w:rFonts w:ascii="Times New Roman" w:hAnsi="Times New Roman"/>
          <w:color w:val="262626"/>
          <w:sz w:val="22"/>
        </w:rPr>
        <w:t>Reconstruction-based deep learning relies on the autoencoder paradigm, pioneered conceptually by Kramer (1991) and popularized for high-dimensional feature representation by Hinton and Salakhutdinov (2006). An autoencoder is a feedforward neural network trained via self-supervised backpropagation to reconstruct its own input. The architecture consists of two structural sub-networks: an encoder network $f_\theta$ that maps the input vector $x_t \in \mathbb{R}^D$ down through successive contracting hidden layers into a low-dimensional bottleneck latent representation $z_t \in \mathbb{R}^d$ ($d \ll D$), and a decoder network $g_\phi$ that expands $z_t$ back to a reconstructed output vector $\hat{x}_t \in \mathbb{R}^D$.</w:t>
      </w:r>
    </w:p>
    <w:p>
      <w:pPr>
        <w:spacing w:before="40" w:after="100" w:line="276" w:lineRule="auto"/>
      </w:pPr>
      <w:r>
        <w:rPr>
          <w:rFonts w:ascii="Times New Roman" w:hAnsi="Times New Roman"/>
          <w:color w:val="262626"/>
          <w:sz w:val="22"/>
        </w:rPr>
        <w:t>The objective function minimized during optimization is the Mean Squared Error (MSE) between the input and the reconstruction:</w:t>
      </w:r>
    </w:p>
    <w:p>
      <w:pPr>
        <w:spacing w:before="40" w:after="100" w:line="276" w:lineRule="auto"/>
      </w:pPr>
      <w:r>
        <w:rPr>
          <w:rFonts w:ascii="Times New Roman" w:hAnsi="Times New Roman"/>
          <w:color w:val="262626"/>
          <w:sz w:val="22"/>
        </w:rPr>
        <w:t>$$\mathcal{L}(x, \hat{x}) = \frac{1}{D}\sum_{j=1}^D (x_j - \hat{x}_j)^2$$</w:t>
      </w:r>
    </w:p>
    <w:p>
      <w:pPr>
        <w:spacing w:before="40" w:after="100" w:line="276" w:lineRule="auto"/>
      </w:pPr>
      <w:r>
        <w:rPr>
          <w:rFonts w:ascii="Times New Roman" w:hAnsi="Times New Roman"/>
          <w:color w:val="262626"/>
          <w:sz w:val="22"/>
        </w:rPr>
        <w:t>When trained exclusively on healthy operational telemetry, the autoencoder learns the non-linear manifold representing nominal physical interactions among sensor channels. Because the compressed latent bottleneck prevents the network from learning a trivial identity mapping, the model only learns to reconstruct nominal physical states. When an anomaly occurs—such as a component entering physical degradation—the altered multivariate correlations deviate from the learned nominal manifold. Consequently, the decoder fails to accurately reconstruct the input vector, resulting in a sharp escalation in reconstruction error. This reconstruction error serves directly as the anomaly score.</w:t>
      </w:r>
    </w:p>
    <w:p>
      <w:pPr>
        <w:spacing w:before="40" w:after="100" w:line="276" w:lineRule="auto"/>
      </w:pPr>
      <w:r>
        <w:rPr>
          <w:rFonts w:ascii="Times New Roman" w:hAnsi="Times New Roman"/>
          <w:color w:val="262626"/>
          <w:sz w:val="22"/>
        </w:rPr>
        <w:t>Borghesi et al. (2019) demonstrated the utility of feedforward autoencoders for early anomaly detection in high-performance computing and industrial sensor telemetry, highlighting that autoencoders outperform linear PCA by successfully capturing non-linear cross-sensor dynamics. However, standard feedforward autoencoders treat each individual timestep independently, remaining entirely blind to temporal ordering, sequential velocity, and multi-step degradation dynamics.</w:t>
      </w:r>
    </w:p>
    <w:p>
      <w:pPr>
        <w:keepNext/>
        <w:spacing w:before="200" w:after="60"/>
      </w:pPr>
      <w:r>
        <w:rPr>
          <w:rFonts w:ascii="Times New Roman" w:hAnsi="Times New Roman"/>
          <w:b/>
          <w:color w:val="1F4E79"/>
          <w:sz w:val="24"/>
        </w:rPr>
        <w:t>2.4.2 Recurrent and LSTM Autoencoders</w:t>
      </w:r>
    </w:p>
    <w:p>
      <w:pPr>
        <w:spacing w:before="40" w:after="100" w:line="276" w:lineRule="auto"/>
      </w:pPr>
      <w:r>
        <w:rPr>
          <w:rFonts w:ascii="Times New Roman" w:hAnsi="Times New Roman"/>
          <w:color w:val="262626"/>
          <w:sz w:val="22"/>
        </w:rPr>
        <w:t>To capture temporal dependencies inherent in physical degradation, Malhotra et al. (2015) introduced the Long Short-Term Memory Autoencoder (LSTM-AE) for time-series anomaly detection. The LSTM-AE replaces standard fully connected feedforward layers with recurrent LSTM cells capable of maintaining internal memory cell states over extended temporal sequences.</w:t>
      </w:r>
    </w:p>
    <w:p>
      <w:pPr>
        <w:spacing w:before="40" w:after="100" w:line="276" w:lineRule="auto"/>
      </w:pPr>
      <w:r>
        <w:rPr>
          <w:rFonts w:ascii="Times New Roman" w:hAnsi="Times New Roman"/>
          <w:color w:val="262626"/>
          <w:sz w:val="22"/>
        </w:rPr>
        <w:t>An LSTM Autoencoder takes as input a sequential matrix representing a sliding temporal window of observations:</w:t>
      </w:r>
    </w:p>
    <w:p>
      <w:pPr>
        <w:spacing w:before="40" w:after="100" w:line="276" w:lineRule="auto"/>
      </w:pPr>
      <w:r>
        <w:rPr>
          <w:rFonts w:ascii="Times New Roman" w:hAnsi="Times New Roman"/>
          <w:color w:val="262626"/>
          <w:sz w:val="22"/>
        </w:rPr>
        <w:t>$$X_t = [x_{t-W+1}, x_{t-W+2}, \dots, x_t] \in \mathbb{R}^{W \times D}$$</w:t>
      </w:r>
    </w:p>
    <w:p>
      <w:pPr>
        <w:spacing w:before="40" w:after="100" w:line="276" w:lineRule="auto"/>
      </w:pPr>
      <w:r>
        <w:rPr>
          <w:rFonts w:ascii="Times New Roman" w:hAnsi="Times New Roman"/>
          <w:color w:val="262626"/>
          <w:sz w:val="22"/>
        </w:rPr>
        <w:t>where $W$ denotes the sequence window length. The encoder LSTM sequentially processes the window, updating its hidden states $h_\tau$ and cell states $C_\tau$ across all $W$ timesteps. The final hidden state of the encoder encapsulates the temporal trajectory of the window into a fixed-length latent representation. The decoder LSTM subsequently unpacks this latent state, sequentially reconstructing the temporal sequence in reverse or forward chronological order.</w:t>
      </w:r>
    </w:p>
    <w:p>
      <w:pPr>
        <w:spacing w:before="40" w:after="100" w:line="276" w:lineRule="auto"/>
      </w:pPr>
      <w:r>
        <w:rPr>
          <w:rFonts w:ascii="Times New Roman" w:hAnsi="Times New Roman"/>
          <w:color w:val="262626"/>
          <w:sz w:val="22"/>
        </w:rPr>
        <w:t>Park et al. (2018) applied LSTM Autoencoders to multi-modal industrial robot telemetry, demonstrating that recurrent architectures significantly outperform static feedforward autoencoders in identifying subtle mechanical anomalies characterized by temporal phase shifts and velocity variations. Kieu et al. (2019) extended this framework by exploring recurrent autoencoder ensembles to stabilize reconstruction errors across noisy industrial sensor channels.</w:t>
      </w:r>
    </w:p>
    <w:p>
      <w:pPr>
        <w:spacing w:before="40" w:after="100" w:line="276" w:lineRule="auto"/>
      </w:pPr>
      <w:r>
        <w:rPr>
          <w:rFonts w:ascii="Times New Roman" w:hAnsi="Times New Roman"/>
          <w:color w:val="262626"/>
          <w:sz w:val="22"/>
        </w:rPr>
        <w:t>The prevailing hypothesis in the literature is that because physical machinery degrades continuously over time, modeling the temporal evolution of sensor readings via recurrent gating mechanisms is strictly necessary to achieve state-of-the-art anomaly detection and provide early failure warnings.</w:t>
      </w:r>
    </w:p>
    <w:p>
      <w:pPr>
        <w:keepNext/>
        <w:spacing w:before="240" w:after="80"/>
      </w:pPr>
      <w:r>
        <w:rPr>
          <w:rFonts w:ascii="Times New Roman" w:hAnsi="Times New Roman"/>
          <w:b/>
          <w:color w:val="2E75B6"/>
          <w:sz w:val="28"/>
        </w:rPr>
        <w:t>2.5 The NASA C-MAPSS Benchmark in Literature</w:t>
      </w:r>
    </w:p>
    <w:p>
      <w:pPr>
        <w:spacing w:before="40" w:after="100" w:line="276" w:lineRule="auto"/>
      </w:pPr>
      <w:r>
        <w:rPr>
          <w:rFonts w:ascii="Times New Roman" w:hAnsi="Times New Roman"/>
          <w:color w:val="262626"/>
          <w:sz w:val="22"/>
        </w:rPr>
        <w:t>To evaluate condition monitoring and prognostic algorithms, the NASA Prognostics Center of Excellence released the Commercial Modular Aero-Propulsion System Simulation (C-MAPSS) dataset, developed by Saxena et al. (2008). Simulating the complete thermodynamic and mechanical cycle of large commercial turbofan aircraft engines (nominally 90,000 lb thrust class), C-MAPSS provides high-fidelity, run-to-failure telemetry recorded across four distinct operating configurations.</w:t>
      </w:r>
    </w:p>
    <w:p>
      <w:pPr>
        <w:spacing w:before="40" w:after="100" w:line="276" w:lineRule="auto"/>
      </w:pPr>
      <w:r>
        <w:rPr>
          <w:rFonts w:ascii="Times New Roman" w:hAnsi="Times New Roman"/>
          <w:color w:val="262626"/>
          <w:sz w:val="22"/>
        </w:rPr>
        <w:t>In their seminal work introducing the dataset, Saxena et al. (2008) established C-MAPSS as the definitive benchmark for evaluating damage propagation models under realistic operational variability. Since its release, hundreds of papers have investigated data-driven prognostics on C-MAPSS.</w:t>
      </w:r>
    </w:p>
    <w:p>
      <w:pPr>
        <w:spacing w:before="40" w:after="100" w:line="276" w:lineRule="auto"/>
      </w:pPr>
      <w:r>
        <w:rPr>
          <w:rFonts w:ascii="Times New Roman" w:hAnsi="Times New Roman"/>
          <w:color w:val="262626"/>
          <w:sz w:val="22"/>
        </w:rPr>
        <w:t>Babu et al. (2016) presented one of the earliest deep learning investigations on C-MAPSS, applying deep Convolutional Neural Networks (CNN) to predict Remaining Useful Life, proving that automated representation learning could extract degradation features without manual feature engineering. Listou Ellefsen et al. (2019) developed semi-supervised deep architectures utilizing Restricted Boltzmann Machines (RBM) and deep autoencoders to extract health indicators on C-MAPSS prior to estimating failure horizons.</w:t>
      </w:r>
    </w:p>
    <w:p>
      <w:pPr>
        <w:spacing w:before="40" w:after="100" w:line="276" w:lineRule="auto"/>
      </w:pPr>
      <w:r>
        <w:rPr>
          <w:rFonts w:ascii="Times New Roman" w:hAnsi="Times New Roman"/>
          <w:color w:val="262626"/>
          <w:sz w:val="22"/>
        </w:rPr>
        <w:t>While the vast majority of C-MAPSS studies focus on supervised RUL regression, an active sub-field investigates unsupervised anomaly detection on C-MAPSS. Researchers evaluate whether algorithms trained on initial engine cycles can successfully identify the transition from healthy operation to the onset of degradation. Michau et al. (2022) investigated domain adaptation for unsupervised fault detection on C-MAPSS subsets FD002 and FD004, highlighting that multi-regime operating conditions introduce severe domain shift that causes uncalibrated anomaly detectors to fail.</w:t>
      </w:r>
    </w:p>
    <w:p>
      <w:pPr>
        <w:keepNext/>
        <w:spacing w:before="240" w:after="80"/>
      </w:pPr>
      <w:r>
        <w:rPr>
          <w:rFonts w:ascii="Times New Roman" w:hAnsi="Times New Roman"/>
          <w:b/>
          <w:color w:val="2E75B6"/>
          <w:sz w:val="28"/>
        </w:rPr>
        <w:t>2.6 Literature Synthesis and Comparative Matrix</w:t>
      </w:r>
    </w:p>
    <w:p>
      <w:pPr>
        <w:spacing w:before="40" w:after="100" w:line="276" w:lineRule="auto"/>
      </w:pPr>
      <w:r>
        <w:rPr>
          <w:rFonts w:ascii="Times New Roman" w:hAnsi="Times New Roman"/>
          <w:color w:val="262626"/>
          <w:sz w:val="22"/>
        </w:rPr>
        <w:t>Despite the extensive volume of published literature on predictive maintenance and the C-MAPSS benchmark, a critical review reveals substantial methodological divergence among published studies. Table 2.1 synthesizes key representative studies, categorizing their model archetypes, dataset subsets utilized, split protocols, thresholding methodologies, evaluation dimensions, and primary methodological limitations.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Study</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Model Archetypes Evaluated</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Datasets Used</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Data Split Protocol</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Threshold Selection Method</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Evaluation Dimensions</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Key Methodological Limitations</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Liu et al. (2008)</w:t>
            </w:r>
            <w:r>
              <w:rPr>
                <w:rFonts w:ascii="Times New Roman" w:hAnsi="Times New Roman"/>
                <w:color w:val="262626"/>
                <w:sz w:val="19"/>
              </w:rPr>
              <w:t xml:space="preserve"> [8]</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Isolation Forest</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Synthetic / Tabular</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Random observation split</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Contamination parameter $\alpha$</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Point-level ROC-AUC</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No temporal evaluation; evaluated solely on static tabular benchmarks.</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Malhotra et al. (2015)</w:t>
            </w:r>
            <w:r>
              <w:rPr>
                <w:rFonts w:ascii="Times New Roman" w:hAnsi="Times New Roman"/>
                <w:color w:val="262626"/>
                <w:sz w:val="19"/>
              </w:rPr>
              <w:t xml:space="preserve"> [3]</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LSTM Autoencoder</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ECG, Engine, Power</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Arbitrary contiguous blocks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Gaussian fit on normal errors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Point-level Precision, Recall, F1</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Lacks baseline comparisons (no IF or OC-SVM); threshold fitted post-hoc.</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Babu et al. (2016)</w:t>
            </w:r>
            <w:r>
              <w:rPr>
                <w:rFonts w:ascii="Times New Roman" w:hAnsi="Times New Roman"/>
                <w:color w:val="262626"/>
                <w:sz w:val="19"/>
              </w:rPr>
              <w:t xml:space="preserve"> [12]</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2D CNN (Supervised)</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C-MAPSS (FD001)</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Engine-level splits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N/A (Regression target)</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RMSE, Prognostic Score</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Fully supervised; requires ground-truth RUL labels unavailable in real PdM.</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Park et al. (2018)</w:t>
            </w:r>
            <w:r>
              <w:rPr>
                <w:rFonts w:ascii="Times New Roman" w:hAnsi="Times New Roman"/>
                <w:color w:val="262626"/>
                <w:sz w:val="19"/>
              </w:rPr>
              <w:t xml:space="preserve"> [4]</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Multimodal LSTM-AE</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Robotic manipulator</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Time-indexed test splits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Dynamic thresholding heuristic</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Detection delay, Point F1</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Domain-specific robot tasks; no multi-condition transfer analysis.</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Listou Ellefsen (2019)</w:t>
            </w:r>
            <w:r>
              <w:rPr>
                <w:rFonts w:ascii="Times New Roman" w:hAnsi="Times New Roman"/>
                <w:color w:val="262626"/>
                <w:sz w:val="19"/>
              </w:rPr>
              <w:t xml:space="preserve"> [14]</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Semi-supervised RBM-AE</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C-MAPSS (FD001-FD004)</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Engine-level splits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Supervised RUL mapping</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RUL RMSE, Score Metric</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Conflates anomaly detection with downstream supervised RUL prediction.</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Ding et al. (2019)</w:t>
            </w:r>
            <w:r>
              <w:rPr>
                <w:rFonts w:ascii="Times New Roman" w:hAnsi="Times New Roman"/>
                <w:color w:val="262626"/>
                <w:sz w:val="19"/>
              </w:rPr>
              <w:t xml:space="preserve"> [9]</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Streaming Isolation Forest</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Real-world telemetry</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Sequential observation blocks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Streaming percentile</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Point F1, Latency</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Relies on single-condition sensor streams; lacks deep learning comparison.</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Borghesi et al. (2019)</w:t>
            </w:r>
            <w:r>
              <w:rPr>
                <w:rFonts w:ascii="Times New Roman" w:hAnsi="Times New Roman"/>
                <w:color w:val="262626"/>
                <w:sz w:val="19"/>
              </w:rPr>
              <w:t xml:space="preserve"> [6]</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Fully Connected Autoencoder</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HPC telemetry</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Temporal block split</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Quantile threshold</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Point Precision, Recall</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No sequential recurrent modeling; threshold selected on test split.</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Schmidl et al. (2022)</w:t>
            </w:r>
            <w:r>
              <w:rPr>
                <w:rFonts w:ascii="Times New Roman" w:hAnsi="Times New Roman"/>
                <w:color w:val="262626"/>
                <w:sz w:val="19"/>
              </w:rPr>
              <w:t xml:space="preserve"> [16]</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15 Classical &amp; DL models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71 Time-Series Benchmarks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Varying / Non-standard</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Oracle best-F1 sweep</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Point ROC-AUC, PR-AUC</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Evaluates on test labels (oracle threshold); omits industrial lead-time analysis.</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Michau et al. (2022)</w:t>
            </w:r>
            <w:r>
              <w:rPr>
                <w:rFonts w:ascii="Times New Roman" w:hAnsi="Times New Roman"/>
                <w:color w:val="262626"/>
                <w:sz w:val="19"/>
              </w:rPr>
              <w:t xml:space="preserve"> [15]</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Adversarial AE / DA</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C-MAPSS (FD002, FD004)</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Engine-level splits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Unsupervised extreme value</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Detection Rate, Delay</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Complex adversarial training; lacks simple statistical/classical baselines.</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Darban et al. (2024)</w:t>
            </w:r>
            <w:r>
              <w:rPr>
                <w:rFonts w:ascii="Times New Roman" w:hAnsi="Times New Roman"/>
                <w:color w:val="262626"/>
                <w:sz w:val="19"/>
              </w:rPr>
              <w:t xml:space="preserve"> [1]</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Comprehensive DL Survey</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General Time-Series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Diverse literature survey</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Diverse across surveyed papers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Taxonomic categorization</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Literature survey only; no unified empirical re-implementation or testing.</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This Thesis (2026)</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Statistical, IF, OC-SVM, FC-AE, LSTM-AE</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C-MAPSS (FD001 to FD004)</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Strict Engine-level (70/15/15)</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7 Strategies (Validation ONLY)</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F1, AUC, Lead Time, Compute, Transfer</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Evaluated on simulated turbofan benchmark; offline batch evaluation.</w:t>
            </w:r>
          </w:p>
        </w:tc>
      </w:tr>
    </w:tbl>
    <w:p>
      <w:pPr>
        <w:spacing w:before="80" w:after="120"/>
      </w:pPr>
    </w:p>
    <w:p>
      <w:pPr>
        <w:spacing w:before="40" w:after="100" w:line="276" w:lineRule="auto"/>
      </w:pPr>
      <w:r>
        <w:rPr>
          <w:rFonts w:ascii="Times New Roman" w:hAnsi="Times New Roman"/>
          <w:i/>
          <w:color w:val="262626"/>
          <w:sz w:val="22"/>
        </w:rPr>
        <w:t>Table 2.1: Comprehensive literature matrix comparing representative anomaly detection and predictive maintenance studies.</w:t>
      </w:r>
    </w:p>
    <w:p>
      <w:pPr>
        <w:spacing w:before="40" w:after="100" w:line="276" w:lineRule="auto"/>
      </w:pPr>
      <w:r>
        <w:rPr>
          <w:rFonts w:ascii="Times New Roman" w:hAnsi="Times New Roman"/>
          <w:color w:val="262626"/>
          <w:sz w:val="22"/>
        </w:rPr>
        <w:t>As demonstrated in Table 2.1, the existing literature is characterized by significant fragmentation: studies either focus exclusively on deep learning while omitting tuned classical baselines, utilize oracle thresholding tuned on test labels, evaluate on isolated dataset subsets without testing multi-condition robustness, or report solely aggregate point metrics while completely ignoring industrial early-warning lead times.</w:t>
      </w:r>
    </w:p>
    <w:p>
      <w:pPr>
        <w:spacing w:before="120" w:after="120"/>
      </w:pPr>
      <w:r>
        <w:rPr>
          <w:color w:val="BDC3C7"/>
          <w:sz w:val="16"/>
        </w:rPr>
        <w:t>―――――――――――――――――――――――――――――――――――――――――――――――――――――――</w:t>
      </w:r>
    </w:p>
    <w:p>
      <w:pPr>
        <w:keepNext/>
        <w:spacing w:before="320" w:after="120"/>
      </w:pPr>
      <w:r>
        <w:rPr>
          <w:rFonts w:ascii="Times New Roman" w:hAnsi="Times New Roman"/>
          <w:b/>
          <w:color w:val="1F4E79"/>
          <w:sz w:val="36"/>
        </w:rPr>
        <w:t>Chapter 3: Research Gap and Research Questions</w:t>
      </w:r>
    </w:p>
    <w:p>
      <w:pPr>
        <w:keepNext/>
        <w:spacing w:before="240" w:after="80"/>
      </w:pPr>
      <w:r>
        <w:rPr>
          <w:rFonts w:ascii="Times New Roman" w:hAnsi="Times New Roman"/>
          <w:b/>
          <w:color w:val="2E75B6"/>
          <w:sz w:val="28"/>
        </w:rPr>
        <w:t>3.1 Identification of Methodological Deficits in Current Research</w:t>
      </w:r>
    </w:p>
    <w:p>
      <w:pPr>
        <w:spacing w:before="40" w:after="100" w:line="276" w:lineRule="auto"/>
      </w:pPr>
      <w:r>
        <w:rPr>
          <w:rFonts w:ascii="Times New Roman" w:hAnsi="Times New Roman"/>
          <w:color w:val="262626"/>
          <w:sz w:val="22"/>
        </w:rPr>
        <w:t>Building upon the synthesized literature, an evidence-based audit of current predictive maintenance research reveals six widespread methodological deficits:</w:t>
      </w:r>
    </w:p>
    <w:p>
      <w:pPr>
        <w:pStyle w:val="ListNumber"/>
        <w:spacing w:before="30" w:after="30" w:line="276" w:lineRule="auto"/>
      </w:pPr>
      <w:r>
        <w:rPr>
          <w:rFonts w:ascii="Times New Roman" w:hAnsi="Times New Roman"/>
          <w:b/>
          <w:color w:val="262626"/>
          <w:sz w:val="22"/>
        </w:rPr>
        <w:t>Architectural Hype Without Strong Classical Baselines:</w:t>
      </w:r>
      <w:r>
        <w:rPr>
          <w:rFonts w:ascii="Times New Roman" w:hAnsi="Times New Roman"/>
          <w:color w:val="262626"/>
          <w:sz w:val="22"/>
        </w:rPr>
        <w:t xml:space="preserve"> The overwhelming majority of recently published deep learning papers benchmark their novel recurrent, attention, or generative models exclusively against other deep learning variants or against un-tuned, naive strawman baselines. It is exceedingly rare to find a study that evaluates a state-of-the-art LSTM-AE side-by-side against a meticulously tuned Statistical Z-score baseline, Isolation Forest, and One-Class SVM under identical data preprocessing, normalization, and threshold calibration protocols.</w:t>
      </w:r>
    </w:p>
    <w:p>
      <w:pPr>
        <w:pStyle w:val="ListNumber"/>
        <w:spacing w:before="30" w:after="30" w:line="276" w:lineRule="auto"/>
      </w:pPr>
      <w:r>
        <w:rPr>
          <w:rFonts w:ascii="Times New Roman" w:hAnsi="Times New Roman"/>
          <w:b/>
          <w:color w:val="262626"/>
          <w:sz w:val="22"/>
        </w:rPr>
        <w:t>The "Aggregate Metric" Trap and Absence of Lead-Time Analysis:</w:t>
      </w:r>
      <w:r>
        <w:rPr>
          <w:rFonts w:ascii="Times New Roman" w:hAnsi="Times New Roman"/>
          <w:color w:val="262626"/>
          <w:sz w:val="22"/>
        </w:rPr>
        <w:t xml:space="preserve"> Standard machine learning evaluations report dataset-wide classification metrics: precision, recall, macro-F1, and ROC-AUC computed across all combined timesteps of the test set. However, in an industrial predictive maintenance context, an anomaly detector's operational value is not determined by its ability to classify arbitrary individual cycles correctly. A model that achieves an F1-score of 0.90 but only triggers its first alarm 3 cycles before physical engine blowout offers near-zero actionable value to an industrial plant operator. Conversely, a model with an F1-score of 0.50 that provides sustained, reliable warning 60 cycles in advance enables timely scheduling of maintenance shifts, sparing millions of dollars in downtime. Current literature rarely measures the empirical distribution of detection lead times at the individual machine level.</w:t>
      </w:r>
    </w:p>
    <w:p>
      <w:pPr>
        <w:pStyle w:val="ListNumber"/>
        <w:spacing w:before="30" w:after="30" w:line="276" w:lineRule="auto"/>
      </w:pPr>
      <w:r>
        <w:rPr>
          <w:rFonts w:ascii="Times New Roman" w:hAnsi="Times New Roman"/>
          <w:b/>
          <w:color w:val="262626"/>
          <w:sz w:val="22"/>
        </w:rPr>
        <w:t>Pervasive Experimental Data Leakage:</w:t>
      </w:r>
      <w:r>
        <w:rPr>
          <w:rFonts w:ascii="Times New Roman" w:hAnsi="Times New Roman"/>
          <w:color w:val="262626"/>
          <w:sz w:val="22"/>
        </w:rPr>
        <w:t xml:space="preserve"> High reported accuracy in academic literature is frequently an artifact of subtle, undocumented data leakage:</w:t>
      </w:r>
    </w:p>
    <w:p>
      <w:pPr>
        <w:pStyle w:val="ListBullet"/>
        <w:spacing w:before="30" w:after="30" w:line="276" w:lineRule="auto"/>
      </w:pPr>
      <w:r>
        <w:rPr>
          <w:rFonts w:ascii="Times New Roman" w:hAnsi="Times New Roman"/>
          <w:i/>
          <w:color w:val="262626"/>
          <w:sz w:val="22"/>
        </w:rPr>
        <w:t>Split-level leakage:</w:t>
      </w:r>
      <w:r>
        <w:rPr>
          <w:rFonts w:ascii="Times New Roman" w:hAnsi="Times New Roman"/>
          <w:color w:val="262626"/>
          <w:sz w:val="22"/>
        </w:rPr>
        <w:t xml:space="preserve"> Partitioning data randomly by timestep rather than by machine entity. In time-series data from degrading systems, random observation splitting allows models to train on cycle $t+1$ and test on cycle $t$, completely invalidating the temporal independence assumption.</w:t>
      </w:r>
    </w:p>
    <w:p>
      <w:pPr>
        <w:pStyle w:val="ListBullet"/>
        <w:spacing w:before="30" w:after="30" w:line="276" w:lineRule="auto"/>
      </w:pPr>
      <w:r>
        <w:rPr>
          <w:rFonts w:ascii="Times New Roman" w:hAnsi="Times New Roman"/>
          <w:i/>
          <w:color w:val="262626"/>
          <w:sz w:val="22"/>
        </w:rPr>
        <w:t>Preprocessing leakage:</w:t>
      </w:r>
      <w:r>
        <w:rPr>
          <w:rFonts w:ascii="Times New Roman" w:hAnsi="Times New Roman"/>
          <w:color w:val="262626"/>
          <w:sz w:val="22"/>
        </w:rPr>
        <w:t xml:space="preserve"> Fitting normalization scalers (StandardScaler or MinMaxScaler) across the entire concatenated dataset (combining training, validation, and test splits). In real-world deployments, test telemetry from future unseen engines is completely inaccessible at calibration time.</w:t>
      </w:r>
    </w:p>
    <w:p>
      <w:pPr>
        <w:pStyle w:val="ListBullet"/>
        <w:spacing w:before="30" w:after="30" w:line="276" w:lineRule="auto"/>
      </w:pPr>
      <w:r>
        <w:rPr>
          <w:rFonts w:ascii="Times New Roman" w:hAnsi="Times New Roman"/>
          <w:i/>
          <w:color w:val="262626"/>
          <w:sz w:val="22"/>
        </w:rPr>
        <w:t>Threshold snooping:</w:t>
      </w:r>
      <w:r>
        <w:rPr>
          <w:rFonts w:ascii="Times New Roman" w:hAnsi="Times New Roman"/>
          <w:color w:val="262626"/>
          <w:sz w:val="22"/>
        </w:rPr>
        <w:t xml:space="preserve"> Tuning anomaly decision thresholds post-hoc directly on the test set to maximize the test F1-score (so-called "oracle thresholding"). In production, the threshold must be selected a priori using only historical validation telemetry.</w:t>
      </w:r>
    </w:p>
    <w:p>
      <w:pPr>
        <w:pStyle w:val="ListNumber"/>
        <w:spacing w:before="30" w:after="30" w:line="276" w:lineRule="auto"/>
      </w:pPr>
      <w:r>
        <w:rPr>
          <w:rFonts w:ascii="Times New Roman" w:hAnsi="Times New Roman"/>
          <w:b/>
          <w:color w:val="262626"/>
          <w:sz w:val="22"/>
        </w:rPr>
        <w:t>Sub-Dataset Cherry-Picking and Single-Condition Overfitting:</w:t>
      </w:r>
      <w:r>
        <w:rPr>
          <w:rFonts w:ascii="Times New Roman" w:hAnsi="Times New Roman"/>
          <w:color w:val="262626"/>
          <w:sz w:val="22"/>
        </w:rPr>
        <w:t xml:space="preserve"> A substantial portion of published C-MAPSS literature reports results exclusively on subset FD001—the simplest scenario featuring a single constant operating condition and a single fault mode. Studies that claim generalizability rarely evaluate whether a model trained on single-condition telemetry can transfer to multi-condition environments (FD002/FD004) without total performance collapse.</w:t>
      </w:r>
    </w:p>
    <w:p>
      <w:pPr>
        <w:pStyle w:val="ListNumber"/>
        <w:spacing w:before="30" w:after="30" w:line="276" w:lineRule="auto"/>
      </w:pPr>
      <w:r>
        <w:rPr>
          <w:rFonts w:ascii="Times New Roman" w:hAnsi="Times New Roman"/>
          <w:b/>
          <w:color w:val="262626"/>
          <w:sz w:val="22"/>
        </w:rPr>
        <w:t>Absence of Statistical Rigor and Multi-Seed Replication:</w:t>
      </w:r>
      <w:r>
        <w:rPr>
          <w:rFonts w:ascii="Times New Roman" w:hAnsi="Times New Roman"/>
          <w:color w:val="262626"/>
          <w:sz w:val="22"/>
        </w:rPr>
        <w:t xml:space="preserve"> Deep neural networks are highly sensitive to stochastic optimization dynamics, weight initialization, and data shuffling. Yet, most published papers report metrics derived from a single experimental training run without confidence intervals, standard deviations, or formal statistical significance testing (such as Wilcoxon signed-rank or paired t-tests). Consequently, reported performance improvements of 1% to 3% may be entirely attributable to random seed variation.</w:t>
      </w:r>
    </w:p>
    <w:p>
      <w:pPr>
        <w:pStyle w:val="ListNumber"/>
        <w:spacing w:before="30" w:after="30" w:line="276" w:lineRule="auto"/>
      </w:pPr>
      <w:r>
        <w:rPr>
          <w:rFonts w:ascii="Times New Roman" w:hAnsi="Times New Roman"/>
          <w:b/>
          <w:color w:val="262626"/>
          <w:sz w:val="22"/>
        </w:rPr>
        <w:t>Disregard for Computational Constraints and Edge Hardware Realities:</w:t>
      </w:r>
      <w:r>
        <w:rPr>
          <w:rFonts w:ascii="Times New Roman" w:hAnsi="Times New Roman"/>
          <w:color w:val="262626"/>
          <w:sz w:val="22"/>
        </w:rPr>
        <w:t xml:space="preserve"> Authors frequently advocate for complex deep architectures without reporting training durations, parameter footprints, or per-sample inference latencies. For industrial IoT deployments on low-power edge compute gateways with no GPU hardware, these computational overheads represent critical deployment bottlenecks.</w:t>
      </w:r>
    </w:p>
    <w:p>
      <w:pPr>
        <w:keepNext/>
        <w:spacing w:before="240" w:after="80"/>
      </w:pPr>
      <w:r>
        <w:rPr>
          <w:rFonts w:ascii="Times New Roman" w:hAnsi="Times New Roman"/>
          <w:b/>
          <w:color w:val="2E75B6"/>
          <w:sz w:val="28"/>
        </w:rPr>
        <w:t>3.2 Refinement of the Core Research Gap</w:t>
      </w:r>
    </w:p>
    <w:p>
      <w:pPr>
        <w:spacing w:before="40" w:after="100" w:line="276" w:lineRule="auto"/>
      </w:pPr>
      <w:r>
        <w:rPr>
          <w:rFonts w:ascii="Times New Roman" w:hAnsi="Times New Roman"/>
          <w:color w:val="262626"/>
          <w:sz w:val="22"/>
        </w:rPr>
        <w:t>Synthesizing these observations, the core research gap addressed by this thesis is formulated:</w:t>
      </w:r>
    </w:p>
    <w:tbl>
      <w:tblPr>
        <w:tblW w:type="auto" w:w="0"/>
        <w:jc w:val="center"/>
        <w:tblLook w:firstColumn="1" w:firstRow="1" w:lastColumn="0" w:lastRow="0" w:noHBand="0" w:noVBand="1" w:val="04A0"/>
      </w:tblPr>
      <w:tblGrid>
        <w:gridCol w:w="9360"/>
      </w:tblGrid>
      <w:tr>
        <w:tc>
          <w:tcPr>
            <w:tcW w:type="dxa" w:w="9360"/>
            <w:shd w:fill="EBF3FA"/>
            <w:tcMar>
              <w:top w:w="80" w:type="dxa"/>
              <w:bottom w:w="80" w:type="dxa"/>
              <w:left w:w="140" w:type="dxa"/>
              <w:right w:w="140" w:type="dxa"/>
            </w:tcMar>
          </w:tcPr>
          <w:p>
            <w:pPr>
              <w:spacing w:before="40" w:after="40"/>
            </w:pPr>
            <w:r>
              <w:rPr>
                <w:rFonts w:ascii="Times New Roman" w:hAnsi="Times New Roman"/>
                <w:b/>
                <w:i/>
                <w:color w:val="1F4E79"/>
                <w:sz w:val="20"/>
              </w:rPr>
              <w:t>While individual aspects of unsupervised anomaly detection for predictive maintenance (such as deep model design, baseline comparison, threshold calibration, and domain shift) have each been explored in isolation, the literature lacks a unified, methodologically rigorous empirical study that systematically evaluates classical machine learning and deep learning architectures side-by-side under an identical, leak-free framework across the complete C-MAPSS benchmark, explicitly analyzing point classification accuracy, engine-level early warning lead times, threshold sensitivity, cross-condition transferability, and computational complexity on constrained CPU hardware.</w:t>
            </w:r>
          </w:p>
        </w:tc>
      </w:tr>
    </w:tbl>
    <w:p>
      <w:pPr>
        <w:keepNext/>
        <w:spacing w:before="240" w:after="80"/>
      </w:pPr>
      <w:r>
        <w:rPr>
          <w:rFonts w:ascii="Times New Roman" w:hAnsi="Times New Roman"/>
          <w:b/>
          <w:color w:val="2E75B6"/>
          <w:sz w:val="28"/>
        </w:rPr>
        <w:t>3.3 Formulation of Research Questions (RQ1 – RQ7)</w:t>
      </w:r>
    </w:p>
    <w:p>
      <w:pPr>
        <w:spacing w:before="40" w:after="100" w:line="276" w:lineRule="auto"/>
      </w:pPr>
      <w:r>
        <w:rPr>
          <w:rFonts w:ascii="Times New Roman" w:hAnsi="Times New Roman"/>
          <w:color w:val="262626"/>
          <w:sz w:val="22"/>
        </w:rPr>
        <w:t>To systematically address this defined research gap, this thesis formulates one Primary Research Question and seven Secondary Research Questions:</w:t>
      </w:r>
    </w:p>
    <w:p>
      <w:pPr>
        <w:keepNext/>
        <w:spacing w:before="200" w:after="60"/>
      </w:pPr>
      <w:r>
        <w:rPr>
          <w:rFonts w:ascii="Times New Roman" w:hAnsi="Times New Roman"/>
          <w:b/>
          <w:color w:val="1F4E79"/>
          <w:sz w:val="24"/>
        </w:rPr>
        <w:t>Primary Research Question (PRQ)</w:t>
      </w:r>
    </w:p>
    <w:tbl>
      <w:tblPr>
        <w:tblW w:type="auto" w:w="0"/>
        <w:jc w:val="center"/>
        <w:tblLook w:firstColumn="1" w:firstRow="1" w:lastColumn="0" w:lastRow="0" w:noHBand="0" w:noVBand="1" w:val="04A0"/>
      </w:tblPr>
      <w:tblGrid>
        <w:gridCol w:w="9360"/>
      </w:tblGrid>
      <w:tr>
        <w:tc>
          <w:tcPr>
            <w:tcW w:type="dxa" w:w="9360"/>
            <w:shd w:fill="EBF3FA"/>
            <w:tcMar>
              <w:top w:w="80" w:type="dxa"/>
              <w:bottom w:w="80" w:type="dxa"/>
              <w:left w:w="140" w:type="dxa"/>
              <w:right w:w="140" w:type="dxa"/>
            </w:tcMar>
          </w:tcPr>
          <w:p>
            <w:pPr>
              <w:spacing w:before="40" w:after="40"/>
            </w:pPr>
            <w:r>
              <w:rPr>
                <w:rFonts w:ascii="Times New Roman" w:hAnsi="Times New Roman"/>
                <w:b/>
                <w:i/>
                <w:color w:val="1F4E79"/>
                <w:sz w:val="20"/>
              </w:rPr>
              <w:t>To what extent do unsupervised anomaly detection methods differ in their ability to identify machine degradation and provide early failure warnings in multivariate industrial sensor telemetry, when evaluated under a unified, methodologically rigorous framework with strict leakage prevention?</w:t>
            </w:r>
          </w:p>
        </w:tc>
      </w:tr>
    </w:tbl>
    <w:p>
      <w:pPr>
        <w:spacing w:before="120" w:after="120"/>
      </w:pPr>
      <w:r>
        <w:rPr>
          <w:color w:val="BDC3C7"/>
          <w:sz w:val="16"/>
        </w:rPr>
        <w:t>―――――――――――――――――――――――――――――――――――――――――――――――――――――――</w:t>
      </w:r>
    </w:p>
    <w:p>
      <w:pPr>
        <w:keepNext/>
        <w:spacing w:before="200" w:after="60"/>
      </w:pPr>
      <w:r>
        <w:rPr>
          <w:rFonts w:ascii="Times New Roman" w:hAnsi="Times New Roman"/>
          <w:b/>
          <w:color w:val="1F4E79"/>
          <w:sz w:val="24"/>
        </w:rPr>
        <w:t>RQ1: Classical Baselines vs. Deep Learning Under Fair Conditions</w:t>
      </w:r>
    </w:p>
    <w:p>
      <w:pPr>
        <w:spacing w:before="40" w:after="100" w:line="276" w:lineRule="auto"/>
      </w:pPr>
      <w:r>
        <w:rPr>
          <w:rFonts w:ascii="Times New Roman" w:hAnsi="Times New Roman"/>
          <w:i/>
          <w:color w:val="262626"/>
          <w:sz w:val="22"/>
        </w:rPr>
        <w:t>When Statistical Z-score, Isolation Forest, One-Class SVM, Fully Connected Autoencoders, and LSTM Autoencoders are evaluated under strictly identical data splits, training-only normalization, validation-only threshold tuning, and standardized metrics, how do classical baselines compare against deep learning architectures on single-condition turbofan degradation (FD001)?</w:t>
      </w:r>
    </w:p>
    <w:p>
      <w:pPr>
        <w:keepNext/>
        <w:spacing w:before="200" w:after="60"/>
      </w:pPr>
      <w:r>
        <w:rPr>
          <w:rFonts w:ascii="Times New Roman" w:hAnsi="Times New Roman"/>
          <w:b/>
          <w:color w:val="1F4E79"/>
          <w:sz w:val="24"/>
        </w:rPr>
        <w:t>RQ2: Efficacy of Explicit Temporal Modeling</w:t>
      </w:r>
    </w:p>
    <w:p>
      <w:pPr>
        <w:spacing w:before="40" w:after="100" w:line="276" w:lineRule="auto"/>
      </w:pPr>
      <w:r>
        <w:rPr>
          <w:rFonts w:ascii="Times New Roman" w:hAnsi="Times New Roman"/>
          <w:i/>
          <w:color w:val="262626"/>
          <w:sz w:val="22"/>
        </w:rPr>
        <w:t>Does an LSTM Autoencoder, which explicitly models temporal dependencies across sliding sequence windows, capture mechanical degradation patterns more effectively than a static Fully Connected Autoencoder that treats individual timesteps independently, and does this temporal capability translate to higher detection accuracy?</w:t>
      </w:r>
    </w:p>
    <w:p>
      <w:pPr>
        <w:keepNext/>
        <w:spacing w:before="200" w:after="60"/>
      </w:pPr>
      <w:r>
        <w:rPr>
          <w:rFonts w:ascii="Times New Roman" w:hAnsi="Times New Roman"/>
          <w:b/>
          <w:color w:val="1F4E79"/>
          <w:sz w:val="24"/>
        </w:rPr>
        <w:t>RQ3: Robustness Across Operating Conditions and Fault Modes</w:t>
      </w:r>
    </w:p>
    <w:p>
      <w:pPr>
        <w:spacing w:before="40" w:after="100" w:line="276" w:lineRule="auto"/>
      </w:pPr>
      <w:r>
        <w:rPr>
          <w:rFonts w:ascii="Times New Roman" w:hAnsi="Times New Roman"/>
          <w:i/>
          <w:color w:val="262626"/>
          <w:sz w:val="22"/>
        </w:rPr>
        <w:t>How does the detection fidelity of each method change when transitioning from single-condition, single-fault data (FD001) to multi-regime operating conditions (FD002), multi-fault modes (FD003), and combined complex environments (FD004)?</w:t>
      </w:r>
    </w:p>
    <w:p>
      <w:pPr>
        <w:keepNext/>
        <w:spacing w:before="200" w:after="60"/>
      </w:pPr>
      <w:r>
        <w:rPr>
          <w:rFonts w:ascii="Times New Roman" w:hAnsi="Times New Roman"/>
          <w:b/>
          <w:color w:val="1F4E79"/>
          <w:sz w:val="24"/>
        </w:rPr>
        <w:t>RQ4: Early Warning Capability and Detection Lead Time</w:t>
      </w:r>
    </w:p>
    <w:p>
      <w:pPr>
        <w:spacing w:before="40" w:after="100" w:line="276" w:lineRule="auto"/>
      </w:pPr>
      <w:r>
        <w:rPr>
          <w:rFonts w:ascii="Times New Roman" w:hAnsi="Times New Roman"/>
          <w:i/>
          <w:color w:val="262626"/>
          <w:sz w:val="22"/>
        </w:rPr>
        <w:t>How many operational cycles prior to catastrophic functional failure does each method trigger its first sustained anomaly warning, how does this lead time distribute across individual engines, and does higher point-in-time classification accuracy correlate with longer advance warning?</w:t>
      </w:r>
    </w:p>
    <w:p>
      <w:pPr>
        <w:keepNext/>
        <w:spacing w:before="200" w:after="60"/>
      </w:pPr>
      <w:r>
        <w:rPr>
          <w:rFonts w:ascii="Times New Roman" w:hAnsi="Times New Roman"/>
          <w:b/>
          <w:color w:val="1F4E79"/>
          <w:sz w:val="24"/>
        </w:rPr>
        <w:t>RQ5: Sensitivity and False Alarm Trade-offs Across Threshold Strategies</w:t>
      </w:r>
    </w:p>
    <w:p>
      <w:pPr>
        <w:spacing w:before="40" w:after="100" w:line="276" w:lineRule="auto"/>
      </w:pPr>
      <w:r>
        <w:rPr>
          <w:rFonts w:ascii="Times New Roman" w:hAnsi="Times New Roman"/>
          <w:i/>
          <w:color w:val="262626"/>
          <w:sz w:val="22"/>
        </w:rPr>
        <w:t>How does the selection of anomaly scoring thresholds (ranging across validation percentiles, parametric Gaussian limits, interquartile ranges, extreme value theory, and validation-optimized F1) influence the trade-off between detection sensitivity and false alarm rates for classical versus deep models?</w:t>
      </w:r>
    </w:p>
    <w:p>
      <w:pPr>
        <w:keepNext/>
        <w:spacing w:before="200" w:after="60"/>
      </w:pPr>
      <w:r>
        <w:rPr>
          <w:rFonts w:ascii="Times New Roman" w:hAnsi="Times New Roman"/>
          <w:b/>
          <w:color w:val="1F4E79"/>
          <w:sz w:val="24"/>
        </w:rPr>
        <w:t>RQ6: Generalization and Cross-Condition Transferability</w:t>
      </w:r>
    </w:p>
    <w:p>
      <w:pPr>
        <w:spacing w:before="40" w:after="100" w:line="276" w:lineRule="auto"/>
      </w:pPr>
      <w:r>
        <w:rPr>
          <w:rFonts w:ascii="Times New Roman" w:hAnsi="Times New Roman"/>
          <w:i/>
          <w:color w:val="262626"/>
          <w:sz w:val="22"/>
        </w:rPr>
        <w:t>When an anomaly detection model trained exclusively on simple, single-condition telemetry (FD001) is deployed in a zero-shot transfer setting onto multi-condition data (FD002) or multi-fault data (FD003) without retraining, how severe is the resulting performance degradation across classical and deep architectures?</w:t>
      </w:r>
    </w:p>
    <w:p>
      <w:pPr>
        <w:keepNext/>
        <w:spacing w:before="200" w:after="60"/>
      </w:pPr>
      <w:r>
        <w:rPr>
          <w:rFonts w:ascii="Times New Roman" w:hAnsi="Times New Roman"/>
          <w:b/>
          <w:color w:val="1F4E79"/>
          <w:sz w:val="24"/>
        </w:rPr>
        <w:t>RQ7: Return on Computational Complexity</w:t>
      </w:r>
    </w:p>
    <w:p>
      <w:pPr>
        <w:spacing w:before="40" w:after="100" w:line="276" w:lineRule="auto"/>
      </w:pPr>
      <w:r>
        <w:rPr>
          <w:rFonts w:ascii="Times New Roman" w:hAnsi="Times New Roman"/>
          <w:i/>
          <w:color w:val="262626"/>
          <w:sz w:val="22"/>
        </w:rPr>
        <w:t>Does the marginal detection performance or advance warning gained from complex deep learning models (FC-AE and LSTM-AE) justify their computational overhead in parameter counts, training latency, and inference execution time when evaluated on realistic, CPU-only edge hardware?</w:t>
      </w:r>
    </w:p>
    <w:p>
      <w:pPr>
        <w:keepNext/>
        <w:spacing w:before="240" w:after="80"/>
      </w:pPr>
      <w:r>
        <w:rPr>
          <w:rFonts w:ascii="Times New Roman" w:hAnsi="Times New Roman"/>
          <w:b/>
          <w:color w:val="2E75B6"/>
          <w:sz w:val="28"/>
        </w:rPr>
        <w:t>3.4 Mapping of Research Questions to Empirical Hypotheses</w:t>
      </w:r>
    </w:p>
    <w:p>
      <w:pPr>
        <w:spacing w:before="40" w:after="100" w:line="276" w:lineRule="auto"/>
      </w:pPr>
      <w:r>
        <w:rPr>
          <w:rFonts w:ascii="Times New Roman" w:hAnsi="Times New Roman"/>
          <w:color w:val="262626"/>
          <w:sz w:val="22"/>
        </w:rPr>
        <w:t>Table 3.1 delineates the structural mapping between each formulated research question, the corresponding empirical investigation, target dataset partitions, key performance indicators, and specific ablation studies.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Research Question</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Primary Investigation</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Target Dataset(s)</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Key Performance Indicators</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Experimental Control / Ablation</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RQ1: Baseline vs DL</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Fair Model Comparison</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FD001</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F1-Score, ROC-AUC, PR-AUC, Precision, Recall</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Identical engine splits, 5 seeds, paired tests</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RQ2: Temporal Modeling</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Temporal vs Static AE</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FD001</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ROC-AUC, Trajectory Smoothness, Lead Time</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Window length sweep ($W \in \{10, 20, 30, 50\}$)</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RQ3: Operating Conditions</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Environmental Complexity</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FD001, FD002, FD003, FD004</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Subset ROC-AUC, Subset F1-Score</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Single vs Multi-Condition, 1 vs 2 Faults</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RQ4: Early Warning</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Detection Lead Time</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FD001</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Mean Lead Time, Boxplot Variance, False Alarm Rate</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Persistence filter window ($k \in \{1, 3, 5, 10\}$)</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RQ5: Thresholding</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Sensitivity &amp; False Alarms</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FD001</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Precision-Recall Curves, False Positive Rate</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7 distinct threshold calibration strategies</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RQ6: Generalization</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Zero-Shot Domain Transfer</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FD001 $\rightarrow$ FD002, FD001 $\rightarrow$ FD003</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Transfer AUC degradation ($\Delta \text{AUC}$)</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Regime clustering, sensor feature subsets</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RQ7: Complexity</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Computational Audit</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FD001</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Parameter Count, Train Time (s), Latency (ms)</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Constrained CPU hardware (i7-1165G7)</w:t>
            </w:r>
          </w:p>
        </w:tc>
      </w:tr>
    </w:tbl>
    <w:p>
      <w:pPr>
        <w:spacing w:before="80" w:after="120"/>
      </w:pPr>
    </w:p>
    <w:p>
      <w:pPr>
        <w:spacing w:before="40" w:after="100" w:line="276" w:lineRule="auto"/>
      </w:pPr>
      <w:r>
        <w:rPr>
          <w:rFonts w:ascii="Times New Roman" w:hAnsi="Times New Roman"/>
          <w:i/>
          <w:color w:val="262626"/>
          <w:sz w:val="22"/>
        </w:rPr>
        <w:t>Table 3.1: Systematic mapping of Research Questions to experimental designs, datasets, metrics, and ablations.</w:t>
      </w:r>
    </w:p>
    <w:p>
      <w:pPr>
        <w:spacing w:before="120" w:after="120"/>
      </w:pPr>
      <w:r>
        <w:rPr>
          <w:color w:val="BDC3C7"/>
          <w:sz w:val="16"/>
        </w:rPr>
        <w:t>―――――――――――――――――――――――――――――――――――――――――――――――――――――――</w:t>
      </w:r>
    </w:p>
    <w:p>
      <w:pPr>
        <w:keepNext/>
        <w:spacing w:before="320" w:after="120"/>
      </w:pPr>
      <w:r>
        <w:rPr>
          <w:rFonts w:ascii="Times New Roman" w:hAnsi="Times New Roman"/>
          <w:b/>
          <w:color w:val="1F4E79"/>
          <w:sz w:val="36"/>
        </w:rPr>
        <w:t>Chapter 4: Dataset and Exploratory Data Analysis</w:t>
      </w:r>
    </w:p>
    <w:p>
      <w:pPr>
        <w:keepNext/>
        <w:spacing w:before="240" w:after="80"/>
      </w:pPr>
      <w:r>
        <w:rPr>
          <w:rFonts w:ascii="Times New Roman" w:hAnsi="Times New Roman"/>
          <w:b/>
          <w:color w:val="2E75B6"/>
          <w:sz w:val="28"/>
        </w:rPr>
        <w:t>4.1 The NASA C-MAPSS Simulation Environment</w:t>
      </w:r>
    </w:p>
    <w:p>
      <w:pPr>
        <w:spacing w:before="40" w:after="100" w:line="276" w:lineRule="auto"/>
      </w:pPr>
      <w:r>
        <w:rPr>
          <w:rFonts w:ascii="Times New Roman" w:hAnsi="Times New Roman"/>
          <w:color w:val="262626"/>
          <w:sz w:val="22"/>
        </w:rPr>
        <w:t>The empirical investigations conducted in this thesis are founded upon the Commercial Modular Aero-Propulsion System Simulation (C-MAPSS) benchmark suite, developed by the Prognostics Center of Excellence at NASA Ames Research Center (Saxena et al., 2008). The C-MAPSS software environment provides a high-fidelity, non-linear, transient thermodynamic simulation of a large commercial two-spool turbofan engine in the 90,000-pound thrust class. The engine architecture modeled in C-MAPSS represents the high-bypass turbofan engines that power wide-body commercial transport aircraft, consisting of five core turbomachinery components arranged in aerothermal sequence:</w:t>
      </w:r>
    </w:p>
    <w:p>
      <w:pPr>
        <w:pStyle w:val="ListNumber"/>
        <w:spacing w:before="30" w:after="30" w:line="276" w:lineRule="auto"/>
      </w:pPr>
      <w:r>
        <w:rPr>
          <w:rFonts w:ascii="Times New Roman" w:hAnsi="Times New Roman"/>
          <w:b/>
          <w:color w:val="262626"/>
          <w:sz w:val="22"/>
        </w:rPr>
        <w:t>Fan (F):</w:t>
      </w:r>
      <w:r>
        <w:rPr>
          <w:rFonts w:ascii="Times New Roman" w:hAnsi="Times New Roman"/>
          <w:color w:val="262626"/>
          <w:sz w:val="22"/>
        </w:rPr>
        <w:t xml:space="preserve"> Pressurizes incoming atmospheric airflow, dividing it into a core engine stream and a dominant bypass duct stream.</w:t>
      </w:r>
    </w:p>
    <w:p>
      <w:pPr>
        <w:pStyle w:val="ListNumber"/>
        <w:spacing w:before="30" w:after="30" w:line="276" w:lineRule="auto"/>
      </w:pPr>
      <w:r>
        <w:rPr>
          <w:rFonts w:ascii="Times New Roman" w:hAnsi="Times New Roman"/>
          <w:b/>
          <w:color w:val="262626"/>
          <w:sz w:val="22"/>
        </w:rPr>
        <w:t>Low-Pressure Compressor (LPC, or Booster):</w:t>
      </w:r>
      <w:r>
        <w:rPr>
          <w:rFonts w:ascii="Times New Roman" w:hAnsi="Times New Roman"/>
          <w:color w:val="262626"/>
          <w:sz w:val="22"/>
        </w:rPr>
        <w:t xml:space="preserve"> Driven by the low-pressure turbine via an inner concentric drive shaft, further elevating core flow pressure.</w:t>
      </w:r>
    </w:p>
    <w:p>
      <w:pPr>
        <w:pStyle w:val="ListNumber"/>
        <w:spacing w:before="30" w:after="30" w:line="276" w:lineRule="auto"/>
      </w:pPr>
      <w:r>
        <w:rPr>
          <w:rFonts w:ascii="Times New Roman" w:hAnsi="Times New Roman"/>
          <w:b/>
          <w:color w:val="262626"/>
          <w:sz w:val="22"/>
        </w:rPr>
        <w:t>High-Pressure Compressor (HPC):</w:t>
      </w:r>
      <w:r>
        <w:rPr>
          <w:rFonts w:ascii="Times New Roman" w:hAnsi="Times New Roman"/>
          <w:color w:val="262626"/>
          <w:sz w:val="22"/>
        </w:rPr>
        <w:t xml:space="preserve"> Driven by the high-pressure turbine via an outer concentric drive shaft, providing the primary mechanical pressure rise prior to combustion.</w:t>
      </w:r>
    </w:p>
    <w:p>
      <w:pPr>
        <w:pStyle w:val="ListNumber"/>
        <w:spacing w:before="30" w:after="30" w:line="276" w:lineRule="auto"/>
      </w:pPr>
      <w:r>
        <w:rPr>
          <w:rFonts w:ascii="Times New Roman" w:hAnsi="Times New Roman"/>
          <w:b/>
          <w:color w:val="262626"/>
          <w:sz w:val="22"/>
        </w:rPr>
        <w:t>Combustion Chamber (Burner):</w:t>
      </w:r>
      <w:r>
        <w:rPr>
          <w:rFonts w:ascii="Times New Roman" w:hAnsi="Times New Roman"/>
          <w:color w:val="262626"/>
          <w:sz w:val="22"/>
        </w:rPr>
        <w:t xml:space="preserve"> Injects fuel into the high-pressure core air, generating high-enthalpy, high-velocity gas.</w:t>
      </w:r>
    </w:p>
    <w:p>
      <w:pPr>
        <w:pStyle w:val="ListNumber"/>
        <w:spacing w:before="30" w:after="30" w:line="276" w:lineRule="auto"/>
      </w:pPr>
      <w:r>
        <w:rPr>
          <w:rFonts w:ascii="Times New Roman" w:hAnsi="Times New Roman"/>
          <w:b/>
          <w:color w:val="262626"/>
          <w:sz w:val="22"/>
        </w:rPr>
        <w:t>High-Pressure Turbine (HPT) and Low-Pressure Turbine (LPT):</w:t>
      </w:r>
      <w:r>
        <w:rPr>
          <w:rFonts w:ascii="Times New Roman" w:hAnsi="Times New Roman"/>
          <w:color w:val="262626"/>
          <w:sz w:val="22"/>
        </w:rPr>
        <w:t xml:space="preserve"> Extract mechanical work from combustion exhaust gases to drive the upstream HPC and LPC/Fan stages, respectively.</w:t>
      </w:r>
    </w:p>
    <w:p>
      <w:pPr>
        <w:spacing w:before="40" w:after="100" w:line="276" w:lineRule="auto"/>
      </w:pPr>
      <w:r>
        <w:rPr>
          <w:rFonts w:ascii="Times New Roman" w:hAnsi="Times New Roman"/>
          <w:color w:val="262626"/>
          <w:sz w:val="22"/>
        </w:rPr>
        <w:t>In the C-MAPSS simulation, degradation is explicitly introduced into turbomachinery components by simulating physical degradation processes—primarily blade surface erosion, tip clearance enlargement, and aerodynamic fouling. Degradation is parameterized through time-dependent decrements in component flow capacity and isentropic adiabatic efficiency. Each simulated engine begins its operational trajectory with a randomized degree of initial manufacturing tolerance and healthy wear (characterized by baseline flow and efficiency deviations within normal operational boundaries). As operational flight cycles accumulate, wear propagation laws induce accelerated degradation until health indicators fall below critical operability thresholds, at which point the engine is declared functionally failed.</w:t>
      </w:r>
    </w:p>
    <w:p>
      <w:pPr>
        <w:keepNext/>
        <w:spacing w:before="240" w:after="80"/>
      </w:pPr>
      <w:r>
        <w:rPr>
          <w:rFonts w:ascii="Times New Roman" w:hAnsi="Times New Roman"/>
          <w:b/>
          <w:color w:val="2E75B6"/>
          <w:sz w:val="28"/>
        </w:rPr>
        <w:t>4.2 Structural Characteristics of Subsets FD001 to FD004</w:t>
      </w:r>
    </w:p>
    <w:p>
      <w:pPr>
        <w:spacing w:before="40" w:after="100" w:line="276" w:lineRule="auto"/>
      </w:pPr>
      <w:r>
        <w:rPr>
          <w:rFonts w:ascii="Times New Roman" w:hAnsi="Times New Roman"/>
          <w:color w:val="262626"/>
          <w:sz w:val="22"/>
        </w:rPr>
        <w:t xml:space="preserve">The C-MAPSS benchmark is partitioned into four distinct sub-datasets—designated </w:t>
      </w:r>
      <w:r>
        <w:rPr>
          <w:rFonts w:ascii="Times New Roman" w:hAnsi="Times New Roman"/>
          <w:b/>
          <w:color w:val="262626"/>
          <w:sz w:val="22"/>
        </w:rPr>
        <w:t>FD001</w:t>
      </w:r>
      <w:r>
        <w:rPr>
          <w:rFonts w:ascii="Times New Roman" w:hAnsi="Times New Roman"/>
          <w:color w:val="262626"/>
          <w:sz w:val="22"/>
        </w:rPr>
        <w:t xml:space="preserve">, </w:t>
      </w:r>
      <w:r>
        <w:rPr>
          <w:rFonts w:ascii="Times New Roman" w:hAnsi="Times New Roman"/>
          <w:b/>
          <w:color w:val="262626"/>
          <w:sz w:val="22"/>
        </w:rPr>
        <w:t>FD002</w:t>
      </w:r>
      <w:r>
        <w:rPr>
          <w:rFonts w:ascii="Times New Roman" w:hAnsi="Times New Roman"/>
          <w:color w:val="262626"/>
          <w:sz w:val="22"/>
        </w:rPr>
        <w:t xml:space="preserve">, </w:t>
      </w:r>
      <w:r>
        <w:rPr>
          <w:rFonts w:ascii="Times New Roman" w:hAnsi="Times New Roman"/>
          <w:b/>
          <w:color w:val="262626"/>
          <w:sz w:val="22"/>
        </w:rPr>
        <w:t>FD003</w:t>
      </w:r>
      <w:r>
        <w:rPr>
          <w:rFonts w:ascii="Times New Roman" w:hAnsi="Times New Roman"/>
          <w:color w:val="262626"/>
          <w:sz w:val="22"/>
        </w:rPr>
        <w:t xml:space="preserve">, and </w:t>
      </w:r>
      <w:r>
        <w:rPr>
          <w:rFonts w:ascii="Times New Roman" w:hAnsi="Times New Roman"/>
          <w:b/>
          <w:color w:val="262626"/>
          <w:sz w:val="22"/>
        </w:rPr>
        <w:t>FD004</w:t>
      </w:r>
      <w:r>
        <w:rPr>
          <w:rFonts w:ascii="Times New Roman" w:hAnsi="Times New Roman"/>
          <w:color w:val="262626"/>
          <w:sz w:val="22"/>
        </w:rPr>
        <w:t>. These four subsets are systematically designed to represent increasing degrees of environmental and operational complexity, varying across two primary experimental axes: the number of operational flight regimes and the number of concurrent fault failure modes.</w:t>
      </w:r>
    </w:p>
    <w:p>
      <w:pPr>
        <w:spacing w:before="40" w:after="100" w:line="276" w:lineRule="auto"/>
      </w:pPr>
      <w:r>
        <w:rPr>
          <w:rFonts w:ascii="Times New Roman" w:hAnsi="Times New Roman"/>
          <w:color w:val="262626"/>
          <w:sz w:val="22"/>
        </w:rPr>
        <w:t>Table 4.1 delineates the structural parameters, engine counts, operational configurations, fault modes, and cycle longevity statistics across the four subsets.</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Dataset Subset</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Training Engines</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Testing Engines</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Operational Conditions</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Fault Modes</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Life (Train Cycles)</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Std Dev Life (Cycles)</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Min Life (Cycles)</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Max Life (Cycles)</w:t>
            </w:r>
          </w:p>
        </w:tc>
        <w:tc>
          <w:tcPr>
            <w:tcW w:type="dxa" w:w="936"/>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Total Records (Train)</w:t>
            </w:r>
          </w:p>
        </w:tc>
      </w:tr>
      <w:tr>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FD001</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 (Sea Level)</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 (HPC Degradation)</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206.3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46.3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128</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362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20,631</w:t>
            </w:r>
          </w:p>
        </w:tc>
      </w:tr>
      <w:tr>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FD002</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260</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259</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 (Full Envelope)</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 (HPC Degradation)</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206.1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47.1</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128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378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53,759</w:t>
            </w:r>
          </w:p>
        </w:tc>
      </w:tr>
      <w:tr>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FD003</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 (Sea Level)</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 (HPC + Fan)</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247.2</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73.4</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145</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525</w:t>
            </w:r>
          </w:p>
        </w:tc>
        <w:tc>
          <w:tcPr>
            <w:tcW w:type="dxa" w:w="936"/>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24,720</w:t>
            </w:r>
          </w:p>
        </w:tc>
      </w:tr>
      <w:tr>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FD004</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249</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248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 (Full Envelope)</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 (HPC + Fan)</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245.7</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87.2</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128</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543</w:t>
            </w:r>
          </w:p>
        </w:tc>
        <w:tc>
          <w:tcPr>
            <w:tcW w:type="dxa" w:w="936"/>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61,249</w:t>
            </w:r>
          </w:p>
        </w:tc>
      </w:tr>
    </w:tbl>
    <w:p>
      <w:pPr>
        <w:spacing w:before="80" w:after="120"/>
      </w:pPr>
    </w:p>
    <w:p>
      <w:pPr>
        <w:spacing w:before="40" w:after="100" w:line="276" w:lineRule="auto"/>
      </w:pPr>
      <w:r>
        <w:rPr>
          <w:rFonts w:ascii="Times New Roman" w:hAnsi="Times New Roman"/>
          <w:i/>
          <w:color w:val="262626"/>
          <w:sz w:val="22"/>
        </w:rPr>
        <w:t>Table 4.1: Structural parameters and statistical properties of the four NASA C-MAPSS dataset subsets.</w:t>
      </w:r>
    </w:p>
    <w:p>
      <w:pPr>
        <w:spacing w:before="40" w:after="100" w:line="276" w:lineRule="auto"/>
      </w:pPr>
      <w:r>
        <w:rPr>
          <w:rFonts w:ascii="Times New Roman" w:hAnsi="Times New Roman"/>
          <w:color w:val="262626"/>
          <w:sz w:val="22"/>
        </w:rPr>
        <w:t>A rigorous examination of Table 4.1 highlights the critical experimental distinctions:</w:t>
      </w:r>
    </w:p>
    <w:p>
      <w:pPr>
        <w:pStyle w:val="ListBullet"/>
        <w:spacing w:before="30" w:after="30" w:line="276" w:lineRule="auto"/>
      </w:pPr>
      <w:r>
        <w:rPr>
          <w:rFonts w:ascii="Times New Roman" w:hAnsi="Times New Roman"/>
          <w:b/>
          <w:color w:val="262626"/>
          <w:sz w:val="22"/>
        </w:rPr>
        <w:t>FD001</w:t>
      </w:r>
      <w:r>
        <w:rPr>
          <w:rFonts w:ascii="Times New Roman" w:hAnsi="Times New Roman"/>
          <w:color w:val="262626"/>
          <w:sz w:val="22"/>
        </w:rPr>
        <w:t xml:space="preserve"> represents the simplest baseline benchmark: all engines operate under a single, stationary operating condition (sea level, fixed nominal cruising throttle) and fail due to a single mechanical fault mode—high-pressure compressor (HPC) degradation. Engine operational lives average $206.3 \pm 46.3$ cycles.</w:t>
      </w:r>
    </w:p>
    <w:p>
      <w:pPr>
        <w:pStyle w:val="ListBullet"/>
        <w:spacing w:before="30" w:after="30" w:line="276" w:lineRule="auto"/>
      </w:pPr>
      <w:r>
        <w:rPr>
          <w:rFonts w:ascii="Times New Roman" w:hAnsi="Times New Roman"/>
          <w:b/>
          <w:color w:val="262626"/>
          <w:sz w:val="22"/>
        </w:rPr>
        <w:t>FD002</w:t>
      </w:r>
      <w:r>
        <w:rPr>
          <w:rFonts w:ascii="Times New Roman" w:hAnsi="Times New Roman"/>
          <w:color w:val="262626"/>
          <w:sz w:val="22"/>
        </w:rPr>
        <w:t xml:space="preserve"> introduces severe operational variability: while maintaining the single HPC degradation mode, the engines operate across six distinct flight regimes spanning altitudes up to 45,000 feet, Mach numbers up to 0.84, and varying throttle resolver angles. The training set consists of 260 engines totaling 53,759 temporal snapshots.</w:t>
      </w:r>
    </w:p>
    <w:p>
      <w:pPr>
        <w:pStyle w:val="ListBullet"/>
        <w:spacing w:before="30" w:after="30" w:line="276" w:lineRule="auto"/>
      </w:pPr>
      <w:r>
        <w:rPr>
          <w:rFonts w:ascii="Times New Roman" w:hAnsi="Times New Roman"/>
          <w:b/>
          <w:color w:val="262626"/>
          <w:sz w:val="22"/>
        </w:rPr>
        <w:t>FD003</w:t>
      </w:r>
      <w:r>
        <w:rPr>
          <w:rFonts w:ascii="Times New Roman" w:hAnsi="Times New Roman"/>
          <w:color w:val="262626"/>
          <w:sz w:val="22"/>
        </w:rPr>
        <w:t xml:space="preserve"> maintains stationary, single-condition operating dynamics but introduces multi-mode mechanical failure: engines degrade due to high-pressure compressor degradation, fan degradation, or a complex combination of both. This introduces substantial variance in operational longevity ($247.2 \pm 73.4$ cycles, with maximum life reaching 525 cycles).</w:t>
      </w:r>
    </w:p>
    <w:p>
      <w:pPr>
        <w:pStyle w:val="ListBullet"/>
        <w:spacing w:before="30" w:after="30" w:line="276" w:lineRule="auto"/>
      </w:pPr>
      <w:r>
        <w:rPr>
          <w:rFonts w:ascii="Times New Roman" w:hAnsi="Times New Roman"/>
          <w:b/>
          <w:color w:val="262626"/>
          <w:sz w:val="22"/>
        </w:rPr>
        <w:t>FD004</w:t>
      </w:r>
      <w:r>
        <w:rPr>
          <w:rFonts w:ascii="Times New Roman" w:hAnsi="Times New Roman"/>
          <w:color w:val="262626"/>
          <w:sz w:val="22"/>
        </w:rPr>
        <w:t xml:space="preserve"> embodies the ultimate prognostic challenge, combining the multi-regime operational envelope (6 flight conditions) with multi-mode physical degradation (HPC + Fan degradation) across 249 training engines totaling 61,249 cycles.</w:t>
      </w:r>
    </w:p>
    <w:p>
      <w:pPr>
        <w:keepNext/>
        <w:spacing w:before="240" w:after="80"/>
      </w:pPr>
      <w:r>
        <w:rPr>
          <w:rFonts w:ascii="Times New Roman" w:hAnsi="Times New Roman"/>
          <w:b/>
          <w:color w:val="2E75B6"/>
          <w:sz w:val="28"/>
        </w:rPr>
        <w:t>4.3 Sensor Instrumentation and Physical Dynamics</w:t>
      </w:r>
    </w:p>
    <w:p>
      <w:pPr>
        <w:spacing w:before="40" w:after="100" w:line="276" w:lineRule="auto"/>
      </w:pPr>
      <w:r>
        <w:rPr>
          <w:rFonts w:ascii="Times New Roman" w:hAnsi="Times New Roman"/>
          <w:color w:val="262626"/>
          <w:sz w:val="22"/>
        </w:rPr>
        <w:t>Each observation in the raw C-MAPSS telemetry streams is formatted as a 26-dimensional vector comprising:</w:t>
      </w:r>
    </w:p>
    <w:p>
      <w:pPr>
        <w:pStyle w:val="ListNumber"/>
        <w:spacing w:before="30" w:after="30" w:line="276" w:lineRule="auto"/>
      </w:pPr>
      <w:r>
        <w:rPr>
          <w:rFonts w:ascii="Consolas" w:hAnsi="Consolas"/>
          <w:color w:val="990000"/>
          <w:sz w:val="20"/>
        </w:rPr>
        <w:t>engine_id</w:t>
      </w:r>
      <w:r>
        <w:rPr>
          <w:rFonts w:ascii="Times New Roman" w:hAnsi="Times New Roman"/>
          <w:color w:val="262626"/>
          <w:sz w:val="22"/>
        </w:rPr>
        <w:t>: Integer identifier uniquely labeling the physical turbofan unit.</w:t>
      </w:r>
    </w:p>
    <w:p>
      <w:pPr>
        <w:pStyle w:val="ListNumber"/>
        <w:spacing w:before="30" w:after="30" w:line="276" w:lineRule="auto"/>
      </w:pPr>
      <w:r>
        <w:rPr>
          <w:rFonts w:ascii="Consolas" w:hAnsi="Consolas"/>
          <w:color w:val="990000"/>
          <w:sz w:val="20"/>
        </w:rPr>
        <w:t>cycle</w:t>
      </w:r>
      <w:r>
        <w:rPr>
          <w:rFonts w:ascii="Times New Roman" w:hAnsi="Times New Roman"/>
          <w:color w:val="262626"/>
          <w:sz w:val="22"/>
        </w:rPr>
        <w:t>: Integer time index indicating the operational flight cycle accrued by the engine.</w:t>
      </w:r>
    </w:p>
    <w:p>
      <w:pPr>
        <w:pStyle w:val="ListNumber"/>
        <w:spacing w:before="30" w:after="30" w:line="276" w:lineRule="auto"/>
      </w:pPr>
      <w:r>
        <w:rPr>
          <w:rFonts w:ascii="Consolas" w:hAnsi="Consolas"/>
          <w:color w:val="990000"/>
          <w:sz w:val="20"/>
        </w:rPr>
        <w:t>op_setting_1</w:t>
      </w:r>
      <w:r>
        <w:rPr>
          <w:rFonts w:ascii="Times New Roman" w:hAnsi="Times New Roman"/>
          <w:color w:val="262626"/>
          <w:sz w:val="22"/>
        </w:rPr>
        <w:t xml:space="preserve">, </w:t>
      </w:r>
      <w:r>
        <w:rPr>
          <w:rFonts w:ascii="Consolas" w:hAnsi="Consolas"/>
          <w:color w:val="990000"/>
          <w:sz w:val="20"/>
        </w:rPr>
        <w:t>op_setting_2</w:t>
      </w:r>
      <w:r>
        <w:rPr>
          <w:rFonts w:ascii="Times New Roman" w:hAnsi="Times New Roman"/>
          <w:color w:val="262626"/>
          <w:sz w:val="22"/>
        </w:rPr>
        <w:t xml:space="preserve">, </w:t>
      </w:r>
      <w:r>
        <w:rPr>
          <w:rFonts w:ascii="Consolas" w:hAnsi="Consolas"/>
          <w:color w:val="990000"/>
          <w:sz w:val="20"/>
        </w:rPr>
        <w:t>op_setting_3</w:t>
      </w:r>
      <w:r>
        <w:rPr>
          <w:rFonts w:ascii="Times New Roman" w:hAnsi="Times New Roman"/>
          <w:color w:val="262626"/>
          <w:sz w:val="22"/>
        </w:rPr>
        <w:t>: Three environmental operational variables governing the flight regime:</w:t>
      </w:r>
    </w:p>
    <w:p>
      <w:pPr>
        <w:pStyle w:val="ListBullet"/>
        <w:spacing w:before="30" w:after="30" w:line="276" w:lineRule="auto"/>
      </w:pPr>
      <w:r>
        <w:rPr>
          <w:rFonts w:ascii="Consolas" w:hAnsi="Consolas"/>
          <w:color w:val="990000"/>
          <w:sz w:val="20"/>
        </w:rPr>
        <w:t>op_setting_1</w:t>
      </w:r>
      <w:r>
        <w:rPr>
          <w:rFonts w:ascii="Times New Roman" w:hAnsi="Times New Roman"/>
          <w:color w:val="262626"/>
          <w:sz w:val="22"/>
        </w:rPr>
        <w:t>: Altitude (0 to 45,000 feet).</w:t>
      </w:r>
    </w:p>
    <w:p>
      <w:pPr>
        <w:pStyle w:val="ListBullet"/>
        <w:spacing w:before="30" w:after="30" w:line="276" w:lineRule="auto"/>
      </w:pPr>
      <w:r>
        <w:rPr>
          <w:rFonts w:ascii="Consolas" w:hAnsi="Consolas"/>
          <w:color w:val="990000"/>
          <w:sz w:val="20"/>
        </w:rPr>
        <w:t>op_setting_2</w:t>
      </w:r>
      <w:r>
        <w:rPr>
          <w:rFonts w:ascii="Times New Roman" w:hAnsi="Times New Roman"/>
          <w:color w:val="262626"/>
          <w:sz w:val="22"/>
        </w:rPr>
        <w:t>: Mach Number (0.0 to 0.84).</w:t>
      </w:r>
    </w:p>
    <w:p>
      <w:pPr>
        <w:pStyle w:val="ListBullet"/>
        <w:spacing w:before="30" w:after="30" w:line="276" w:lineRule="auto"/>
      </w:pPr>
      <w:r>
        <w:rPr>
          <w:rFonts w:ascii="Consolas" w:hAnsi="Consolas"/>
          <w:color w:val="990000"/>
          <w:sz w:val="20"/>
        </w:rPr>
        <w:t>op_setting_3</w:t>
      </w:r>
      <w:r>
        <w:rPr>
          <w:rFonts w:ascii="Times New Roman" w:hAnsi="Times New Roman"/>
          <w:color w:val="262626"/>
          <w:sz w:val="22"/>
        </w:rPr>
        <w:t>: Throttle Resolver Angle (TRA, 0 to 100%).</w:t>
      </w:r>
    </w:p>
    <w:p>
      <w:pPr>
        <w:pStyle w:val="ListNumber"/>
        <w:spacing w:before="30" w:after="30" w:line="276" w:lineRule="auto"/>
      </w:pPr>
      <w:r>
        <w:rPr>
          <w:rFonts w:ascii="Consolas" w:hAnsi="Consolas"/>
          <w:color w:val="990000"/>
          <w:sz w:val="20"/>
        </w:rPr>
        <w:t>sensor_1</w:t>
      </w:r>
      <w:r>
        <w:rPr>
          <w:rFonts w:ascii="Times New Roman" w:hAnsi="Times New Roman"/>
          <w:color w:val="262626"/>
          <w:sz w:val="22"/>
        </w:rPr>
        <w:t xml:space="preserve"> through </w:t>
      </w:r>
      <w:r>
        <w:rPr>
          <w:rFonts w:ascii="Consolas" w:hAnsi="Consolas"/>
          <w:color w:val="990000"/>
          <w:sz w:val="20"/>
        </w:rPr>
        <w:t>sensor_21</w:t>
      </w:r>
      <w:r>
        <w:rPr>
          <w:rFonts w:ascii="Times New Roman" w:hAnsi="Times New Roman"/>
          <w:color w:val="262626"/>
          <w:sz w:val="22"/>
        </w:rPr>
        <w:t>: Twenty-one continuous physical telemetry channels monitoring thermodynamic, pneumatic, and rotational engine variables.</w:t>
      </w:r>
    </w:p>
    <w:p>
      <w:pPr>
        <w:spacing w:before="40" w:after="100" w:line="276" w:lineRule="auto"/>
      </w:pPr>
      <w:r>
        <w:rPr>
          <w:rFonts w:ascii="Times New Roman" w:hAnsi="Times New Roman"/>
          <w:color w:val="262626"/>
          <w:sz w:val="22"/>
        </w:rPr>
        <w:t>Table 4.2 provides the engineering definitions, physical instrumentation descriptions, measurement units, and thermodynamic locations for all 21 sensor channels.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Sensor ID</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Symbol / Acronym</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Physical Parameter Description</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Measurement Unit</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Thermodynamic Location</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s1</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T2</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Total temperature at fan inlet</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$^\circ\text{R}$ (Rankine)</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Engine Inlet</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s2</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T24</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Total temperature at LPC outlet</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$^\circ\text{R}$</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Low-Pressure Compressor Exit</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s3</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T30</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Total temperature at HPC outlet</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$^\circ\text{R}$</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High-Pressure Compressor Exit</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s4</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T50</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Total temperature at LPT outlet</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$^\circ\text{R}$</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Low-Pressure Turbine Exit</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s5</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P2</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Pressure at fan inlet</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psia</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Engine Inlet</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s6</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P15</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Total pressure in bypass duct</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psia</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Bypass Duct</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s7</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P30</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Total pressure at HPC outlet</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psia</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High-Pressure Compressor Exit</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s8</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Nf</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Physical fan rotational speed</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rpm</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Low-Pressure Spool Shaft</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s9</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Nc</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Physical core rotational speed</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rpm</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High-Pressure Spool Shaft</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s10</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epr</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Engine pressure ratio ($P_{50} / P_2$)</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Turbine Exhaust vs Inlet</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s11</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Ps30</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Static pressure at HPC outlet</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psia</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High-Pressure Compressor Exit</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s12</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Phi</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Ratio of fuel flow to $Ps_{30}$</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pps/psi</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Combustor Fuel Metering</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s13</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NRf</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Corrected fan rotational speed</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rpm</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Scaled Fan Aerodynamics</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s14</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NRc</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Corrected core rotational speed</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rpm</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Scaled Core Aerodynamics</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s15</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BPR</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Bypass ratio</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Bypass Mass Flow / Core Flow</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s16</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farB</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Burner fuel-air ratio</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Combustion Chamber</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s17</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htBleed</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Bleed enthalpy</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Core High-Pressure Bleed</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s18</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Nf_dmd</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Demanded fan speed</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rpm</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Engine Electronic Control (EEC)</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s19</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PCNfR_dmd</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Demanded corrected fan speed</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rpm</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Engine Electronic Control (EEC)</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s20</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W31</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High-pressure turbine coolant bleed</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lbm/s</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HPT Turbine Cooling Flow</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s21</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W32</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Low-pressure turbine coolant bleed</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lbm/s</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LPT Turbine Cooling Flow</w:t>
            </w:r>
          </w:p>
        </w:tc>
      </w:tr>
    </w:tbl>
    <w:p>
      <w:pPr>
        <w:spacing w:before="80" w:after="120"/>
      </w:pPr>
    </w:p>
    <w:p>
      <w:pPr>
        <w:spacing w:before="40" w:after="100" w:line="276" w:lineRule="auto"/>
      </w:pPr>
      <w:r>
        <w:rPr>
          <w:rFonts w:ascii="Times New Roman" w:hAnsi="Times New Roman"/>
          <w:i/>
          <w:color w:val="262626"/>
          <w:sz w:val="22"/>
        </w:rPr>
        <w:t>Table 4.2: Instrumentation parameters and physical descriptions of C-MAPSS sensor telemetry.</w:t>
      </w:r>
    </w:p>
    <w:p>
      <w:pPr>
        <w:keepNext/>
        <w:spacing w:before="240" w:after="80"/>
      </w:pPr>
      <w:r>
        <w:rPr>
          <w:rFonts w:ascii="Times New Roman" w:hAnsi="Times New Roman"/>
          <w:b/>
          <w:color w:val="2E75B6"/>
          <w:sz w:val="28"/>
        </w:rPr>
        <w:t>4.4 Exploratory Data Analysis and Feature Invariance</w:t>
      </w:r>
    </w:p>
    <w:p>
      <w:pPr>
        <w:spacing w:before="40" w:after="100" w:line="276" w:lineRule="auto"/>
      </w:pPr>
      <w:r>
        <w:rPr>
          <w:rFonts w:ascii="Times New Roman" w:hAnsi="Times New Roman"/>
          <w:color w:val="262626"/>
          <w:sz w:val="22"/>
        </w:rPr>
        <w:t>Prior to developing machine learning architectures, a comprehensive exploratory data analysis (EDA) was executed across the raw telemetry to characterize distributions, identify collinearity, and detect uninformative features.</w:t>
      </w:r>
    </w:p>
    <w:p>
      <w:pPr>
        <w:keepNext/>
        <w:spacing w:before="200" w:after="60"/>
      </w:pPr>
      <w:r>
        <w:rPr>
          <w:rFonts w:ascii="Times New Roman" w:hAnsi="Times New Roman"/>
          <w:b/>
          <w:color w:val="1F4E79"/>
          <w:sz w:val="24"/>
        </w:rPr>
        <w:t>4.4.1 Invariant Sensor Identification</w:t>
      </w:r>
    </w:p>
    <w:p>
      <w:pPr>
        <w:spacing w:before="40" w:after="100" w:line="276" w:lineRule="auto"/>
      </w:pPr>
      <w:r>
        <w:rPr>
          <w:rFonts w:ascii="Times New Roman" w:hAnsi="Times New Roman"/>
          <w:color w:val="262626"/>
          <w:sz w:val="22"/>
        </w:rPr>
        <w:t xml:space="preserve">In subset </w:t>
      </w:r>
      <w:r>
        <w:rPr>
          <w:rFonts w:ascii="Times New Roman" w:hAnsi="Times New Roman"/>
          <w:b/>
          <w:color w:val="262626"/>
          <w:sz w:val="22"/>
        </w:rPr>
        <w:t>FD001</w:t>
      </w:r>
      <w:r>
        <w:rPr>
          <w:rFonts w:ascii="Times New Roman" w:hAnsi="Times New Roman"/>
          <w:color w:val="262626"/>
          <w:sz w:val="22"/>
        </w:rPr>
        <w:t>, the engine operates strictly at sea level under constant environmental parameters. Consequently, several sensors measure atmospheric baseline variables or constant controller setpoints that exhibit zero physical variation. Statistical variance screening revealed that seven sensor channels possess an empirical variance of exactly zero ($\sigma^2 = 0.0$):</w:t>
      </w:r>
    </w:p>
    <w:p>
      <w:pPr>
        <w:pStyle w:val="ListBullet"/>
        <w:spacing w:before="30" w:after="30" w:line="276" w:lineRule="auto"/>
      </w:pPr>
      <w:r>
        <w:rPr>
          <w:rFonts w:ascii="Consolas" w:hAnsi="Consolas"/>
          <w:color w:val="990000"/>
          <w:sz w:val="20"/>
        </w:rPr>
        <w:t>sensor_1</w:t>
      </w:r>
      <w:r>
        <w:rPr>
          <w:rFonts w:ascii="Times New Roman" w:hAnsi="Times New Roman"/>
          <w:color w:val="262626"/>
          <w:sz w:val="22"/>
        </w:rPr>
        <w:t xml:space="preserve"> ($T_2$, Fan inlet temperature): Constant at $518.67^\circ\text{R}$.</w:t>
      </w:r>
    </w:p>
    <w:p>
      <w:pPr>
        <w:pStyle w:val="ListBullet"/>
        <w:spacing w:before="30" w:after="30" w:line="276" w:lineRule="auto"/>
      </w:pPr>
      <w:r>
        <w:rPr>
          <w:rFonts w:ascii="Consolas" w:hAnsi="Consolas"/>
          <w:color w:val="990000"/>
          <w:sz w:val="20"/>
        </w:rPr>
        <w:t>sensor_5</w:t>
      </w:r>
      <w:r>
        <w:rPr>
          <w:rFonts w:ascii="Times New Roman" w:hAnsi="Times New Roman"/>
          <w:color w:val="262626"/>
          <w:sz w:val="22"/>
        </w:rPr>
        <w:t xml:space="preserve"> ($P_2$, Fan inlet pressure): Constant at $14.62\text{ psia}$.</w:t>
      </w:r>
    </w:p>
    <w:p>
      <w:pPr>
        <w:pStyle w:val="ListBullet"/>
        <w:spacing w:before="30" w:after="30" w:line="276" w:lineRule="auto"/>
      </w:pPr>
      <w:r>
        <w:rPr>
          <w:rFonts w:ascii="Consolas" w:hAnsi="Consolas"/>
          <w:color w:val="990000"/>
          <w:sz w:val="20"/>
        </w:rPr>
        <w:t>sensor_6</w:t>
      </w:r>
      <w:r>
        <w:rPr>
          <w:rFonts w:ascii="Times New Roman" w:hAnsi="Times New Roman"/>
          <w:color w:val="262626"/>
          <w:sz w:val="22"/>
        </w:rPr>
        <w:t xml:space="preserve"> ($P_{15}$, Bypass duct pressure): Constant at $21.61\text{ psia}$.</w:t>
      </w:r>
    </w:p>
    <w:p>
      <w:pPr>
        <w:pStyle w:val="ListBullet"/>
        <w:spacing w:before="30" w:after="30" w:line="276" w:lineRule="auto"/>
      </w:pPr>
      <w:r>
        <w:rPr>
          <w:rFonts w:ascii="Consolas" w:hAnsi="Consolas"/>
          <w:color w:val="990000"/>
          <w:sz w:val="20"/>
        </w:rPr>
        <w:t>sensor_10</w:t>
      </w:r>
      <w:r>
        <w:rPr>
          <w:rFonts w:ascii="Times New Roman" w:hAnsi="Times New Roman"/>
          <w:color w:val="262626"/>
          <w:sz w:val="22"/>
        </w:rPr>
        <w:t xml:space="preserve"> ($epr$, Engine pressure ratio): Constant at $1.00$.</w:t>
      </w:r>
    </w:p>
    <w:p>
      <w:pPr>
        <w:pStyle w:val="ListBullet"/>
        <w:spacing w:before="30" w:after="30" w:line="276" w:lineRule="auto"/>
      </w:pPr>
      <w:r>
        <w:rPr>
          <w:rFonts w:ascii="Consolas" w:hAnsi="Consolas"/>
          <w:color w:val="990000"/>
          <w:sz w:val="20"/>
        </w:rPr>
        <w:t>sensor_16</w:t>
      </w:r>
      <w:r>
        <w:rPr>
          <w:rFonts w:ascii="Times New Roman" w:hAnsi="Times New Roman"/>
          <w:color w:val="262626"/>
          <w:sz w:val="22"/>
        </w:rPr>
        <w:t xml:space="preserve"> ($farB$, Fuel-air ratio): Constant at $0.03$.</w:t>
      </w:r>
    </w:p>
    <w:p>
      <w:pPr>
        <w:pStyle w:val="ListBullet"/>
        <w:spacing w:before="30" w:after="30" w:line="276" w:lineRule="auto"/>
      </w:pPr>
      <w:r>
        <w:rPr>
          <w:rFonts w:ascii="Consolas" w:hAnsi="Consolas"/>
          <w:color w:val="990000"/>
          <w:sz w:val="20"/>
        </w:rPr>
        <w:t>sensor_18</w:t>
      </w:r>
      <w:r>
        <w:rPr>
          <w:rFonts w:ascii="Times New Roman" w:hAnsi="Times New Roman"/>
          <w:color w:val="262626"/>
          <w:sz w:val="22"/>
        </w:rPr>
        <w:t xml:space="preserve"> ($Nf_{\text{dmd}}$, Demanded fan speed): Constant at $2388\text{ rpm}$.</w:t>
      </w:r>
    </w:p>
    <w:p>
      <w:pPr>
        <w:pStyle w:val="ListBullet"/>
        <w:spacing w:before="30" w:after="30" w:line="276" w:lineRule="auto"/>
      </w:pPr>
      <w:r>
        <w:rPr>
          <w:rFonts w:ascii="Consolas" w:hAnsi="Consolas"/>
          <w:color w:val="990000"/>
          <w:sz w:val="20"/>
        </w:rPr>
        <w:t>sensor_19</w:t>
      </w:r>
      <w:r>
        <w:rPr>
          <w:rFonts w:ascii="Times New Roman" w:hAnsi="Times New Roman"/>
          <w:color w:val="262626"/>
          <w:sz w:val="22"/>
        </w:rPr>
        <w:t xml:space="preserve"> ($PCNfR_{\text{dmd}}$, Demanded corrected fan speed): Constant at $100.0\%$.</w:t>
      </w:r>
    </w:p>
    <w:p>
      <w:pPr>
        <w:spacing w:before="40" w:after="100" w:line="276" w:lineRule="auto"/>
      </w:pPr>
      <w:r>
        <w:rPr>
          <w:rFonts w:ascii="Times New Roman" w:hAnsi="Times New Roman"/>
          <w:color w:val="262626"/>
          <w:sz w:val="22"/>
        </w:rPr>
        <w:t xml:space="preserve">Including these seven constant features in distance-based, kernel-based, or reconstruction neural networks is highly detrimental. In statistical Z-score calculations, dividing by a standard deviation of zero results in catastrophic mathematical division-by-zero errors. In deep autoencoders, allocating model weights and capacity to reconstruct unvarying constants introduces redundant parameter overhead without carrying any degradation information. Consequently, for FD001 and FD003, these seven invariant sensors are formally pruned, retaining the </w:t>
      </w:r>
      <w:r>
        <w:rPr>
          <w:rFonts w:ascii="Times New Roman" w:hAnsi="Times New Roman"/>
          <w:b/>
          <w:color w:val="262626"/>
          <w:sz w:val="22"/>
        </w:rPr>
        <w:t>14 informative sensor channels</w:t>
      </w:r>
      <w:r>
        <w:rPr>
          <w:rFonts w:ascii="Times New Roman" w:hAnsi="Times New Roman"/>
          <w:color w:val="262626"/>
          <w:sz w:val="22"/>
        </w:rPr>
        <w:t>:</w:t>
      </w:r>
    </w:p>
    <w:p>
      <w:pPr>
        <w:spacing w:before="40" w:after="100" w:line="276" w:lineRule="auto"/>
      </w:pPr>
      <w:r>
        <w:rPr>
          <w:rFonts w:ascii="Times New Roman" w:hAnsi="Times New Roman"/>
          <w:color w:val="262626"/>
          <w:sz w:val="22"/>
        </w:rPr>
        <w:t>$$\mathcal{S}_{\text{informative}} = \{s_2, s_3, s_4, s_7, s_8, s_9, s_{11}, s_{12}, s_{13}, s_{14}, s_{15}, s_{17}, s_{20}, s_{21}\}$$</w:t>
      </w:r>
    </w:p>
    <w:p>
      <w:pPr>
        <w:keepNext/>
        <w:spacing w:before="200" w:after="60"/>
      </w:pPr>
      <w:r>
        <w:rPr>
          <w:rFonts w:ascii="Times New Roman" w:hAnsi="Times New Roman"/>
          <w:b/>
          <w:color w:val="1F4E79"/>
          <w:sz w:val="24"/>
        </w:rPr>
        <w:t>4.4.2 Physical Incipient Degradation Signatures</w:t>
      </w:r>
    </w:p>
    <w:p>
      <w:pPr>
        <w:spacing w:before="40" w:after="100" w:line="276" w:lineRule="auto"/>
      </w:pPr>
      <w:r>
        <w:rPr>
          <w:rFonts w:ascii="Times New Roman" w:hAnsi="Times New Roman"/>
          <w:color w:val="262626"/>
          <w:sz w:val="22"/>
        </w:rPr>
        <w:t>Analysis of the 14 informative sensors across the operational lifespan of FD001 engines reveals distinct thermodynamic degradation signatures:</w:t>
      </w:r>
    </w:p>
    <w:p>
      <w:pPr>
        <w:pStyle w:val="ListBullet"/>
        <w:spacing w:before="30" w:after="30" w:line="276" w:lineRule="auto"/>
      </w:pPr>
      <w:r>
        <w:rPr>
          <w:rFonts w:ascii="Times New Roman" w:hAnsi="Times New Roman"/>
          <w:b/>
          <w:color w:val="262626"/>
          <w:sz w:val="22"/>
        </w:rPr>
        <w:t>Thermal Drift:</w:t>
      </w:r>
      <w:r>
        <w:rPr>
          <w:rFonts w:ascii="Times New Roman" w:hAnsi="Times New Roman"/>
          <w:color w:val="262626"/>
          <w:sz w:val="22"/>
        </w:rPr>
        <w:t xml:space="preserve"> Total temperature at LPC outlet ($T_{24}$, $s_2$), HPC outlet ($T_{30}$, $s_3$), and LPT outlet ($T_{50}$, $s_4$) exhibit consistent, monotonic upward drift as cycles progress toward failure. As the high-pressure compressor degrades in aerodynamic efficiency, the engine control unit must inject additional fuel flow to maintain demanded thrust, directly driving combustion and exhaust gas temperatures upward.</w:t>
      </w:r>
    </w:p>
    <w:p>
      <w:pPr>
        <w:pStyle w:val="ListBullet"/>
        <w:spacing w:before="30" w:after="30" w:line="276" w:lineRule="auto"/>
      </w:pPr>
      <w:r>
        <w:rPr>
          <w:rFonts w:ascii="Times New Roman" w:hAnsi="Times New Roman"/>
          <w:b/>
          <w:color w:val="262626"/>
          <w:sz w:val="22"/>
        </w:rPr>
        <w:t>Pneumatic Degradation:</w:t>
      </w:r>
      <w:r>
        <w:rPr>
          <w:rFonts w:ascii="Times New Roman" w:hAnsi="Times New Roman"/>
          <w:color w:val="262626"/>
          <w:sz w:val="22"/>
        </w:rPr>
        <w:t xml:space="preserve"> Static pressure at HPC outlet ($Ps_{30}$, $s_{11}$) and total pressure ($P_{30}$, $s_7$) show a steady, monotonic decline over time, reflecting loss of compression stage efficiency.</w:t>
      </w:r>
    </w:p>
    <w:p>
      <w:pPr>
        <w:pStyle w:val="ListBullet"/>
        <w:spacing w:before="30" w:after="30" w:line="276" w:lineRule="auto"/>
      </w:pPr>
      <w:r>
        <w:rPr>
          <w:rFonts w:ascii="Times New Roman" w:hAnsi="Times New Roman"/>
          <w:b/>
          <w:color w:val="262626"/>
          <w:sz w:val="22"/>
        </w:rPr>
        <w:t>Rotor Dynamics:</w:t>
      </w:r>
      <w:r>
        <w:rPr>
          <w:rFonts w:ascii="Times New Roman" w:hAnsi="Times New Roman"/>
          <w:color w:val="262626"/>
          <w:sz w:val="22"/>
        </w:rPr>
        <w:t xml:space="preserve"> Corrected core speed ($NR_c$, $s_{14}$) and corrected fan speed ($NR_f$, $s_{13}$) demonstrate strong monotonic downward trajectories, while physical core speed ($N_c$, $s_9$) exhibits slight upward compensation.</w:t>
      </w:r>
    </w:p>
    <w:p>
      <w:pPr>
        <w:pStyle w:val="ListBullet"/>
        <w:spacing w:before="30" w:after="30" w:line="276" w:lineRule="auto"/>
      </w:pPr>
      <w:r>
        <w:rPr>
          <w:rFonts w:ascii="Times New Roman" w:hAnsi="Times New Roman"/>
          <w:b/>
          <w:color w:val="262626"/>
          <w:sz w:val="22"/>
        </w:rPr>
        <w:t>Bypass and Bleed Flow Shifts:</w:t>
      </w:r>
      <w:r>
        <w:rPr>
          <w:rFonts w:ascii="Times New Roman" w:hAnsi="Times New Roman"/>
          <w:color w:val="262626"/>
          <w:sz w:val="22"/>
        </w:rPr>
        <w:t xml:space="preserve"> Bypass ratio ($BPR$, $s_{15}$) and bleed enthalpy ($htBleed$, $s_{17}$) exhibit clear non-linear increases in the final 50 cycles of engine life, providing prominent late-life degradation signatures.</w:t>
      </w:r>
    </w:p>
    <w:p>
      <w:pPr>
        <w:keepNext/>
        <w:spacing w:before="240" w:after="80"/>
      </w:pPr>
      <w:r>
        <w:rPr>
          <w:rFonts w:ascii="Times New Roman" w:hAnsi="Times New Roman"/>
          <w:b/>
          <w:color w:val="2E75B6"/>
          <w:sz w:val="28"/>
        </w:rPr>
        <w:t>4.5 Multi-Regime Operational Clustering</w:t>
      </w:r>
    </w:p>
    <w:p>
      <w:pPr>
        <w:spacing w:before="40" w:after="100" w:line="276" w:lineRule="auto"/>
      </w:pPr>
      <w:r>
        <w:rPr>
          <w:rFonts w:ascii="Times New Roman" w:hAnsi="Times New Roman"/>
          <w:color w:val="262626"/>
          <w:sz w:val="22"/>
        </w:rPr>
        <w:t>While single-condition subsets (FD001 and FD003) display clear, monotonic sensor trajectories that correlate directly with mechanical wear, multi-condition subsets (</w:t>
      </w:r>
      <w:r>
        <w:rPr>
          <w:rFonts w:ascii="Times New Roman" w:hAnsi="Times New Roman"/>
          <w:b/>
          <w:color w:val="262626"/>
          <w:sz w:val="22"/>
        </w:rPr>
        <w:t>FD002</w:t>
      </w:r>
      <w:r>
        <w:rPr>
          <w:rFonts w:ascii="Times New Roman" w:hAnsi="Times New Roman"/>
          <w:color w:val="262626"/>
          <w:sz w:val="22"/>
        </w:rPr>
        <w:t xml:space="preserve"> and </w:t>
      </w:r>
      <w:r>
        <w:rPr>
          <w:rFonts w:ascii="Times New Roman" w:hAnsi="Times New Roman"/>
          <w:b/>
          <w:color w:val="262626"/>
          <w:sz w:val="22"/>
        </w:rPr>
        <w:t>FD004</w:t>
      </w:r>
      <w:r>
        <w:rPr>
          <w:rFonts w:ascii="Times New Roman" w:hAnsi="Times New Roman"/>
          <w:color w:val="262626"/>
          <w:sz w:val="22"/>
        </w:rPr>
        <w:t>) present an entirely different physical landscape.</w:t>
      </w:r>
    </w:p>
    <w:p>
      <w:pPr>
        <w:spacing w:before="40" w:after="100" w:line="276" w:lineRule="auto"/>
      </w:pPr>
      <w:r>
        <w:rPr>
          <w:rFonts w:ascii="Times New Roman" w:hAnsi="Times New Roman"/>
          <w:color w:val="262626"/>
          <w:sz w:val="22"/>
        </w:rPr>
        <w:t>In FD002 and FD004, the three operational settings (</w:t>
      </w:r>
      <w:r>
        <w:rPr>
          <w:rFonts w:ascii="Consolas" w:hAnsi="Consolas"/>
          <w:color w:val="990000"/>
          <w:sz w:val="20"/>
        </w:rPr>
        <w:t>op_setting_1</w:t>
      </w:r>
      <w:r>
        <w:rPr>
          <w:rFonts w:ascii="Times New Roman" w:hAnsi="Times New Roman"/>
          <w:color w:val="262626"/>
          <w:sz w:val="22"/>
        </w:rPr>
        <w:t xml:space="preserve">, </w:t>
      </w:r>
      <w:r>
        <w:rPr>
          <w:rFonts w:ascii="Consolas" w:hAnsi="Consolas"/>
          <w:color w:val="990000"/>
          <w:sz w:val="20"/>
        </w:rPr>
        <w:t>op_setting_2</w:t>
      </w:r>
      <w:r>
        <w:rPr>
          <w:rFonts w:ascii="Times New Roman" w:hAnsi="Times New Roman"/>
          <w:color w:val="262626"/>
          <w:sz w:val="22"/>
        </w:rPr>
        <w:t xml:space="preserve">, </w:t>
      </w:r>
      <w:r>
        <w:rPr>
          <w:rFonts w:ascii="Consolas" w:hAnsi="Consolas"/>
          <w:color w:val="990000"/>
          <w:sz w:val="20"/>
        </w:rPr>
        <w:t>op_setting_3</w:t>
      </w:r>
      <w:r>
        <w:rPr>
          <w:rFonts w:ascii="Times New Roman" w:hAnsi="Times New Roman"/>
          <w:color w:val="262626"/>
          <w:sz w:val="22"/>
        </w:rPr>
        <w:t>) dynamically cycle across six distinct flight regimes representing different aircraft altitudes, flight speeds, and thrust commands:</w:t>
      </w:r>
    </w:p>
    <w:p>
      <w:pPr>
        <w:pStyle w:val="ListNumber"/>
        <w:spacing w:before="30" w:after="30" w:line="276" w:lineRule="auto"/>
      </w:pPr>
      <w:r>
        <w:rPr>
          <w:rFonts w:ascii="Times New Roman" w:hAnsi="Times New Roman"/>
          <w:b/>
          <w:color w:val="262626"/>
          <w:sz w:val="22"/>
        </w:rPr>
        <w:t>Regime 0:</w:t>
      </w:r>
      <w:r>
        <w:rPr>
          <w:rFonts w:ascii="Times New Roman" w:hAnsi="Times New Roman"/>
          <w:color w:val="262626"/>
          <w:sz w:val="22"/>
        </w:rPr>
        <w:t xml:space="preserve"> Low altitude, low speed (Sea level climb / descent).</w:t>
      </w:r>
    </w:p>
    <w:p>
      <w:pPr>
        <w:pStyle w:val="ListNumber"/>
        <w:spacing w:before="30" w:after="30" w:line="276" w:lineRule="auto"/>
      </w:pPr>
      <w:r>
        <w:rPr>
          <w:rFonts w:ascii="Times New Roman" w:hAnsi="Times New Roman"/>
          <w:b/>
          <w:color w:val="262626"/>
          <w:sz w:val="22"/>
        </w:rPr>
        <w:t>Regime 1:</w:t>
      </w:r>
      <w:r>
        <w:rPr>
          <w:rFonts w:ascii="Times New Roman" w:hAnsi="Times New Roman"/>
          <w:color w:val="262626"/>
          <w:sz w:val="22"/>
        </w:rPr>
        <w:t xml:space="preserve"> Low altitude, high speed (Low-altitude cruise).</w:t>
      </w:r>
    </w:p>
    <w:p>
      <w:pPr>
        <w:pStyle w:val="ListNumber"/>
        <w:spacing w:before="30" w:after="30" w:line="276" w:lineRule="auto"/>
      </w:pPr>
      <w:r>
        <w:rPr>
          <w:rFonts w:ascii="Times New Roman" w:hAnsi="Times New Roman"/>
          <w:b/>
          <w:color w:val="262626"/>
          <w:sz w:val="22"/>
        </w:rPr>
        <w:t>Regime 2:</w:t>
      </w:r>
      <w:r>
        <w:rPr>
          <w:rFonts w:ascii="Times New Roman" w:hAnsi="Times New Roman"/>
          <w:color w:val="262626"/>
          <w:sz w:val="22"/>
        </w:rPr>
        <w:t xml:space="preserve"> Mid altitude, mid speed (Intermediate transit).</w:t>
      </w:r>
    </w:p>
    <w:p>
      <w:pPr>
        <w:pStyle w:val="ListNumber"/>
        <w:spacing w:before="30" w:after="30" w:line="276" w:lineRule="auto"/>
      </w:pPr>
      <w:r>
        <w:rPr>
          <w:rFonts w:ascii="Times New Roman" w:hAnsi="Times New Roman"/>
          <w:b/>
          <w:color w:val="262626"/>
          <w:sz w:val="22"/>
        </w:rPr>
        <w:t>Regime 3:</w:t>
      </w:r>
      <w:r>
        <w:rPr>
          <w:rFonts w:ascii="Times New Roman" w:hAnsi="Times New Roman"/>
          <w:color w:val="262626"/>
          <w:sz w:val="22"/>
        </w:rPr>
        <w:t xml:space="preserve"> High altitude, low speed (High-altitude loiter).</w:t>
      </w:r>
    </w:p>
    <w:p>
      <w:pPr>
        <w:pStyle w:val="ListNumber"/>
        <w:spacing w:before="30" w:after="30" w:line="276" w:lineRule="auto"/>
      </w:pPr>
      <w:r>
        <w:rPr>
          <w:rFonts w:ascii="Times New Roman" w:hAnsi="Times New Roman"/>
          <w:b/>
          <w:color w:val="262626"/>
          <w:sz w:val="22"/>
        </w:rPr>
        <w:t>Regime 4:</w:t>
      </w:r>
      <w:r>
        <w:rPr>
          <w:rFonts w:ascii="Times New Roman" w:hAnsi="Times New Roman"/>
          <w:color w:val="262626"/>
          <w:sz w:val="22"/>
        </w:rPr>
        <w:t xml:space="preserve"> High altitude, high speed (Standard commercial cruise).</w:t>
      </w:r>
    </w:p>
    <w:p>
      <w:pPr>
        <w:pStyle w:val="ListNumber"/>
        <w:spacing w:before="30" w:after="30" w:line="276" w:lineRule="auto"/>
      </w:pPr>
      <w:r>
        <w:rPr>
          <w:rFonts w:ascii="Times New Roman" w:hAnsi="Times New Roman"/>
          <w:b/>
          <w:color w:val="262626"/>
          <w:sz w:val="22"/>
        </w:rPr>
        <w:t>Regime 5:</w:t>
      </w:r>
      <w:r>
        <w:rPr>
          <w:rFonts w:ascii="Times New Roman" w:hAnsi="Times New Roman"/>
          <w:color w:val="262626"/>
          <w:sz w:val="22"/>
        </w:rPr>
        <w:t xml:space="preserve"> Maximum altitude, maximum Mach (High-performance cruise).</w:t>
      </w:r>
    </w:p>
    <w:p>
      <w:pPr>
        <w:spacing w:before="40" w:after="100" w:line="276" w:lineRule="auto"/>
      </w:pPr>
      <w:r>
        <w:rPr>
          <w:rFonts w:ascii="Times New Roman" w:hAnsi="Times New Roman"/>
          <w:color w:val="262626"/>
          <w:sz w:val="22"/>
        </w:rPr>
        <w:t>Applying unsupervised K-Means clustering ($K=6$) to the three operational setting features perfectly separates the dataset into these six operational modes with near-zero within-cluster variance.</w:t>
      </w:r>
    </w:p>
    <w:p>
      <w:pPr>
        <w:spacing w:before="40" w:after="100" w:line="276" w:lineRule="auto"/>
      </w:pPr>
      <w:r>
        <w:rPr>
          <w:rFonts w:ascii="Times New Roman" w:hAnsi="Times New Roman"/>
          <w:color w:val="262626"/>
          <w:sz w:val="22"/>
        </w:rPr>
        <w:t>Figure 4.1 conceptualizes the critical modeling challenge introduced by these multi-condition regimes: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[Operational Regime Shifts in FD002/FD004]</w:t>
              <w:br/>
              <w:t xml:space="preserve">   Sensor Value</w:t>
              <w:br/>
              <w:t xml:space="preserve">       ^</w:t>
              <w:br/>
              <w:t xml:space="preserve">  600 -|        *** Regime 5 (High Cruise) ***</w:t>
              <w:br/>
              <w:t xml:space="preserve">       |</w:t>
              <w:br/>
              <w:t xml:space="preserve">  550 -|        ### Regime 4 (Mid Cruise) ###</w:t>
              <w:br/>
              <w:t xml:space="preserve">       |</w:t>
              <w:br/>
              <w:t xml:space="preserve">  500 -|        $$$ Regime 1 (Low Altitude) $$$</w:t>
              <w:br/>
              <w:t xml:space="preserve">       |</w:t>
              <w:br/>
              <w:t xml:space="preserve">  450 -|   ... True degradation signal: delta = +15 units ...</w:t>
              <w:br/>
              <w:t xml:space="preserve">       |   ... Regime variation:        delta = +150 units ...</w:t>
              <w:br/>
              <w:t xml:space="preserve">       +----------------------------------------------------&gt; Flight Cycles</w:t>
            </w:r>
          </w:p>
        </w:tc>
      </w:tr>
    </w:tbl>
    <w:p>
      <w:pPr>
        <w:spacing w:before="40" w:after="80"/>
      </w:pPr>
    </w:p>
    <w:p>
      <w:pPr>
        <w:spacing w:before="40" w:after="100" w:line="276" w:lineRule="auto"/>
      </w:pPr>
      <w:r>
        <w:rPr>
          <w:rFonts w:ascii="Times New Roman" w:hAnsi="Times New Roman"/>
          <w:color w:val="262626"/>
          <w:sz w:val="22"/>
        </w:rPr>
        <w:t>Within any single flight regime, physical degradation causes a sensor measurement (e.g., $T_{24}$) to shift upward by approximately 10 to 20 units over hundreds of cycles. However, transitioning between different flight regimes causes the same sensor measurement to jump instantaneously by 100 to 200 units!</w:t>
      </w:r>
    </w:p>
    <w:p>
      <w:pPr>
        <w:spacing w:before="40" w:after="100" w:line="276" w:lineRule="auto"/>
      </w:pPr>
      <w:r>
        <w:rPr>
          <w:rFonts w:ascii="Times New Roman" w:hAnsi="Times New Roman"/>
          <w:color w:val="262626"/>
          <w:sz w:val="22"/>
        </w:rPr>
        <w:t>Consequently, if a global statistical model or standard anomaly detector is trained across raw telemetry without regime-specific calibration, the massive operational variance completely overwhelms the subtle degradation signal. The algorithm misinterprets standard flight regime transitions as catastrophic machine anomalies, while remaining entirely blind to true physical degradation. This physical reality establishes the foundation for our multi-condition experiments in Chapter 7.</w:t>
      </w:r>
    </w:p>
    <w:p>
      <w:pPr>
        <w:spacing w:before="120" w:after="120"/>
      </w:pPr>
      <w:r>
        <w:rPr>
          <w:color w:val="BDC3C7"/>
          <w:sz w:val="16"/>
        </w:rPr>
        <w:t>―――――――――――――――――――――――――――――――――――――――――――――――――――――――</w:t>
      </w:r>
    </w:p>
    <w:p>
      <w:pPr>
        <w:keepNext/>
        <w:spacing w:before="320" w:after="120"/>
      </w:pPr>
      <w:r>
        <w:rPr>
          <w:rFonts w:ascii="Times New Roman" w:hAnsi="Times New Roman"/>
          <w:b/>
          <w:color w:val="1F4E79"/>
          <w:sz w:val="36"/>
        </w:rPr>
        <w:t>Chapter 5: Methodology</w:t>
      </w:r>
    </w:p>
    <w:p>
      <w:pPr>
        <w:keepNext/>
        <w:spacing w:before="240" w:after="80"/>
      </w:pPr>
      <w:r>
        <w:rPr>
          <w:rFonts w:ascii="Times New Roman" w:hAnsi="Times New Roman"/>
          <w:b/>
          <w:color w:val="2E75B6"/>
          <w:sz w:val="28"/>
        </w:rPr>
        <w:t>5.1 Strict Leakage Prevention Architecture</w:t>
      </w:r>
    </w:p>
    <w:p>
      <w:pPr>
        <w:spacing w:before="40" w:after="100" w:line="276" w:lineRule="auto"/>
      </w:pPr>
      <w:r>
        <w:rPr>
          <w:rFonts w:ascii="Times New Roman" w:hAnsi="Times New Roman"/>
          <w:color w:val="262626"/>
          <w:sz w:val="22"/>
        </w:rPr>
        <w:t>Data leakage represents one of the most pervasive sources of invalidity in empirical machine learning for predictive maintenance. To establish an uncompromising, scientifically defensible benchmark, this study enforces a strict four-pillar leakage prevention protocol across all experiments: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[Strict Leakage Prevention Framework]</w:t>
              <w:br/>
              <w:t>=============================================================================</w:t>
              <w:br/>
              <w:t>1. Engine-Level Partitioning:</w:t>
              <w:br/>
              <w:t xml:space="preserve">   - 100% Unique Engines Shuffled by Seed</w:t>
              <w:br/>
              <w:t xml:space="preserve">   - 70% Training Engines  --&gt;  15% Validation Engines  --&gt;  15% Test Engines</w:t>
              <w:br/>
              <w:t xml:space="preserve">   - Strict Zero-Overlap: No engine appears in multiple splits!</w:t>
              <w:br/>
              <w:t>-----------------------------------------------------------------------------</w:t>
              <w:br/>
              <w:t>2. Normalization Isolation:</w:t>
              <w:br/>
              <w:t xml:space="preserve">   - Scaler Fit: STRICTLY on Healthy Intervals of Training Engines ONLY</w:t>
              <w:br/>
              <w:t xml:space="preserve">   - Scaler Transform: Applied downstream to Validation &amp; Test data</w:t>
              <w:br/>
              <w:t xml:space="preserve">   - Zero access to future/unseen engine statistics!</w:t>
              <w:br/>
              <w:t>-----------------------------------------------------------------------------</w:t>
              <w:br/>
              <w:t>3. Validation-Constrained Thresholding:</w:t>
              <w:br/>
              <w:t xml:space="preserve">   - Decision Thresholds: Calibrated SOLELY on Validation Anomaly Scores</w:t>
              <w:br/>
              <w:t xml:space="preserve">   - Test Split: Evaluated exclusively with frozen, pre-calibrated thresholds</w:t>
              <w:br/>
              <w:t xml:space="preserve">   - Absolute prohibition on "oracle" test-label threshold sweeping!</w:t>
              <w:br/>
              <w:t>-----------------------------------------------------------------------------</w:t>
              <w:br/>
              <w:t>4. Boundary-Isolated Temporal Sequencing:</w:t>
              <w:br/>
              <w:t xml:space="preserve">   - Sliding Windows (W=30): Never cross engine boundaries</w:t>
              <w:br/>
              <w:t xml:space="preserve">   - Chronological Ordering: Windows contain only past/present timesteps</w:t>
              <w:br/>
              <w:t xml:space="preserve">   - No temporal shuffling; zero future information leakage!</w:t>
              <w:br/>
              <w:t>=============================================================================</w:t>
            </w:r>
          </w:p>
        </w:tc>
      </w:tr>
    </w:tbl>
    <w:p>
      <w:pPr>
        <w:spacing w:before="40" w:after="80"/>
      </w:pPr>
    </w:p>
    <w:p>
      <w:pPr>
        <w:keepNext/>
        <w:spacing w:before="200" w:after="60"/>
      </w:pPr>
      <w:r>
        <w:rPr>
          <w:rFonts w:ascii="Times New Roman" w:hAnsi="Times New Roman"/>
          <w:b/>
          <w:color w:val="1F4E79"/>
          <w:sz w:val="24"/>
        </w:rPr>
        <w:t>5.1.1 Engine-Level Stratified Splits</w:t>
      </w:r>
    </w:p>
    <w:p>
      <w:pPr>
        <w:spacing w:before="40" w:after="100" w:line="276" w:lineRule="auto"/>
      </w:pPr>
      <w:r>
        <w:rPr>
          <w:rFonts w:ascii="Times New Roman" w:hAnsi="Times New Roman"/>
          <w:color w:val="262626"/>
          <w:sz w:val="22"/>
        </w:rPr>
        <w:t xml:space="preserve">Observation-level random splitting—frequently employed in naive benchmarks—randomly assigns individual cycle rows to train and test partitions. In run-to-failure telemetry, this allows the training set to observe an engine at cycle 200 and test on cycle 199. This violates temporal independence and inflates performance metrics to near-perfection. In our methodology, data splitting occurs strictly at the </w:t>
      </w:r>
      <w:r>
        <w:rPr>
          <w:rFonts w:ascii="Times New Roman" w:hAnsi="Times New Roman"/>
          <w:b/>
          <w:color w:val="262626"/>
          <w:sz w:val="22"/>
        </w:rPr>
        <w:t>engine entity level</w:t>
      </w:r>
      <w:r>
        <w:rPr>
          <w:rFonts w:ascii="Times New Roman" w:hAnsi="Times New Roman"/>
          <w:color w:val="262626"/>
          <w:sz w:val="22"/>
        </w:rPr>
        <w:t>:</w:t>
      </w:r>
    </w:p>
    <w:p>
      <w:pPr>
        <w:spacing w:before="40" w:after="100" w:line="276" w:lineRule="auto"/>
      </w:pPr>
      <w:r>
        <w:rPr>
          <w:rFonts w:ascii="Times New Roman" w:hAnsi="Times New Roman"/>
          <w:color w:val="262626"/>
          <w:sz w:val="22"/>
        </w:rPr>
        <w:t>$$\mathcal{E}_{\text{total}} = \mathcal{E}_{\text{train}} \cup \mathcal{E}_{\text{val}} \cup \mathcal{E}_{\text{test}}, \quad \text{where} \quad \mathcal{E}_i \cap \mathcal{E}_j = \emptyset \quad \forall i \neq j$$</w:t>
      </w:r>
    </w:p>
    <w:p>
      <w:pPr>
        <w:spacing w:before="40" w:after="100" w:line="276" w:lineRule="auto"/>
      </w:pPr>
      <w:r>
        <w:rPr>
          <w:rFonts w:ascii="Times New Roman" w:hAnsi="Times New Roman"/>
          <w:color w:val="262626"/>
          <w:sz w:val="22"/>
        </w:rPr>
        <w:t>For FD001 (100 engines), 70 engines are assigned to training, 15 engines to validation, and 15 engines to testing, using deterministic seeded shuffling.</w:t>
      </w:r>
    </w:p>
    <w:p>
      <w:pPr>
        <w:keepNext/>
        <w:spacing w:before="200" w:after="60"/>
      </w:pPr>
      <w:r>
        <w:rPr>
          <w:rFonts w:ascii="Times New Roman" w:hAnsi="Times New Roman"/>
          <w:b/>
          <w:color w:val="1F4E79"/>
          <w:sz w:val="24"/>
        </w:rPr>
        <w:t>5.1.2 Training-Only Normalization</w:t>
      </w:r>
    </w:p>
    <w:p>
      <w:pPr>
        <w:spacing w:before="40" w:after="100" w:line="276" w:lineRule="auto"/>
      </w:pPr>
      <w:r>
        <w:rPr>
          <w:rFonts w:ascii="Times New Roman" w:hAnsi="Times New Roman"/>
          <w:color w:val="262626"/>
          <w:sz w:val="22"/>
        </w:rPr>
        <w:t>Sensor channels possess disparate physical units (temperatures in hundreds of Rankine, pressures in tens of psia, flow ratios under 0.1). Normalization is mandatory for neural networks and distance metrics. Standard Z-score normalization computes:</w:t>
      </w:r>
    </w:p>
    <w:p>
      <w:pPr>
        <w:spacing w:before="40" w:after="100" w:line="276" w:lineRule="auto"/>
      </w:pPr>
      <w:r>
        <w:rPr>
          <w:rFonts w:ascii="Times New Roman" w:hAnsi="Times New Roman"/>
          <w:color w:val="262626"/>
          <w:sz w:val="22"/>
        </w:rPr>
        <w:t>$$\hat{x}_{t,j} = \frac{x_{t,j} - \mu_{j,\text{train}}}{\sigma_{j,\text{train}}}$$</w:t>
      </w:r>
    </w:p>
    <w:p>
      <w:pPr>
        <w:spacing w:before="40" w:after="100" w:line="276" w:lineRule="auto"/>
      </w:pPr>
      <w:r>
        <w:rPr>
          <w:rFonts w:ascii="Times New Roman" w:hAnsi="Times New Roman"/>
          <w:color w:val="262626"/>
          <w:sz w:val="22"/>
        </w:rPr>
        <w:t xml:space="preserve">Critically, $\mu_{j,\text{train}}$ and $\sigma_{j,\text{train}}$ are computed </w:t>
      </w:r>
      <w:r>
        <w:rPr>
          <w:rFonts w:ascii="Times New Roman" w:hAnsi="Times New Roman"/>
          <w:b/>
          <w:color w:val="262626"/>
          <w:sz w:val="22"/>
        </w:rPr>
        <w:t>strictly from the healthy phase of training engines</w:t>
      </w:r>
      <w:r>
        <w:rPr>
          <w:rFonts w:ascii="Times New Roman" w:hAnsi="Times New Roman"/>
          <w:color w:val="262626"/>
          <w:sz w:val="22"/>
        </w:rPr>
        <w:t>. Validation and test partitions are normalized using these frozen parameters. Computing normalization parameters across the combined dataset is strictly prohibited.</w:t>
      </w:r>
    </w:p>
    <w:p>
      <w:pPr>
        <w:keepNext/>
        <w:spacing w:before="200" w:after="60"/>
      </w:pPr>
      <w:r>
        <w:rPr>
          <w:rFonts w:ascii="Times New Roman" w:hAnsi="Times New Roman"/>
          <w:b/>
          <w:color w:val="1F4E79"/>
          <w:sz w:val="24"/>
        </w:rPr>
        <w:t>5.1.3 Validation-Only Threshold Calibration</w:t>
      </w:r>
    </w:p>
    <w:p>
      <w:pPr>
        <w:spacing w:before="40" w:after="100" w:line="276" w:lineRule="auto"/>
      </w:pPr>
      <w:r>
        <w:rPr>
          <w:rFonts w:ascii="Times New Roman" w:hAnsi="Times New Roman"/>
          <w:color w:val="262626"/>
          <w:sz w:val="22"/>
        </w:rPr>
        <w:t>In real-world predictive maintenance, an anomaly detection threshold must be chosen before deploying the model onto unmonitored production machinery. Evaluating a range of thresholds and reporting the maximum test F1-score (test-oracle thresholding) produces artificially inflated metrics that cannot be replicated in practice. In our framework, all decision thresholds are calibrated exclusively on the validation partition, frozen, and subsequently applied blindly to the held-out test partition.</w:t>
      </w:r>
    </w:p>
    <w:p>
      <w:pPr>
        <w:keepNext/>
        <w:spacing w:before="200" w:after="60"/>
      </w:pPr>
      <w:r>
        <w:rPr>
          <w:rFonts w:ascii="Times New Roman" w:hAnsi="Times New Roman"/>
          <w:b/>
          <w:color w:val="1F4E79"/>
          <w:sz w:val="24"/>
        </w:rPr>
        <w:t>5.1.4 Boundary-Isolated Temporal Sequencing</w:t>
      </w:r>
    </w:p>
    <w:p>
      <w:pPr>
        <w:spacing w:before="40" w:after="100" w:line="276" w:lineRule="auto"/>
      </w:pPr>
      <w:r>
        <w:rPr>
          <w:rFonts w:ascii="Times New Roman" w:hAnsi="Times New Roman"/>
          <w:color w:val="262626"/>
          <w:sz w:val="22"/>
        </w:rPr>
        <w:t>For temporal recurrent architectures (LSTM-AE), sliding windows of length $W$ are constructed. Slicing sequences across concatenated tables can inadvertently cause a sequence to start on Engine #1 and terminate on Engine #2. Our pipeline guarantees that sliding windows are generated independently within each individual engine's timeline, never crossing engine boundaries. Furthermore, windows contain only historical and current cycles ($\tau \le t$), ensuring zero leakage from future operational states.</w:t>
      </w:r>
    </w:p>
    <w:p>
      <w:pPr>
        <w:keepNext/>
        <w:spacing w:before="240" w:after="80"/>
      </w:pPr>
      <w:r>
        <w:rPr>
          <w:rFonts w:ascii="Times New Roman" w:hAnsi="Times New Roman"/>
          <w:b/>
          <w:color w:val="2E75B6"/>
          <w:sz w:val="28"/>
        </w:rPr>
        <w:t>5.2 Formal Operational Health Definition</w:t>
      </w:r>
    </w:p>
    <w:p>
      <w:pPr>
        <w:spacing w:before="40" w:after="100" w:line="276" w:lineRule="auto"/>
      </w:pPr>
      <w:r>
        <w:rPr>
          <w:rFonts w:ascii="Times New Roman" w:hAnsi="Times New Roman"/>
          <w:color w:val="262626"/>
          <w:sz w:val="22"/>
        </w:rPr>
        <w:t>In unsupervised and semi-supervised anomaly detection, algorithms are trained to model normal operational behavior. In the C-MAPSS dataset, engines are initialized with healthy physical parameters and run until functional failure. While degradation propagates continuously, physical engines remain within nominal operating tolerances throughout their early operational lifespan.</w:t>
      </w:r>
    </w:p>
    <w:p>
      <w:pPr>
        <w:spacing w:before="40" w:after="100" w:line="276" w:lineRule="auto"/>
      </w:pPr>
      <w:r>
        <w:rPr>
          <w:rFonts w:ascii="Times New Roman" w:hAnsi="Times New Roman"/>
          <w:color w:val="262626"/>
          <w:sz w:val="22"/>
        </w:rPr>
        <w:t>Following established literature conventions (Saxena et al., 2008; Babu et al., 2016), we define the healthy baseline interval as the first $70\%$ of an engine's total recorded operational lifespan:</w:t>
      </w:r>
    </w:p>
    <w:p>
      <w:pPr>
        <w:spacing w:before="40" w:after="100" w:line="276" w:lineRule="auto"/>
      </w:pPr>
      <w:r>
        <w:rPr>
          <w:rFonts w:ascii="Times New Roman" w:hAnsi="Times New Roman"/>
          <w:color w:val="262626"/>
          <w:sz w:val="22"/>
        </w:rPr>
        <w:t>$$\text{Healthy Phase}: \quad \mathcal{T}_{\text{healthy}}(e) = \{t \in [1, T_e] \mid t \le \lfloor 0.70 \times T_e \rfloor\}$$</w:t>
      </w:r>
    </w:p>
    <w:p>
      <w:pPr>
        <w:spacing w:before="40" w:after="100" w:line="276" w:lineRule="auto"/>
      </w:pPr>
      <w:r>
        <w:rPr>
          <w:rFonts w:ascii="Times New Roman" w:hAnsi="Times New Roman"/>
          <w:color w:val="262626"/>
          <w:sz w:val="22"/>
        </w:rPr>
        <w:t>$$\text{Degraded Phase}: \quad \mathcal{T}_{\text{degraded}}(e) = \{t \in [1, T_e] \mid t &gt; \lfloor 0.70 \times T_e \rfloor\}$$</w:t>
      </w:r>
    </w:p>
    <w:p>
      <w:pPr>
        <w:spacing w:before="40" w:after="100" w:line="276" w:lineRule="auto"/>
      </w:pPr>
      <w:r>
        <w:rPr>
          <w:rFonts w:ascii="Times New Roman" w:hAnsi="Times New Roman"/>
          <w:color w:val="262626"/>
          <w:sz w:val="22"/>
        </w:rPr>
        <w:t>where $T_e$ denotes the total lifetime cycles of engine $e$.</w:t>
      </w:r>
    </w:p>
    <w:p>
      <w:pPr>
        <w:spacing w:before="40" w:after="100" w:line="276" w:lineRule="auto"/>
      </w:pPr>
      <w:r>
        <w:rPr>
          <w:rFonts w:ascii="Times New Roman" w:hAnsi="Times New Roman"/>
          <w:color w:val="262626"/>
          <w:sz w:val="22"/>
        </w:rPr>
        <w:t>For model training, all five algorithms are optimized exclusively on telemetry extracted from $\mathcal{T}_{\text{healthy}}(e)$ for $e \in \mathcal{E}_{\text{train}}$. For cycle-level binary evaluation, cycles with Remaining Useful Life (RUL) $\le 30$ cycles ($RUL = T_e - t \le 30$) are formally designated as true operational failure anomalies.</w:t>
      </w:r>
    </w:p>
    <w:p>
      <w:pPr>
        <w:keepNext/>
        <w:spacing w:before="240" w:after="80"/>
      </w:pPr>
      <w:r>
        <w:rPr>
          <w:rFonts w:ascii="Times New Roman" w:hAnsi="Times New Roman"/>
          <w:b/>
          <w:color w:val="2E75B6"/>
          <w:sz w:val="28"/>
        </w:rPr>
        <w:t>5.3 Mathematical Formulation of Investigated Models</w:t>
      </w:r>
    </w:p>
    <w:p>
      <w:pPr>
        <w:keepNext/>
        <w:spacing w:before="200" w:after="60"/>
      </w:pPr>
      <w:r>
        <w:rPr>
          <w:rFonts w:ascii="Times New Roman" w:hAnsi="Times New Roman"/>
          <w:b/>
          <w:color w:val="1F4E79"/>
          <w:sz w:val="24"/>
        </w:rPr>
        <w:t>5.3.1 Statistical Z-Score / Percentile Baseline</w:t>
      </w:r>
    </w:p>
    <w:p>
      <w:pPr>
        <w:spacing w:before="40" w:after="100" w:line="276" w:lineRule="auto"/>
      </w:pPr>
      <w:r>
        <w:rPr>
          <w:rFonts w:ascii="Times New Roman" w:hAnsi="Times New Roman"/>
          <w:color w:val="262626"/>
          <w:sz w:val="22"/>
        </w:rPr>
        <w:t>The Statistical baseline requires zero iterative gradient optimization. For each informative sensor channel $j \in \mathcal{S}$, the empirical mean $\mu_j$ and sample standard deviation $\sigma_j$ are calculated across the healthy training observations:</w:t>
      </w:r>
    </w:p>
    <w:p>
      <w:pPr>
        <w:spacing w:before="40" w:after="100" w:line="276" w:lineRule="auto"/>
      </w:pPr>
      <w:r>
        <w:rPr>
          <w:rFonts w:ascii="Times New Roman" w:hAnsi="Times New Roman"/>
          <w:color w:val="262626"/>
          <w:sz w:val="22"/>
        </w:rPr>
        <w:t>$$\mu_j = \frac{1}{N} \sum_{i=1}^N x_{i,j}, \quad \sigma_j = \sqrt{\frac{1}{N-1} \sum_{i=1}^N (x_{i,j} - \mu_j)^2}$$</w:t>
      </w:r>
    </w:p>
    <w:p>
      <w:pPr>
        <w:spacing w:before="40" w:after="100" w:line="276" w:lineRule="auto"/>
      </w:pPr>
      <w:r>
        <w:rPr>
          <w:rFonts w:ascii="Times New Roman" w:hAnsi="Times New Roman"/>
          <w:color w:val="262626"/>
          <w:sz w:val="22"/>
        </w:rPr>
        <w:t>For any arbitrary test observation $x_t \in \mathbb{R}^D$, the normalized Z-score vector $z_t \in \mathbb{R}^D$ is computed as:</w:t>
      </w:r>
    </w:p>
    <w:p>
      <w:pPr>
        <w:spacing w:before="40" w:after="100" w:line="276" w:lineRule="auto"/>
      </w:pPr>
      <w:r>
        <w:rPr>
          <w:rFonts w:ascii="Times New Roman" w:hAnsi="Times New Roman"/>
          <w:color w:val="262626"/>
          <w:sz w:val="22"/>
        </w:rPr>
        <w:t>$$z_{t,j} = \left|\frac{x_{t,j} - \mu_j}{\sigma_j}\right|$$</w:t>
      </w:r>
    </w:p>
    <w:p>
      <w:pPr>
        <w:spacing w:before="40" w:after="100" w:line="276" w:lineRule="auto"/>
      </w:pPr>
      <w:r>
        <w:rPr>
          <w:rFonts w:ascii="Times New Roman" w:hAnsi="Times New Roman"/>
          <w:color w:val="262626"/>
          <w:sz w:val="22"/>
        </w:rPr>
        <w:t>The scalar anomaly score $S_{\text{stat}}(x_t)$ is formulated as the mean absolute deviation across all monitored sensor channels:</w:t>
      </w:r>
    </w:p>
    <w:p>
      <w:pPr>
        <w:spacing w:before="40" w:after="100" w:line="276" w:lineRule="auto"/>
      </w:pPr>
      <w:r>
        <w:rPr>
          <w:rFonts w:ascii="Times New Roman" w:hAnsi="Times New Roman"/>
          <w:color w:val="262626"/>
          <w:sz w:val="22"/>
        </w:rPr>
        <w:t>$$S_{\text{stat}}(x_t) = \frac{1}{D} \sum_{j=1}^D z_{t,j}$$</w:t>
      </w:r>
    </w:p>
    <w:p>
      <w:pPr>
        <w:keepNext/>
        <w:spacing w:before="200" w:after="60"/>
      </w:pPr>
      <w:r>
        <w:rPr>
          <w:rFonts w:ascii="Times New Roman" w:hAnsi="Times New Roman"/>
          <w:b/>
          <w:color w:val="1F4E79"/>
          <w:sz w:val="24"/>
        </w:rPr>
        <w:t>5.3.2 Isolation Forest (IF)</w:t>
      </w:r>
    </w:p>
    <w:p>
      <w:pPr>
        <w:spacing w:before="40" w:after="100" w:line="276" w:lineRule="auto"/>
      </w:pPr>
      <w:r>
        <w:rPr>
          <w:rFonts w:ascii="Times New Roman" w:hAnsi="Times New Roman"/>
          <w:color w:val="262626"/>
          <w:sz w:val="22"/>
        </w:rPr>
        <w:t>Isolation Forest constructs an ensemble of $T$ randomized Isolation Trees (iTrees), $\{\tau_1, \tau_2, \dots, \tau_T\}$, trained on healthy data subsamples. Given a data point $x \in \mathbb{R}^D$, the path length $h_i(x)$ represents the number of edges traversed from the root of tree $\tau_i$ to the terminal leaf containing $x$.</w:t>
      </w:r>
    </w:p>
    <w:p>
      <w:pPr>
        <w:spacing w:before="40" w:after="100" w:line="276" w:lineRule="auto"/>
      </w:pPr>
      <w:r>
        <w:rPr>
          <w:rFonts w:ascii="Times New Roman" w:hAnsi="Times New Roman"/>
          <w:color w:val="262626"/>
          <w:sz w:val="22"/>
        </w:rPr>
        <w:t>The average path length across the ensemble is $\mathbb{E}(h(x)) = \frac{1}{T}\sum_{i=1}^T h_i(x)$. The average path length of an unsuccessful search in a Binary Search Tree (BST) over $n$ instances serves as the normalization factor:</w:t>
      </w:r>
    </w:p>
    <w:p>
      <w:pPr>
        <w:spacing w:before="40" w:after="100" w:line="276" w:lineRule="auto"/>
      </w:pPr>
      <w:r>
        <w:rPr>
          <w:rFonts w:ascii="Times New Roman" w:hAnsi="Times New Roman"/>
          <w:color w:val="262626"/>
          <w:sz w:val="22"/>
        </w:rPr>
        <w:t>$$c(n) = 2\left(\ln(n - 1) + \gamma\right) - \frac{2(n - 1)}{n}$$</w:t>
      </w:r>
    </w:p>
    <w:p>
      <w:pPr>
        <w:spacing w:before="40" w:after="100" w:line="276" w:lineRule="auto"/>
      </w:pPr>
      <w:r>
        <w:rPr>
          <w:rFonts w:ascii="Times New Roman" w:hAnsi="Times New Roman"/>
          <w:color w:val="262626"/>
          <w:sz w:val="22"/>
        </w:rPr>
        <w:t>where $\gamma \approx 0.5772156649$ is Euler's constant. The anomaly score $S_{\text{IF}}(x)$ is defined as:</w:t>
      </w:r>
    </w:p>
    <w:p>
      <w:pPr>
        <w:spacing w:before="40" w:after="100" w:line="276" w:lineRule="auto"/>
      </w:pPr>
      <w:r>
        <w:rPr>
          <w:rFonts w:ascii="Times New Roman" w:hAnsi="Times New Roman"/>
          <w:color w:val="262626"/>
          <w:sz w:val="22"/>
        </w:rPr>
        <w:t>$$S_{\text{IF}}(x) = 2^{-\frac{\mathbb{E}(h(x))}{c(n)}}$$</w:t>
      </w:r>
    </w:p>
    <w:p>
      <w:pPr>
        <w:spacing w:before="40" w:after="100" w:line="276" w:lineRule="auto"/>
      </w:pPr>
      <w:r>
        <w:rPr>
          <w:rFonts w:ascii="Times New Roman" w:hAnsi="Times New Roman"/>
          <w:color w:val="262626"/>
          <w:sz w:val="22"/>
        </w:rPr>
        <w:t>When $\mathbb{E}(h(x)) \to 0$, $S_{\text{IF}}(x) \to 1$, signifying an extreme anomaly rapidly isolated near tree roots. When $\mathbb{E}(h(x)) \to c(n)$, $S_{\text{IF}}(x) \to 0.5$, indicating nominal instances buried deep within dense clusters.</w:t>
      </w:r>
    </w:p>
    <w:p>
      <w:pPr>
        <w:keepNext/>
        <w:spacing w:before="200" w:after="60"/>
      </w:pPr>
      <w:r>
        <w:rPr>
          <w:rFonts w:ascii="Times New Roman" w:hAnsi="Times New Roman"/>
          <w:b/>
          <w:color w:val="1F4E79"/>
          <w:sz w:val="24"/>
        </w:rPr>
        <w:t>5.3.3 One-Class Support Vector Machine (OC-SVM)</w:t>
      </w:r>
    </w:p>
    <w:p>
      <w:pPr>
        <w:spacing w:before="40" w:after="100" w:line="276" w:lineRule="auto"/>
      </w:pPr>
      <w:r>
        <w:rPr>
          <w:rFonts w:ascii="Times New Roman" w:hAnsi="Times New Roman"/>
          <w:color w:val="262626"/>
          <w:sz w:val="22"/>
        </w:rPr>
        <w:t>The One-Class SVM maps nominal training instances into a reproducing kernel Hilbert space $\mathcal{H}$ via a non-linear mapping $\Phi: \mathbb{R}^D \to \mathcal{H}$ using the Radial Basis Function (RBF) kernel:</w:t>
      </w:r>
    </w:p>
    <w:p>
      <w:pPr>
        <w:spacing w:before="40" w:after="100" w:line="276" w:lineRule="auto"/>
      </w:pPr>
      <w:r>
        <w:rPr>
          <w:rFonts w:ascii="Times New Roman" w:hAnsi="Times New Roman"/>
          <w:color w:val="262626"/>
          <w:sz w:val="22"/>
        </w:rPr>
        <w:t>$$K(x, x') = \langle \Phi(x), \Phi(x') \rangle = \exp\left(-\gamma \|x - x'\|^2\right)$$</w:t>
      </w:r>
    </w:p>
    <w:p>
      <w:pPr>
        <w:spacing w:before="40" w:after="100" w:line="276" w:lineRule="auto"/>
      </w:pPr>
      <w:r>
        <w:rPr>
          <w:rFonts w:ascii="Times New Roman" w:hAnsi="Times New Roman"/>
          <w:color w:val="262626"/>
          <w:sz w:val="22"/>
        </w:rPr>
        <w:t>The primal quadratic optimization problem is formulated as:</w:t>
      </w:r>
    </w:p>
    <w:p>
      <w:pPr>
        <w:spacing w:before="40" w:after="100" w:line="276" w:lineRule="auto"/>
      </w:pPr>
      <w:r>
        <w:rPr>
          <w:rFonts w:ascii="Times New Roman" w:hAnsi="Times New Roman"/>
          <w:color w:val="262626"/>
          <w:sz w:val="22"/>
        </w:rPr>
        <w:t>$$\min_{w, \xi, \rho} \quad \frac{1}{2} \|w\|^2 + \frac{1}{\nu N}\sum_{i=1}^N \xi_i - \rho$$</w:t>
      </w:r>
    </w:p>
    <w:p>
      <w:pPr>
        <w:spacing w:before="40" w:after="100" w:line="276" w:lineRule="auto"/>
      </w:pPr>
      <w:r>
        <w:rPr>
          <w:rFonts w:ascii="Times New Roman" w:hAnsi="Times New Roman"/>
          <w:color w:val="262626"/>
          <w:sz w:val="22"/>
        </w:rPr>
        <w:t>$$\text{subject to} \quad \langle w, \Phi(x_i) \rangle \ge \rho - \xi_i, \quad \xi_i \ge 0, \quad \forall i \in \{1, \dots, N\}$$</w:t>
      </w:r>
    </w:p>
    <w:p>
      <w:pPr>
        <w:spacing w:before="40" w:after="100" w:line="276" w:lineRule="auto"/>
      </w:pPr>
      <w:r>
        <w:rPr>
          <w:rFonts w:ascii="Times New Roman" w:hAnsi="Times New Roman"/>
          <w:color w:val="262626"/>
          <w:sz w:val="22"/>
        </w:rPr>
        <w:t>where $\nu \in (0, 1]$ represents an upper bound on outlier fractions and a lower bound on support vector fractions, $w$ is the normal vector to the separating hyperplane, and $\rho$ is the margin offset from the origin.</w:t>
      </w:r>
    </w:p>
    <w:p>
      <w:pPr>
        <w:spacing w:before="40" w:after="100" w:line="276" w:lineRule="auto"/>
      </w:pPr>
      <w:r>
        <w:rPr>
          <w:rFonts w:ascii="Times New Roman" w:hAnsi="Times New Roman"/>
          <w:color w:val="262626"/>
          <w:sz w:val="22"/>
        </w:rPr>
        <w:t>In the dual formulation, optimization yields Lagrange multipliers $\alpha_i \in [0, \frac{1}{\nu N}]$. The continuous decision value $f(x)$ for an input vector $x$ is:</w:t>
      </w:r>
    </w:p>
    <w:p>
      <w:pPr>
        <w:spacing w:before="40" w:after="100" w:line="276" w:lineRule="auto"/>
      </w:pPr>
      <w:r>
        <w:rPr>
          <w:rFonts w:ascii="Times New Roman" w:hAnsi="Times New Roman"/>
          <w:color w:val="262626"/>
          <w:sz w:val="22"/>
        </w:rPr>
        <w:t>$$f(x) = \sum_{i=1}^N \alpha_i K(x_i, x) - \rho$$</w:t>
      </w:r>
    </w:p>
    <w:p>
      <w:pPr>
        <w:spacing w:before="40" w:after="100" w:line="276" w:lineRule="auto"/>
      </w:pPr>
      <w:r>
        <w:rPr>
          <w:rFonts w:ascii="Times New Roman" w:hAnsi="Times New Roman"/>
          <w:color w:val="262626"/>
          <w:sz w:val="22"/>
        </w:rPr>
        <w:t>To convert this decision function into a positive anomaly score where larger values represent higher anomaly likelihood, the score is defined as:</w:t>
      </w:r>
    </w:p>
    <w:p>
      <w:pPr>
        <w:spacing w:before="40" w:after="100" w:line="276" w:lineRule="auto"/>
      </w:pPr>
      <w:r>
        <w:rPr>
          <w:rFonts w:ascii="Times New Roman" w:hAnsi="Times New Roman"/>
          <w:color w:val="262626"/>
          <w:sz w:val="22"/>
        </w:rPr>
        <w:t>$$S_{\text{OC-SVM}}(x) = -f(x) = \rho - \sum_{i=1}^N \alpha_i K(x_i, x)$$</w:t>
      </w:r>
    </w:p>
    <w:p>
      <w:pPr>
        <w:keepNext/>
        <w:spacing w:before="200" w:after="60"/>
      </w:pPr>
      <w:r>
        <w:rPr>
          <w:rFonts w:ascii="Times New Roman" w:hAnsi="Times New Roman"/>
          <w:b/>
          <w:color w:val="1F4E79"/>
          <w:sz w:val="24"/>
        </w:rPr>
        <w:t>5.3.4 Fully Connected Autoencoder (FC-AE)</w:t>
      </w:r>
    </w:p>
    <w:p>
      <w:pPr>
        <w:spacing w:before="40" w:after="100" w:line="276" w:lineRule="auto"/>
      </w:pPr>
      <w:r>
        <w:rPr>
          <w:rFonts w:ascii="Times New Roman" w:hAnsi="Times New Roman"/>
          <w:color w:val="262626"/>
          <w:sz w:val="22"/>
        </w:rPr>
        <w:t>The Fully Connected Autoencoder models the nominal data manifold by passing the input vector through an information bottleneck. Let $x \in \mathbb{R}^D$ denote the input sensor vector. The encoder network $f_\theta$ maps $x$ to a latent representation $z \in \mathbb{R}^d$ ($d \ll D$):</w:t>
      </w:r>
    </w:p>
    <w:p>
      <w:pPr>
        <w:spacing w:before="40" w:after="100" w:line="276" w:lineRule="auto"/>
      </w:pPr>
      <w:r>
        <w:rPr>
          <w:rFonts w:ascii="Times New Roman" w:hAnsi="Times New Roman"/>
          <w:color w:val="262626"/>
          <w:sz w:val="22"/>
        </w:rPr>
        <w:t>$$h_1 = \text{ReLU}\left(W_{e1} x + b_{e1}\right)$$</w:t>
      </w:r>
    </w:p>
    <w:p>
      <w:pPr>
        <w:spacing w:before="40" w:after="100" w:line="276" w:lineRule="auto"/>
      </w:pPr>
      <w:r>
        <w:rPr>
          <w:rFonts w:ascii="Times New Roman" w:hAnsi="Times New Roman"/>
          <w:color w:val="262626"/>
          <w:sz w:val="22"/>
        </w:rPr>
        <w:t>$$z = \text{ReLU}\left(W_{e2} h_1 + b_{e2}\right)$$</w:t>
      </w:r>
    </w:p>
    <w:p>
      <w:pPr>
        <w:spacing w:before="40" w:after="100" w:line="276" w:lineRule="auto"/>
      </w:pPr>
      <w:r>
        <w:rPr>
          <w:rFonts w:ascii="Times New Roman" w:hAnsi="Times New Roman"/>
          <w:color w:val="262626"/>
          <w:sz w:val="22"/>
        </w:rPr>
        <w:t>The decoder network $g_\phi$ reconstructs the original vector from $z$:</w:t>
      </w:r>
    </w:p>
    <w:p>
      <w:pPr>
        <w:spacing w:before="40" w:after="100" w:line="276" w:lineRule="auto"/>
      </w:pPr>
      <w:r>
        <w:rPr>
          <w:rFonts w:ascii="Times New Roman" w:hAnsi="Times New Roman"/>
          <w:color w:val="262626"/>
          <w:sz w:val="22"/>
        </w:rPr>
        <w:t>$$h_2 = \text{ReLU}\left(W_{d1} z + b_{d1}\right)$$</w:t>
      </w:r>
    </w:p>
    <w:p>
      <w:pPr>
        <w:spacing w:before="40" w:after="100" w:line="276" w:lineRule="auto"/>
      </w:pPr>
      <w:r>
        <w:rPr>
          <w:rFonts w:ascii="Times New Roman" w:hAnsi="Times New Roman"/>
          <w:color w:val="262626"/>
          <w:sz w:val="22"/>
        </w:rPr>
        <w:t>$$\hat{x} = W_{d2} h_2 + b_{d2}$$</w:t>
      </w:r>
    </w:p>
    <w:p>
      <w:pPr>
        <w:spacing w:before="40" w:after="100" w:line="276" w:lineRule="auto"/>
      </w:pPr>
      <w:r>
        <w:rPr>
          <w:rFonts w:ascii="Times New Roman" w:hAnsi="Times New Roman"/>
          <w:color w:val="262626"/>
          <w:sz w:val="22"/>
        </w:rPr>
        <w:t>The network parameters $\theta = \{W_{e1}, b_{e1}, W_{e2}, b_{e2}\}$ and $\phi = \{W_{d1}, b_{d1}, W_{d2}, b_{d2}\}$ are optimized via Adam by minimizing the Mean Squared Error (MSE) loss over healthy training samples:</w:t>
      </w:r>
    </w:p>
    <w:p>
      <w:pPr>
        <w:spacing w:before="40" w:after="100" w:line="276" w:lineRule="auto"/>
      </w:pPr>
      <w:r>
        <w:rPr>
          <w:rFonts w:ascii="Times New Roman" w:hAnsi="Times New Roman"/>
          <w:color w:val="262626"/>
          <w:sz w:val="22"/>
        </w:rPr>
        <w:t>$$\mathcal{L}_{\text{MSE}}(x, \hat{x}) = \frac{1}{D}\sum_{j=1}^D (x_j - \hat{x}_j)^2$$</w:t>
      </w:r>
    </w:p>
    <w:p>
      <w:pPr>
        <w:spacing w:before="40" w:after="100" w:line="276" w:lineRule="auto"/>
      </w:pPr>
      <w:r>
        <w:rPr>
          <w:rFonts w:ascii="Times New Roman" w:hAnsi="Times New Roman"/>
          <w:color w:val="262626"/>
          <w:sz w:val="22"/>
        </w:rPr>
        <w:t>At test time, the scalar anomaly score is the reconstruction MSE:</w:t>
      </w:r>
    </w:p>
    <w:p>
      <w:pPr>
        <w:spacing w:before="40" w:after="100" w:line="276" w:lineRule="auto"/>
      </w:pPr>
      <w:r>
        <w:rPr>
          <w:rFonts w:ascii="Times New Roman" w:hAnsi="Times New Roman"/>
          <w:color w:val="262626"/>
          <w:sz w:val="22"/>
        </w:rPr>
        <w:t>$$S_{\text{FC-AE}}(x) = \frac{1}{D}\sum_{j=1}^D (x_j - \hat{x}_j)^2$$</w:t>
      </w:r>
    </w:p>
    <w:p>
      <w:pPr>
        <w:keepNext/>
        <w:spacing w:before="200" w:after="60"/>
      </w:pPr>
      <w:r>
        <w:rPr>
          <w:rFonts w:ascii="Times New Roman" w:hAnsi="Times New Roman"/>
          <w:b/>
          <w:color w:val="1F4E79"/>
          <w:sz w:val="24"/>
        </w:rPr>
        <w:t>5.3.5 Long Short-Term Memory Autoencoder (LSTM-AE)</w:t>
      </w:r>
    </w:p>
    <w:p>
      <w:pPr>
        <w:spacing w:before="40" w:after="100" w:line="276" w:lineRule="auto"/>
      </w:pPr>
      <w:r>
        <w:rPr>
          <w:rFonts w:ascii="Times New Roman" w:hAnsi="Times New Roman"/>
          <w:color w:val="262626"/>
          <w:sz w:val="22"/>
        </w:rPr>
        <w:t>The LSTM-AE processes sequential temporal windows of sensor observations:</w:t>
      </w:r>
    </w:p>
    <w:p>
      <w:pPr>
        <w:spacing w:before="40" w:after="100" w:line="276" w:lineRule="auto"/>
      </w:pPr>
      <w:r>
        <w:rPr>
          <w:rFonts w:ascii="Times New Roman" w:hAnsi="Times New Roman"/>
          <w:color w:val="262626"/>
          <w:sz w:val="22"/>
        </w:rPr>
        <w:t>$$X_t = [x_{t-W+1}, x_{t-W+2}, \dots, x_t]^T \in \mathbb{R}^{W \times D}$$</w:t>
      </w:r>
    </w:p>
    <w:p>
      <w:pPr>
        <w:spacing w:before="40" w:after="100" w:line="276" w:lineRule="auto"/>
      </w:pPr>
      <w:r>
        <w:rPr>
          <w:rFonts w:ascii="Times New Roman" w:hAnsi="Times New Roman"/>
          <w:color w:val="262626"/>
          <w:sz w:val="22"/>
        </w:rPr>
        <w:t>where $W$ is the sequence window length.</w:t>
      </w:r>
    </w:p>
    <w:p>
      <w:pPr>
        <w:keepNext/>
        <w:spacing w:before="160" w:after="40"/>
      </w:pPr>
      <w:r>
        <w:rPr>
          <w:rFonts w:ascii="Times New Roman" w:hAnsi="Times New Roman"/>
          <w:b/>
          <w:color w:val="262626"/>
          <w:sz w:val="22"/>
        </w:rPr>
        <w:t>Encoder Dynamics</w:t>
      </w:r>
    </w:p>
    <w:p>
      <w:pPr>
        <w:spacing w:before="40" w:after="100" w:line="276" w:lineRule="auto"/>
      </w:pPr>
      <w:r>
        <w:rPr>
          <w:rFonts w:ascii="Times New Roman" w:hAnsi="Times New Roman"/>
          <w:color w:val="262626"/>
          <w:sz w:val="22"/>
        </w:rPr>
        <w:t>At each timestep $\tau \in \{1, \dots, W\}$, the encoder LSTM cell updates its hidden state $h_\tau^{\text{enc}} \in \mathbb{R}^{H}$ and cell state $C_\tau^{\text{enc}} \in \mathbb{R}^{H}$ via gating mechanisms:</w:t>
      </w:r>
    </w:p>
    <w:p>
      <w:pPr>
        <w:spacing w:before="40" w:after="100" w:line="276" w:lineRule="auto"/>
      </w:pPr>
      <w:r>
        <w:rPr>
          <w:rFonts w:ascii="Times New Roman" w:hAnsi="Times New Roman"/>
          <w:color w:val="262626"/>
          <w:sz w:val="22"/>
        </w:rPr>
        <w:t>$$f_\tau = \sigma(W_f x_\tau + U_f h_{\tau-1} + b_f) \quad \text{(Forget Gate)}$$</w:t>
      </w:r>
    </w:p>
    <w:p>
      <w:pPr>
        <w:spacing w:before="40" w:after="100" w:line="276" w:lineRule="auto"/>
      </w:pPr>
      <w:r>
        <w:rPr>
          <w:rFonts w:ascii="Times New Roman" w:hAnsi="Times New Roman"/>
          <w:color w:val="262626"/>
          <w:sz w:val="22"/>
        </w:rPr>
        <w:t>$$i_\tau = \sigma(W_i x_\tau + U_i h_{\tau-1} + b_i) \quad \text{(Input Gate)}$$</w:t>
      </w:r>
    </w:p>
    <w:p>
      <w:pPr>
        <w:spacing w:before="40" w:after="100" w:line="276" w:lineRule="auto"/>
      </w:pPr>
      <w:r>
        <w:rPr>
          <w:rFonts w:ascii="Times New Roman" w:hAnsi="Times New Roman"/>
          <w:color w:val="262626"/>
          <w:sz w:val="22"/>
        </w:rPr>
        <w:t>$$\tilde{C}_\tau = \tanh(W_c x_\tau + U_c h_{\tau-1} + b_c) \quad \text{(Candidate Cell State)}$$</w:t>
      </w:r>
    </w:p>
    <w:p>
      <w:pPr>
        <w:spacing w:before="40" w:after="100" w:line="276" w:lineRule="auto"/>
      </w:pPr>
      <w:r>
        <w:rPr>
          <w:rFonts w:ascii="Times New Roman" w:hAnsi="Times New Roman"/>
          <w:color w:val="262626"/>
          <w:sz w:val="22"/>
        </w:rPr>
        <w:t>$$C_\tau = f_\tau \odot C_{\tau-1} + i_\tau \odot \tilde{C}_\tau \quad \text{(Cell State)}$$</w:t>
      </w:r>
    </w:p>
    <w:p>
      <w:pPr>
        <w:spacing w:before="40" w:after="100" w:line="276" w:lineRule="auto"/>
      </w:pPr>
      <w:r>
        <w:rPr>
          <w:rFonts w:ascii="Times New Roman" w:hAnsi="Times New Roman"/>
          <w:color w:val="262626"/>
          <w:sz w:val="22"/>
        </w:rPr>
        <w:t>$$o_\tau = \sigma(W_o x_\tau + U_o h_{\tau-1} + b_o) \quad \text{(Output Gate)}$$</w:t>
      </w:r>
    </w:p>
    <w:p>
      <w:pPr>
        <w:spacing w:before="40" w:after="100" w:line="276" w:lineRule="auto"/>
      </w:pPr>
      <w:r>
        <w:rPr>
          <w:rFonts w:ascii="Times New Roman" w:hAnsi="Times New Roman"/>
          <w:color w:val="262626"/>
          <w:sz w:val="22"/>
        </w:rPr>
        <w:t>$$h_\tau = o_\tau \odot \tanh(C_\tau) \quad \text{(Hidden State)}$$</w:t>
      </w:r>
    </w:p>
    <w:p>
      <w:pPr>
        <w:spacing w:before="40" w:after="100" w:line="276" w:lineRule="auto"/>
      </w:pPr>
      <w:r>
        <w:rPr>
          <w:rFonts w:ascii="Times New Roman" w:hAnsi="Times New Roman"/>
          <w:color w:val="262626"/>
          <w:sz w:val="22"/>
        </w:rPr>
        <w:t>After processing the entire window of length $W$, the final hidden state $h_W^{\text{enc}}$ is mapped via a linear projection to a compressed latent representation $z \in \mathbb{R}^d$.</w:t>
      </w:r>
    </w:p>
    <w:p>
      <w:pPr>
        <w:keepNext/>
        <w:spacing w:before="160" w:after="40"/>
      </w:pPr>
      <w:r>
        <w:rPr>
          <w:rFonts w:ascii="Times New Roman" w:hAnsi="Times New Roman"/>
          <w:b/>
          <w:color w:val="262626"/>
          <w:sz w:val="22"/>
        </w:rPr>
        <w:t>Decoder Dynamics</w:t>
      </w:r>
    </w:p>
    <w:p>
      <w:pPr>
        <w:spacing w:before="40" w:after="100" w:line="276" w:lineRule="auto"/>
      </w:pPr>
      <w:r>
        <w:rPr>
          <w:rFonts w:ascii="Times New Roman" w:hAnsi="Times New Roman"/>
          <w:color w:val="262626"/>
          <w:sz w:val="22"/>
        </w:rPr>
        <w:t>The decoder LSTM is initialized with hidden and cell states conditioned on $z$. The decoder sequentially reconstructs the temporal sequence in reverse chronological order (from $t$ back to $t-W+1$), which enhances gradient flow across the sequence:</w:t>
      </w:r>
    </w:p>
    <w:p>
      <w:pPr>
        <w:spacing w:before="40" w:after="100" w:line="276" w:lineRule="auto"/>
      </w:pPr>
      <w:r>
        <w:rPr>
          <w:rFonts w:ascii="Times New Roman" w:hAnsi="Times New Roman"/>
          <w:color w:val="262626"/>
          <w:sz w:val="22"/>
        </w:rPr>
        <w:t>$$\hat{X}_t = [\hat{x}_{t-W+1}, \hat{x}_{t-W+2}, \dots, \hat{x}_t]^T \in \mathbb{R}^{W \times D}$$</w:t>
      </w:r>
    </w:p>
    <w:p>
      <w:pPr>
        <w:spacing w:before="40" w:after="100" w:line="276" w:lineRule="auto"/>
      </w:pPr>
      <w:r>
        <w:rPr>
          <w:rFonts w:ascii="Times New Roman" w:hAnsi="Times New Roman"/>
          <w:color w:val="262626"/>
          <w:sz w:val="22"/>
        </w:rPr>
        <w:t>The anomaly score for sequence window $X_t$ is computed as the aggregate reconstruction error across all timesteps and sensor dimensions:</w:t>
      </w:r>
    </w:p>
    <w:p>
      <w:pPr>
        <w:spacing w:before="40" w:after="100" w:line="276" w:lineRule="auto"/>
      </w:pPr>
      <w:r>
        <w:rPr>
          <w:rFonts w:ascii="Times New Roman" w:hAnsi="Times New Roman"/>
          <w:color w:val="262626"/>
          <w:sz w:val="22"/>
        </w:rPr>
        <w:t>$$S_{\text{LSTM-AE}}(X_t) = \frac{1}{W \cdot D} \sum_{\tau=1}^W \sum_{j=1}^D (x_{\tau,j} - \hat{x}_{\tau,j})^2$$</w:t>
      </w:r>
    </w:p>
    <w:p>
      <w:pPr>
        <w:keepNext/>
        <w:spacing w:before="240" w:after="80"/>
      </w:pPr>
      <w:r>
        <w:rPr>
          <w:rFonts w:ascii="Times New Roman" w:hAnsi="Times New Roman"/>
          <w:b/>
          <w:color w:val="2E75B6"/>
          <w:sz w:val="28"/>
        </w:rPr>
        <w:t>5.4 Threshold Calibration Strategies</w:t>
      </w:r>
    </w:p>
    <w:p>
      <w:pPr>
        <w:spacing w:before="40" w:after="100" w:line="276" w:lineRule="auto"/>
      </w:pPr>
      <w:r>
        <w:rPr>
          <w:rFonts w:ascii="Times New Roman" w:hAnsi="Times New Roman"/>
          <w:color w:val="262626"/>
          <w:sz w:val="22"/>
        </w:rPr>
        <w:t>In unsupervised anomaly detection, transforming a continuous anomaly score $S(x)$ into a binary decision $\hat{y} \in \{0, 1\}$ requires selecting a decision threshold $T_{\text{th}}$. To rigorously investigate sensitivity and false alarm trade-offs (RQ5), seven distinct threshold calibration strategies are implemented and evaluated strictly on the validation partition $\mathcal{V}$:</w:t>
      </w:r>
    </w:p>
    <w:p>
      <w:pPr>
        <w:pStyle w:val="ListNumber"/>
        <w:spacing w:before="30" w:after="30" w:line="276" w:lineRule="auto"/>
      </w:pPr>
      <w:r>
        <w:rPr>
          <w:rFonts w:ascii="Times New Roman" w:hAnsi="Times New Roman"/>
          <w:b/>
          <w:color w:val="262626"/>
          <w:sz w:val="22"/>
        </w:rPr>
        <w:t>Validation-Percentile 95 ($P_{95}$):</w:t>
      </w:r>
    </w:p>
    <w:p>
      <w:pPr>
        <w:spacing w:before="40" w:after="100" w:line="276" w:lineRule="auto"/>
      </w:pPr>
      <w:r>
        <w:rPr>
          <w:rFonts w:ascii="Times New Roman" w:hAnsi="Times New Roman"/>
          <w:color w:val="262626"/>
          <w:sz w:val="22"/>
        </w:rPr>
        <w:t>$$T_{95} = \text{Quantile}\left(\{S(v) \mid v \in \mathcal{V}\}, 0.95\right)$$</w:t>
      </w:r>
    </w:p>
    <w:p>
      <w:pPr>
        <w:spacing w:before="40" w:after="100" w:line="276" w:lineRule="auto"/>
      </w:pPr>
      <w:r>
        <w:rPr>
          <w:rFonts w:ascii="Times New Roman" w:hAnsi="Times New Roman"/>
          <w:color w:val="262626"/>
          <w:sz w:val="22"/>
        </w:rPr>
        <w:t>Assumes a conservative 5% anomaly contamination rate in validation telemetry.</w:t>
      </w:r>
    </w:p>
    <w:p>
      <w:pPr>
        <w:pStyle w:val="ListNumber"/>
        <w:spacing w:before="30" w:after="30" w:line="276" w:lineRule="auto"/>
      </w:pPr>
      <w:r>
        <w:rPr>
          <w:rFonts w:ascii="Times New Roman" w:hAnsi="Times New Roman"/>
          <w:b/>
          <w:color w:val="262626"/>
          <w:sz w:val="22"/>
        </w:rPr>
        <w:t>Validation-Percentile 99 ($P_{99}$):</w:t>
      </w:r>
    </w:p>
    <w:p>
      <w:pPr>
        <w:spacing w:before="40" w:after="100" w:line="276" w:lineRule="auto"/>
      </w:pPr>
      <w:r>
        <w:rPr>
          <w:rFonts w:ascii="Times New Roman" w:hAnsi="Times New Roman"/>
          <w:color w:val="262626"/>
          <w:sz w:val="22"/>
        </w:rPr>
        <w:t>$$T_{99} = \text{Quantile}\left(\{S(v) \mid v \in \mathcal{V}\}, 0.99\right)$$</w:t>
      </w:r>
    </w:p>
    <w:p>
      <w:pPr>
        <w:spacing w:before="40" w:after="100" w:line="276" w:lineRule="auto"/>
      </w:pPr>
      <w:r>
        <w:rPr>
          <w:rFonts w:ascii="Times New Roman" w:hAnsi="Times New Roman"/>
          <w:color w:val="262626"/>
          <w:sz w:val="22"/>
        </w:rPr>
        <w:t>A standard industrial calibration allowing a 1% false alarm tolerance on nominal operations.</w:t>
      </w:r>
    </w:p>
    <w:p>
      <w:pPr>
        <w:pStyle w:val="ListNumber"/>
        <w:spacing w:before="30" w:after="30" w:line="276" w:lineRule="auto"/>
      </w:pPr>
      <w:r>
        <w:rPr>
          <w:rFonts w:ascii="Times New Roman" w:hAnsi="Times New Roman"/>
          <w:b/>
          <w:color w:val="262626"/>
          <w:sz w:val="22"/>
        </w:rPr>
        <w:t>Validation-Percentile 99.5 ($P_{99.5}$):</w:t>
      </w:r>
    </w:p>
    <w:p>
      <w:pPr>
        <w:spacing w:before="40" w:after="100" w:line="276" w:lineRule="auto"/>
      </w:pPr>
      <w:r>
        <w:rPr>
          <w:rFonts w:ascii="Times New Roman" w:hAnsi="Times New Roman"/>
          <w:color w:val="262626"/>
          <w:sz w:val="22"/>
        </w:rPr>
        <w:t>$$T_{99.5} = \text{Quantile}\left(\{S(v) \mid v \in \mathcal{V}\}, 0.995\right)$$</w:t>
      </w:r>
    </w:p>
    <w:p>
      <w:pPr>
        <w:spacing w:before="40" w:after="100" w:line="276" w:lineRule="auto"/>
      </w:pPr>
      <w:r>
        <w:rPr>
          <w:rFonts w:ascii="Times New Roman" w:hAnsi="Times New Roman"/>
          <w:color w:val="262626"/>
          <w:sz w:val="22"/>
        </w:rPr>
        <w:t>A strict, low-false-alarm operating point designed for mission-critical industrial applications.</w:t>
      </w:r>
    </w:p>
    <w:p>
      <w:pPr>
        <w:pStyle w:val="ListNumber"/>
        <w:spacing w:before="30" w:after="30" w:line="276" w:lineRule="auto"/>
      </w:pPr>
      <w:r>
        <w:rPr>
          <w:rFonts w:ascii="Times New Roman" w:hAnsi="Times New Roman"/>
          <w:b/>
          <w:color w:val="262626"/>
          <w:sz w:val="22"/>
        </w:rPr>
        <w:t>Parametric Gaussian Boundary ($3\sigma$):</w:t>
      </w:r>
    </w:p>
    <w:p>
      <w:pPr>
        <w:spacing w:before="40" w:after="100" w:line="276" w:lineRule="auto"/>
      </w:pPr>
      <w:r>
        <w:rPr>
          <w:rFonts w:ascii="Times New Roman" w:hAnsi="Times New Roman"/>
          <w:color w:val="262626"/>
          <w:sz w:val="22"/>
        </w:rPr>
        <w:t>$$T_{3\sigma} = \mu_{\mathcal{V}} + 3 \cdot \sigma_{\mathcal{V}}$$</w:t>
      </w:r>
    </w:p>
    <w:p>
      <w:pPr>
        <w:spacing w:before="40" w:after="100" w:line="276" w:lineRule="auto"/>
      </w:pPr>
      <w:r>
        <w:rPr>
          <w:rFonts w:ascii="Times New Roman" w:hAnsi="Times New Roman"/>
          <w:color w:val="262626"/>
          <w:sz w:val="22"/>
        </w:rPr>
        <w:t>Computes the empirical mean and standard deviation of validation anomaly scores, establishing a three-sigma statistical bound.</w:t>
      </w:r>
    </w:p>
    <w:p>
      <w:pPr>
        <w:pStyle w:val="ListNumber"/>
        <w:spacing w:before="30" w:after="30" w:line="276" w:lineRule="auto"/>
      </w:pPr>
      <w:r>
        <w:rPr>
          <w:rFonts w:ascii="Times New Roman" w:hAnsi="Times New Roman"/>
          <w:b/>
          <w:color w:val="262626"/>
          <w:sz w:val="22"/>
        </w:rPr>
        <w:t>Interquartile Range (IQR):</w:t>
      </w:r>
    </w:p>
    <w:p>
      <w:pPr>
        <w:spacing w:before="40" w:after="100" w:line="276" w:lineRule="auto"/>
      </w:pPr>
      <w:r>
        <w:rPr>
          <w:rFonts w:ascii="Times New Roman" w:hAnsi="Times New Roman"/>
          <w:color w:val="262626"/>
          <w:sz w:val="22"/>
        </w:rPr>
        <w:t>$$T_{\text{IQR}} = Q_3(\mathcal{V}) + 1.5 \times \text{IQR}(\mathcal{V}), \quad \text{where} \quad \text{IQR} = Q_3 - Q_1$$</w:t>
      </w:r>
    </w:p>
    <w:p>
      <w:pPr>
        <w:spacing w:before="40" w:after="100" w:line="276" w:lineRule="auto"/>
      </w:pPr>
      <w:r>
        <w:rPr>
          <w:rFonts w:ascii="Times New Roman" w:hAnsi="Times New Roman"/>
          <w:color w:val="262626"/>
          <w:sz w:val="22"/>
        </w:rPr>
        <w:t>A non-parametric, robust threshold resistant to heavy-tailed anomaly score distributions.</w:t>
      </w:r>
    </w:p>
    <w:p>
      <w:pPr>
        <w:pStyle w:val="ListNumber"/>
        <w:spacing w:before="30" w:after="30" w:line="276" w:lineRule="auto"/>
      </w:pPr>
      <w:r>
        <w:rPr>
          <w:rFonts w:ascii="Times New Roman" w:hAnsi="Times New Roman"/>
          <w:b/>
          <w:color w:val="262626"/>
          <w:sz w:val="22"/>
        </w:rPr>
        <w:t>Extreme Value Theory (EVT / Peak-Over-Threshold):</w:t>
      </w:r>
    </w:p>
    <w:p>
      <w:pPr>
        <w:spacing w:before="40" w:after="100" w:line="276" w:lineRule="auto"/>
      </w:pPr>
      <w:r>
        <w:rPr>
          <w:rFonts w:ascii="Times New Roman" w:hAnsi="Times New Roman"/>
          <w:color w:val="262626"/>
          <w:sz w:val="22"/>
        </w:rPr>
        <w:t>Fits a Generalized Pareto Distribution (GPD) to the upper tail of validation anomaly scores exceeding an initial high quantile $u$, estimating extreme quantiles with theoretical asymptotic guarantees.</w:t>
      </w:r>
    </w:p>
    <w:p>
      <w:pPr>
        <w:pStyle w:val="ListNumber"/>
        <w:spacing w:before="30" w:after="30" w:line="276" w:lineRule="auto"/>
      </w:pPr>
      <w:r>
        <w:rPr>
          <w:rFonts w:ascii="Times New Roman" w:hAnsi="Times New Roman"/>
          <w:color w:val="262626"/>
          <w:sz w:val="22"/>
        </w:rPr>
        <w:t>*</w:t>
      </w:r>
      <w:r>
        <w:rPr>
          <w:rFonts w:ascii="Times New Roman" w:hAnsi="Times New Roman"/>
          <w:i/>
          <w:color w:val="262626"/>
          <w:sz w:val="22"/>
        </w:rPr>
        <w:t>Validation-F1 Optimal Oracle ($T_{\text{val}}^</w:t>
      </w:r>
      <w:r>
        <w:rPr>
          <w:rFonts w:ascii="Times New Roman" w:hAnsi="Times New Roman"/>
          <w:color w:val="262626"/>
          <w:sz w:val="22"/>
        </w:rPr>
        <w:t>$):**</w:t>
      </w:r>
    </w:p>
    <w:p>
      <w:pPr>
        <w:spacing w:before="40" w:after="100" w:line="276" w:lineRule="auto"/>
      </w:pPr>
      <w:r>
        <w:rPr>
          <w:rFonts w:ascii="Times New Roman" w:hAnsi="Times New Roman"/>
          <w:color w:val="262626"/>
          <w:sz w:val="22"/>
        </w:rPr>
        <w:t>$$T_{\text{val}}^* = \arg\max_T \quad F_1\left(\hat{y}_T(\mathcal{V}), y_{\mathcal{V}}\right)$$</w:t>
      </w:r>
    </w:p>
    <w:p>
      <w:pPr>
        <w:spacing w:before="40" w:after="100" w:line="276" w:lineRule="auto"/>
      </w:pPr>
      <w:r>
        <w:rPr>
          <w:rFonts w:ascii="Times New Roman" w:hAnsi="Times New Roman"/>
          <w:color w:val="262626"/>
          <w:sz w:val="22"/>
        </w:rPr>
        <w:t>Performs a dense 100-step grid search over the range $[\min(S_{\mathcal{V}}), \max(S_{\mathcal{V}})]$ to identify the threshold maximizing the F1-score on the validation partition. This represents the empirical upper bound of validation-calibrated performance.</w:t>
      </w:r>
    </w:p>
    <w:p>
      <w:pPr>
        <w:keepNext/>
        <w:spacing w:before="240" w:after="80"/>
      </w:pPr>
      <w:r>
        <w:rPr>
          <w:rFonts w:ascii="Times New Roman" w:hAnsi="Times New Roman"/>
          <w:b/>
          <w:color w:val="2E75B6"/>
          <w:sz w:val="28"/>
        </w:rPr>
        <w:t>5.5 Evaluation Metrics: Classification, Early Warning, and Compute</w:t>
      </w:r>
    </w:p>
    <w:p>
      <w:pPr>
        <w:keepNext/>
        <w:spacing w:before="200" w:after="60"/>
      </w:pPr>
      <w:r>
        <w:rPr>
          <w:rFonts w:ascii="Times New Roman" w:hAnsi="Times New Roman"/>
          <w:b/>
          <w:color w:val="1F4E79"/>
          <w:sz w:val="24"/>
        </w:rPr>
        <w:t>5.5.1 Point-in-Time Classification Metrics</w:t>
      </w:r>
    </w:p>
    <w:p>
      <w:pPr>
        <w:spacing w:before="40" w:after="100" w:line="276" w:lineRule="auto"/>
      </w:pPr>
      <w:r>
        <w:rPr>
          <w:rFonts w:ascii="Times New Roman" w:hAnsi="Times New Roman"/>
          <w:color w:val="262626"/>
          <w:sz w:val="22"/>
        </w:rPr>
        <w:t>For instantaneous cycle-level classification, each test cycle is evaluated against binary ground truth:</w:t>
      </w:r>
    </w:p>
    <w:p>
      <w:pPr>
        <w:pStyle w:val="ListBullet"/>
        <w:spacing w:before="30" w:after="30" w:line="276" w:lineRule="auto"/>
      </w:pPr>
      <w:r>
        <w:rPr>
          <w:rFonts w:ascii="Times New Roman" w:hAnsi="Times New Roman"/>
          <w:b/>
          <w:color w:val="262626"/>
          <w:sz w:val="22"/>
        </w:rPr>
        <w:t>True Positive (TP):</w:t>
      </w:r>
      <w:r>
        <w:rPr>
          <w:rFonts w:ascii="Times New Roman" w:hAnsi="Times New Roman"/>
          <w:color w:val="262626"/>
          <w:sz w:val="22"/>
        </w:rPr>
        <w:t xml:space="preserve"> Degraded cycle correctly flagged as an anomaly ($S_t \ge T_{\text{th}}$ and $y_t = 1$).</w:t>
      </w:r>
    </w:p>
    <w:p>
      <w:pPr>
        <w:pStyle w:val="ListBullet"/>
        <w:spacing w:before="30" w:after="30" w:line="276" w:lineRule="auto"/>
      </w:pPr>
      <w:r>
        <w:rPr>
          <w:rFonts w:ascii="Times New Roman" w:hAnsi="Times New Roman"/>
          <w:b/>
          <w:color w:val="262626"/>
          <w:sz w:val="22"/>
        </w:rPr>
        <w:t>False Positive (FP):</w:t>
      </w:r>
      <w:r>
        <w:rPr>
          <w:rFonts w:ascii="Times New Roman" w:hAnsi="Times New Roman"/>
          <w:color w:val="262626"/>
          <w:sz w:val="22"/>
        </w:rPr>
        <w:t xml:space="preserve"> Healthy cycle incorrectly flagged as an anomaly ($S_t \ge T_{\text{th}}$ and $y_t = 0$).</w:t>
      </w:r>
    </w:p>
    <w:p>
      <w:pPr>
        <w:pStyle w:val="ListBullet"/>
        <w:spacing w:before="30" w:after="30" w:line="276" w:lineRule="auto"/>
      </w:pPr>
      <w:r>
        <w:rPr>
          <w:rFonts w:ascii="Times New Roman" w:hAnsi="Times New Roman"/>
          <w:b/>
          <w:color w:val="262626"/>
          <w:sz w:val="22"/>
        </w:rPr>
        <w:t>False Negative (FN):</w:t>
      </w:r>
      <w:r>
        <w:rPr>
          <w:rFonts w:ascii="Times New Roman" w:hAnsi="Times New Roman"/>
          <w:color w:val="262626"/>
          <w:sz w:val="22"/>
        </w:rPr>
        <w:t xml:space="preserve"> Degraded cycle incorrectly flagged as healthy ($S_t &lt; T_{\text{th}}$ and $y_t = 1$).</w:t>
      </w:r>
    </w:p>
    <w:p>
      <w:pPr>
        <w:pStyle w:val="ListBullet"/>
        <w:spacing w:before="30" w:after="30" w:line="276" w:lineRule="auto"/>
      </w:pPr>
      <w:r>
        <w:rPr>
          <w:rFonts w:ascii="Times New Roman" w:hAnsi="Times New Roman"/>
          <w:b/>
          <w:color w:val="262626"/>
          <w:sz w:val="22"/>
        </w:rPr>
        <w:t>True Negative (TN):</w:t>
      </w:r>
      <w:r>
        <w:rPr>
          <w:rFonts w:ascii="Times New Roman" w:hAnsi="Times New Roman"/>
          <w:color w:val="262626"/>
          <w:sz w:val="22"/>
        </w:rPr>
        <w:t xml:space="preserve"> Healthy cycle correctly flagged as healthy ($S_t &lt; T_{\text{th}}$ and $y_t = 0$).</w:t>
      </w:r>
    </w:p>
    <w:p>
      <w:pPr>
        <w:spacing w:before="40" w:after="100" w:line="276" w:lineRule="auto"/>
      </w:pPr>
      <w:r>
        <w:rPr>
          <w:rFonts w:ascii="Times New Roman" w:hAnsi="Times New Roman"/>
          <w:color w:val="262626"/>
          <w:sz w:val="22"/>
        </w:rPr>
        <w:t>From these fundamental counts, standard metrics are derived:</w:t>
      </w:r>
    </w:p>
    <w:p>
      <w:pPr>
        <w:spacing w:before="40" w:after="100" w:line="276" w:lineRule="auto"/>
      </w:pPr>
      <w:r>
        <w:rPr>
          <w:rFonts w:ascii="Times New Roman" w:hAnsi="Times New Roman"/>
          <w:color w:val="262626"/>
          <w:sz w:val="22"/>
        </w:rPr>
        <w:t>$$\text{Precision} = \frac{\text{TP}}{\text{TP} + \text{FP}}, \quad \text{Recall} = \frac{\text{TP}}{\text{TP} + \text{FN}}, \quad F_1 = 2 \times \frac{\text{Precision} \times \text{Recall}}{\text{Precision} + \text{Recall}}$$</w:t>
      </w:r>
    </w:p>
    <w:p>
      <w:pPr>
        <w:spacing w:before="40" w:after="100" w:line="276" w:lineRule="auto"/>
      </w:pPr>
      <w:r>
        <w:rPr>
          <w:rFonts w:ascii="Times New Roman" w:hAnsi="Times New Roman"/>
          <w:color w:val="262626"/>
          <w:sz w:val="22"/>
        </w:rPr>
        <w:t>$$\text{False Positive Rate (FPR)} = \frac{\text{FP}}{\text{FP} + \text{TN}}$$</w:t>
      </w:r>
    </w:p>
    <w:p>
      <w:pPr>
        <w:spacing w:before="40" w:after="100" w:line="276" w:lineRule="auto"/>
      </w:pPr>
      <w:r>
        <w:rPr>
          <w:rFonts w:ascii="Times New Roman" w:hAnsi="Times New Roman"/>
          <w:color w:val="262626"/>
          <w:sz w:val="22"/>
        </w:rPr>
        <w:t>To evaluate detection quality across all possible thresholds without threshold bias, two threshold-independent integral metrics are computed:</w:t>
      </w:r>
    </w:p>
    <w:p>
      <w:pPr>
        <w:pStyle w:val="ListBullet"/>
        <w:spacing w:before="30" w:after="30" w:line="276" w:lineRule="auto"/>
      </w:pPr>
      <w:r>
        <w:rPr>
          <w:rFonts w:ascii="Times New Roman" w:hAnsi="Times New Roman"/>
          <w:b/>
          <w:color w:val="262626"/>
          <w:sz w:val="22"/>
        </w:rPr>
        <w:t>ROC-AUC:</w:t>
      </w:r>
      <w:r>
        <w:rPr>
          <w:rFonts w:ascii="Times New Roman" w:hAnsi="Times New Roman"/>
          <w:color w:val="262626"/>
          <w:sz w:val="22"/>
        </w:rPr>
        <w:t xml:space="preserve"> Area under the Receiver Operating Characteristic curve (True Positive Rate vs. False Positive Rate).</w:t>
      </w:r>
    </w:p>
    <w:p>
      <w:pPr>
        <w:pStyle w:val="ListBullet"/>
        <w:spacing w:before="30" w:after="30" w:line="276" w:lineRule="auto"/>
      </w:pPr>
      <w:r>
        <w:rPr>
          <w:rFonts w:ascii="Times New Roman" w:hAnsi="Times New Roman"/>
          <w:b/>
          <w:color w:val="262626"/>
          <w:sz w:val="22"/>
        </w:rPr>
        <w:t>PR-AUC:</w:t>
      </w:r>
      <w:r>
        <w:rPr>
          <w:rFonts w:ascii="Times New Roman" w:hAnsi="Times New Roman"/>
          <w:color w:val="262626"/>
          <w:sz w:val="22"/>
        </w:rPr>
        <w:t xml:space="preserve"> Area under the Precision-Recall curve, particularly suited for imbalanced industrial datasets.</w:t>
      </w:r>
    </w:p>
    <w:p>
      <w:pPr>
        <w:keepNext/>
        <w:spacing w:before="200" w:after="60"/>
      </w:pPr>
      <w:r>
        <w:rPr>
          <w:rFonts w:ascii="Times New Roman" w:hAnsi="Times New Roman"/>
          <w:b/>
          <w:color w:val="1F4E79"/>
          <w:sz w:val="24"/>
        </w:rPr>
        <w:t>5.5.2 Temporal Early Warning Metrics</w:t>
      </w:r>
    </w:p>
    <w:p>
      <w:pPr>
        <w:spacing w:before="40" w:after="100" w:line="276" w:lineRule="auto"/>
      </w:pPr>
      <w:r>
        <w:rPr>
          <w:rFonts w:ascii="Times New Roman" w:hAnsi="Times New Roman"/>
          <w:color w:val="262626"/>
          <w:sz w:val="22"/>
        </w:rPr>
        <w:t>To overcome the limitations of static classification metrics and measure real-world operational utility, this thesis introduces a formal early-warning framework:</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[Early Warning Timeline for Engine e]</w:t>
              <w:br/>
              <w:t>Cycle:  1 ......... 50 ......... 100 ......... t_det .................. Failure (T_e)</w:t>
              <w:br/>
              <w:t>State:  |--- Nominal Operation ---|              |---- Sustained Warning ----|</w:t>
              <w:br/>
              <w:t xml:space="preserve">                                                 &lt;------- Lead Time ---------&gt;</w:t>
              <w:br/>
              <w:t xml:space="preserve">                                                         L_e = T_e - t_det</w:t>
            </w:r>
          </w:p>
        </w:tc>
      </w:tr>
    </w:tbl>
    <w:p>
      <w:pPr>
        <w:spacing w:before="40" w:after="80"/>
      </w:pPr>
    </w:p>
    <w:p>
      <w:pPr>
        <w:pStyle w:val="ListBullet"/>
        <w:spacing w:before="30" w:after="30" w:line="276" w:lineRule="auto"/>
      </w:pPr>
      <w:r>
        <w:rPr>
          <w:rFonts w:ascii="Times New Roman" w:hAnsi="Times New Roman"/>
          <w:b/>
          <w:color w:val="262626"/>
          <w:sz w:val="22"/>
        </w:rPr>
        <w:t>Persistence Filter Window ($k=5$):</w:t>
      </w:r>
      <w:r>
        <w:rPr>
          <w:rFonts w:ascii="Times New Roman" w:hAnsi="Times New Roman"/>
          <w:color w:val="262626"/>
          <w:sz w:val="22"/>
        </w:rPr>
        <w:t xml:space="preserve"> Isolated, momentary spikes in anomaly score frequently occur due to sensor electromagnetic interference or transient aerodynamic turbulence. To prevent false alarms, an operational warning trigger is raised if and only if the anomaly score exceeds the threshold for $k=5$ consecutive cycles:</w:t>
      </w:r>
    </w:p>
    <w:p>
      <w:pPr>
        <w:spacing w:before="40" w:after="100" w:line="276" w:lineRule="auto"/>
      </w:pPr>
      <w:r>
        <w:rPr>
          <w:rFonts w:ascii="Times New Roman" w:hAnsi="Times New Roman"/>
          <w:color w:val="262626"/>
          <w:sz w:val="22"/>
        </w:rPr>
        <w:t>$$\text{Trigger}(t) = \mathbb{I}\left(\bigwedge_{m=0}^{k-1} S(x_{t-m}) \ge T_{\text{th}}\right)$$</w:t>
      </w:r>
    </w:p>
    <w:p>
      <w:pPr>
        <w:pStyle w:val="ListBullet"/>
        <w:spacing w:before="30" w:after="30" w:line="276" w:lineRule="auto"/>
      </w:pPr>
      <w:r>
        <w:rPr>
          <w:rFonts w:ascii="Times New Roman" w:hAnsi="Times New Roman"/>
          <w:b/>
          <w:color w:val="262626"/>
          <w:sz w:val="22"/>
        </w:rPr>
        <w:t>First Detection Cycle ($t_{\text{det}}$):</w:t>
      </w:r>
      <w:r>
        <w:rPr>
          <w:rFonts w:ascii="Times New Roman" w:hAnsi="Times New Roman"/>
          <w:color w:val="262626"/>
          <w:sz w:val="22"/>
        </w:rPr>
        <w:t xml:space="preserve"> The earliest cycle at which the persistence warning trigger is activated:</w:t>
      </w:r>
    </w:p>
    <w:p>
      <w:pPr>
        <w:spacing w:before="40" w:after="100" w:line="276" w:lineRule="auto"/>
      </w:pPr>
      <w:r>
        <w:rPr>
          <w:rFonts w:ascii="Times New Roman" w:hAnsi="Times New Roman"/>
          <w:color w:val="262626"/>
          <w:sz w:val="22"/>
        </w:rPr>
        <w:t>$$t_{\text{det}}(e) = \min \{t \in [1, T_e] \mid \text{Trigger}(t) = 1\}$$</w:t>
      </w:r>
    </w:p>
    <w:p>
      <w:pPr>
        <w:pStyle w:val="ListBullet"/>
        <w:spacing w:before="30" w:after="30" w:line="276" w:lineRule="auto"/>
      </w:pPr>
      <w:r>
        <w:rPr>
          <w:rFonts w:ascii="Times New Roman" w:hAnsi="Times New Roman"/>
          <w:b/>
          <w:color w:val="262626"/>
          <w:sz w:val="22"/>
        </w:rPr>
        <w:t>Detection Lead Time ($L_e$):</w:t>
      </w:r>
      <w:r>
        <w:rPr>
          <w:rFonts w:ascii="Times New Roman" w:hAnsi="Times New Roman"/>
          <w:color w:val="262626"/>
          <w:sz w:val="22"/>
        </w:rPr>
        <w:t xml:space="preserve"> The number of operating cycles elapsed between the first detection cycle and complete engine failure:</w:t>
      </w:r>
    </w:p>
    <w:p>
      <w:pPr>
        <w:spacing w:before="40" w:after="100" w:line="276" w:lineRule="auto"/>
      </w:pPr>
      <w:r>
        <w:rPr>
          <w:rFonts w:ascii="Times New Roman" w:hAnsi="Times New Roman"/>
          <w:color w:val="262626"/>
          <w:sz w:val="22"/>
        </w:rPr>
        <w:t>$$L_e = T_e - t_{\text{det}}(e)$$</w:t>
      </w:r>
    </w:p>
    <w:p>
      <w:pPr>
        <w:pStyle w:val="ListBullet"/>
        <w:spacing w:before="30" w:after="30" w:line="276" w:lineRule="auto"/>
      </w:pPr>
      <w:r>
        <w:rPr>
          <w:rFonts w:ascii="Times New Roman" w:hAnsi="Times New Roman"/>
          <w:b/>
          <w:color w:val="262626"/>
          <w:sz w:val="22"/>
        </w:rPr>
        <w:t>Early Detection Rate ($\text{DR}$):</w:t>
      </w:r>
      <w:r>
        <w:rPr>
          <w:rFonts w:ascii="Times New Roman" w:hAnsi="Times New Roman"/>
          <w:color w:val="262626"/>
          <w:sz w:val="22"/>
        </w:rPr>
        <w:t xml:space="preserve"> The fraction of failing engines that successfully trigger a warning prior to failure:</w:t>
      </w:r>
    </w:p>
    <w:p>
      <w:pPr>
        <w:spacing w:before="40" w:after="100" w:line="276" w:lineRule="auto"/>
      </w:pPr>
      <w:r>
        <w:rPr>
          <w:rFonts w:ascii="Times New Roman" w:hAnsi="Times New Roman"/>
          <w:color w:val="262626"/>
          <w:sz w:val="22"/>
        </w:rPr>
        <w:t>$$\text{DR} = \frac{|\{e \in \mathcal{E}_{\text{test}} \mid t_{\text{det}}(e) \le T_e\}|}{|\mathcal{E}_{\text{test}}|}$$</w:t>
      </w:r>
    </w:p>
    <w:p>
      <w:pPr>
        <w:pStyle w:val="ListBullet"/>
        <w:spacing w:before="30" w:after="30" w:line="276" w:lineRule="auto"/>
      </w:pPr>
      <w:r>
        <w:rPr>
          <w:rFonts w:ascii="Times New Roman" w:hAnsi="Times New Roman"/>
          <w:b/>
          <w:color w:val="262626"/>
          <w:sz w:val="22"/>
        </w:rPr>
        <w:t>False Alarm Rate ($\text{FAR}$):</w:t>
      </w:r>
      <w:r>
        <w:rPr>
          <w:rFonts w:ascii="Times New Roman" w:hAnsi="Times New Roman"/>
          <w:color w:val="262626"/>
          <w:sz w:val="22"/>
        </w:rPr>
        <w:t xml:space="preserve"> The fraction of engines that trigger an anomalous warning during their designated healthy phase ($t \le 0.70 \times T_e$):</w:t>
      </w:r>
    </w:p>
    <w:p>
      <w:pPr>
        <w:spacing w:before="40" w:after="100" w:line="276" w:lineRule="auto"/>
      </w:pPr>
      <w:r>
        <w:rPr>
          <w:rFonts w:ascii="Times New Roman" w:hAnsi="Times New Roman"/>
          <w:color w:val="262626"/>
          <w:sz w:val="22"/>
        </w:rPr>
        <w:t>$$\text{FAR} = \frac{|\{e \in \mathcal{E}_{\text{test}} \mid t_{\text{det}}(e) \le \lfloor 0.70 \times T_e \rfloor\}|}{|\mathcal{E}_{\text{test}}|}$$</w:t>
      </w:r>
    </w:p>
    <w:p>
      <w:pPr>
        <w:keepNext/>
        <w:spacing w:before="200" w:after="60"/>
      </w:pPr>
      <w:r>
        <w:rPr>
          <w:rFonts w:ascii="Times New Roman" w:hAnsi="Times New Roman"/>
          <w:b/>
          <w:color w:val="1F4E79"/>
          <w:sz w:val="24"/>
        </w:rPr>
        <w:t>5.5.3 Computational Complexity Metrics</w:t>
      </w:r>
    </w:p>
    <w:p>
      <w:pPr>
        <w:spacing w:before="40" w:after="100" w:line="276" w:lineRule="auto"/>
      </w:pPr>
      <w:r>
        <w:rPr>
          <w:rFonts w:ascii="Times New Roman" w:hAnsi="Times New Roman"/>
          <w:color w:val="262626"/>
          <w:sz w:val="22"/>
        </w:rPr>
        <w:t>To evaluate edge feasibility (RQ7), each model is audited across three physical compute dimensions:</w:t>
      </w:r>
    </w:p>
    <w:p>
      <w:pPr>
        <w:pStyle w:val="ListNumber"/>
        <w:spacing w:before="30" w:after="30" w:line="276" w:lineRule="auto"/>
      </w:pPr>
      <w:r>
        <w:rPr>
          <w:rFonts w:ascii="Times New Roman" w:hAnsi="Times New Roman"/>
          <w:b/>
          <w:color w:val="262626"/>
          <w:sz w:val="22"/>
        </w:rPr>
        <w:t>Trainable Parameter Count:</w:t>
      </w:r>
      <w:r>
        <w:rPr>
          <w:rFonts w:ascii="Times New Roman" w:hAnsi="Times New Roman"/>
          <w:color w:val="262626"/>
          <w:sz w:val="22"/>
        </w:rPr>
        <w:t xml:space="preserve"> Total number of learned weights and biases ($N_{\text{params}}$).</w:t>
      </w:r>
    </w:p>
    <w:p>
      <w:pPr>
        <w:pStyle w:val="ListNumber"/>
        <w:spacing w:before="30" w:after="30" w:line="276" w:lineRule="auto"/>
      </w:pPr>
      <w:r>
        <w:rPr>
          <w:rFonts w:ascii="Times New Roman" w:hAnsi="Times New Roman"/>
          <w:b/>
          <w:color w:val="262626"/>
          <w:sz w:val="22"/>
        </w:rPr>
        <w:t>Training Wall-Clock Time:</w:t>
      </w:r>
      <w:r>
        <w:rPr>
          <w:rFonts w:ascii="Times New Roman" w:hAnsi="Times New Roman"/>
          <w:color w:val="262626"/>
          <w:sz w:val="22"/>
        </w:rPr>
        <w:t xml:space="preserve"> Total elapsed duration in seconds required to train the model to convergence.</w:t>
      </w:r>
    </w:p>
    <w:p>
      <w:pPr>
        <w:pStyle w:val="ListNumber"/>
        <w:spacing w:before="30" w:after="30" w:line="276" w:lineRule="auto"/>
      </w:pPr>
      <w:r>
        <w:rPr>
          <w:rFonts w:ascii="Times New Roman" w:hAnsi="Times New Roman"/>
          <w:b/>
          <w:color w:val="262626"/>
          <w:sz w:val="22"/>
        </w:rPr>
        <w:t>Inference Latency:</w:t>
      </w:r>
      <w:r>
        <w:rPr>
          <w:rFonts w:ascii="Times New Roman" w:hAnsi="Times New Roman"/>
          <w:color w:val="262626"/>
          <w:sz w:val="22"/>
        </w:rPr>
        <w:t xml:space="preserve"> Mean wall-clock time in milliseconds required to compute the anomaly score for a single cycle.</w:t>
      </w:r>
    </w:p>
    <w:p>
      <w:pPr>
        <w:spacing w:before="120" w:after="120"/>
      </w:pPr>
      <w:r>
        <w:rPr>
          <w:color w:val="BDC3C7"/>
          <w:sz w:val="16"/>
        </w:rPr>
        <w:t>―――――――――――――――――――――――――――――――――――――――――――――――――――――――</w:t>
      </w:r>
    </w:p>
    <w:p>
      <w:pPr>
        <w:keepNext/>
        <w:spacing w:before="320" w:after="120"/>
      </w:pPr>
      <w:r>
        <w:rPr>
          <w:rFonts w:ascii="Times New Roman" w:hAnsi="Times New Roman"/>
          <w:b/>
          <w:color w:val="1F4E79"/>
          <w:sz w:val="36"/>
        </w:rPr>
        <w:t>Chapter 6: Experimental Setup</w:t>
      </w:r>
    </w:p>
    <w:p>
      <w:pPr>
        <w:keepNext/>
        <w:spacing w:before="240" w:after="80"/>
      </w:pPr>
      <w:r>
        <w:rPr>
          <w:rFonts w:ascii="Times New Roman" w:hAnsi="Times New Roman"/>
          <w:b/>
          <w:color w:val="2E75B6"/>
          <w:sz w:val="28"/>
        </w:rPr>
        <w:t>6.1 Hardware and Environmental Constraints</w:t>
      </w:r>
    </w:p>
    <w:p>
      <w:pPr>
        <w:spacing w:before="40" w:after="100" w:line="276" w:lineRule="auto"/>
      </w:pPr>
      <w:r>
        <w:rPr>
          <w:rFonts w:ascii="Times New Roman" w:hAnsi="Times New Roman"/>
          <w:color w:val="262626"/>
          <w:sz w:val="22"/>
        </w:rPr>
        <w:t>To maintain high industrial realism and evaluate suitability for resource-constrained edge gateways, all experiments were conducted on consumer/edge-grade CPU hardware without graphics acceleration:</w:t>
      </w:r>
    </w:p>
    <w:p>
      <w:pPr>
        <w:pStyle w:val="ListBullet"/>
        <w:spacing w:before="30" w:after="30" w:line="276" w:lineRule="auto"/>
      </w:pPr>
      <w:r>
        <w:rPr>
          <w:rFonts w:ascii="Times New Roman" w:hAnsi="Times New Roman"/>
          <w:b/>
          <w:color w:val="262626"/>
          <w:sz w:val="22"/>
        </w:rPr>
        <w:t>Processor:</w:t>
      </w:r>
      <w:r>
        <w:rPr>
          <w:rFonts w:ascii="Times New Roman" w:hAnsi="Times New Roman"/>
          <w:color w:val="262626"/>
          <w:sz w:val="22"/>
        </w:rPr>
        <w:t xml:space="preserve"> Intel Core i7-1165G7 @ 2.80 GHz (Tiger Lake microarchitecture, 4 physical cores, 8 logical threads, 12 MB Intel Smart Cache).</w:t>
      </w:r>
    </w:p>
    <w:p>
      <w:pPr>
        <w:pStyle w:val="ListBullet"/>
        <w:spacing w:before="30" w:after="30" w:line="276" w:lineRule="auto"/>
      </w:pPr>
      <w:r>
        <w:rPr>
          <w:rFonts w:ascii="Times New Roman" w:hAnsi="Times New Roman"/>
          <w:b/>
          <w:color w:val="262626"/>
          <w:sz w:val="22"/>
        </w:rPr>
        <w:t>System Memory:</w:t>
      </w:r>
      <w:r>
        <w:rPr>
          <w:rFonts w:ascii="Times New Roman" w:hAnsi="Times New Roman"/>
          <w:color w:val="262626"/>
          <w:sz w:val="22"/>
        </w:rPr>
        <w:t xml:space="preserve"> 16.0 GB DDR4 RAM @ 3200 MHz.</w:t>
      </w:r>
    </w:p>
    <w:p>
      <w:pPr>
        <w:pStyle w:val="ListBullet"/>
        <w:spacing w:before="30" w:after="30" w:line="276" w:lineRule="auto"/>
      </w:pPr>
      <w:r>
        <w:rPr>
          <w:rFonts w:ascii="Times New Roman" w:hAnsi="Times New Roman"/>
          <w:b/>
          <w:color w:val="262626"/>
          <w:sz w:val="22"/>
        </w:rPr>
        <w:t>Storage Subsystem:</w:t>
      </w:r>
      <w:r>
        <w:rPr>
          <w:rFonts w:ascii="Times New Roman" w:hAnsi="Times New Roman"/>
          <w:color w:val="262626"/>
          <w:sz w:val="22"/>
        </w:rPr>
        <w:t xml:space="preserve"> 512 GB PCIe NVMe M.2 Solid State Drive.</w:t>
      </w:r>
    </w:p>
    <w:p>
      <w:pPr>
        <w:pStyle w:val="ListBullet"/>
        <w:spacing w:before="30" w:after="30" w:line="276" w:lineRule="auto"/>
      </w:pPr>
      <w:r>
        <w:rPr>
          <w:rFonts w:ascii="Times New Roman" w:hAnsi="Times New Roman"/>
          <w:b/>
          <w:color w:val="262626"/>
          <w:sz w:val="22"/>
        </w:rPr>
        <w:t>Operating System:</w:t>
      </w:r>
      <w:r>
        <w:rPr>
          <w:rFonts w:ascii="Times New Roman" w:hAnsi="Times New Roman"/>
          <w:color w:val="262626"/>
          <w:sz w:val="22"/>
        </w:rPr>
        <w:t xml:space="preserve"> Microsoft Windows 11 Enterprise (64-bit, Build 22631).</w:t>
      </w:r>
    </w:p>
    <w:p>
      <w:pPr>
        <w:pStyle w:val="ListBullet"/>
        <w:spacing w:before="30" w:after="30" w:line="276" w:lineRule="auto"/>
      </w:pPr>
      <w:r>
        <w:rPr>
          <w:rFonts w:ascii="Times New Roman" w:hAnsi="Times New Roman"/>
          <w:b/>
          <w:color w:val="262626"/>
          <w:sz w:val="22"/>
        </w:rPr>
        <w:t>Graphics Acceleration:</w:t>
      </w:r>
      <w:r>
        <w:rPr>
          <w:rFonts w:ascii="Times New Roman" w:hAnsi="Times New Roman"/>
          <w:color w:val="262626"/>
          <w:sz w:val="22"/>
        </w:rPr>
        <w:t xml:space="preserve"> None (Strictly CPU-only execution; all PyTorch computations executed on the CPU device).</w:t>
      </w:r>
    </w:p>
    <w:p>
      <w:pPr>
        <w:spacing w:before="40" w:after="100" w:line="276" w:lineRule="auto"/>
      </w:pPr>
      <w:r>
        <w:rPr>
          <w:rFonts w:ascii="Times New Roman" w:hAnsi="Times New Roman"/>
          <w:color w:val="262626"/>
          <w:sz w:val="22"/>
        </w:rPr>
        <w:t>This hardware specification accurately reflects the computational capacity of modern industrial edge gateways (e.g., Siemens SIMATIC IPC, Advantech UNO, Dell Edge Gateway) deployed in real-world IIoT manufacturing facilities.</w:t>
      </w:r>
    </w:p>
    <w:p>
      <w:pPr>
        <w:keepNext/>
        <w:spacing w:before="240" w:after="80"/>
      </w:pPr>
      <w:r>
        <w:rPr>
          <w:rFonts w:ascii="Times New Roman" w:hAnsi="Times New Roman"/>
          <w:b/>
          <w:color w:val="2E75B6"/>
          <w:sz w:val="28"/>
        </w:rPr>
        <w:t>6.2 Software Toolchain and Dependency Specifications</w:t>
      </w:r>
    </w:p>
    <w:p>
      <w:pPr>
        <w:spacing w:before="40" w:after="100" w:line="276" w:lineRule="auto"/>
      </w:pPr>
      <w:r>
        <w:rPr>
          <w:rFonts w:ascii="Times New Roman" w:hAnsi="Times New Roman"/>
          <w:color w:val="262626"/>
          <w:sz w:val="22"/>
        </w:rPr>
        <w:t>All software was implemented in Python 3.10.7 within a dedicated virtual environment. Table 6.1 enumerates the primary software libraries, official release versions, and roles within the project.</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Software Package</w:t>
            </w:r>
          </w:p>
        </w:tc>
        <w:tc>
          <w:tcPr>
            <w:tcW w:type="dxa" w:w="312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Version</w:t>
            </w:r>
          </w:p>
        </w:tc>
        <w:tc>
          <w:tcPr>
            <w:tcW w:type="dxa" w:w="312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Primary Role within Experimental Pipeline</w:t>
            </w:r>
          </w:p>
        </w:tc>
      </w:tr>
      <w:tr>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Python</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3.10.7</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Core programming language runtime environment</w:t>
            </w:r>
          </w:p>
        </w:tc>
      </w:tr>
      <w:tr>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PyTorch</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2.3.0+cpu</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Deep learning framework (Autograd, FC-AE, LSTM-AE modules)</w:t>
            </w:r>
          </w:p>
        </w:tc>
      </w:tr>
      <w:tr>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Scikit-learn</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1.4.2</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Classical models (Isolation Forest, OC-SVM), StandardScaler, metrics</w:t>
            </w:r>
          </w:p>
        </w:tc>
      </w:tr>
      <w:tr>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SciPy</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1.13.0</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Statistical distributions, Wilcoxon signed-rank significance tests</w:t>
            </w:r>
          </w:p>
        </w:tc>
      </w:tr>
      <w:tr>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NumPy</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1.26.4</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Vectorized multi-dimensional array mathematics and sliding window slicing</w:t>
            </w:r>
          </w:p>
        </w:tc>
      </w:tr>
      <w:tr>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Pandas</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2.2.2</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Structured tabular telemetry ingestion, engine grouping, time indexing</w:t>
            </w:r>
          </w:p>
        </w:tc>
      </w:tr>
      <w:tr>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Matplotlib</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3.8.4</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Publication-quality visualization generation (vector EPS/PDF, raster PNG)</w:t>
            </w:r>
          </w:p>
        </w:tc>
      </w:tr>
      <w:tr>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Seaborn</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0.13.2</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Statistical distribution plotting, kernel density estimates, boxplots</w:t>
            </w:r>
          </w:p>
        </w:tc>
      </w:tr>
      <w:tr>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PyYAML</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6.0.1</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Configuration file parsing and experimental hyperparameter serialization</w:t>
            </w:r>
          </w:p>
        </w:tc>
      </w:tr>
    </w:tbl>
    <w:p>
      <w:pPr>
        <w:spacing w:before="80" w:after="120"/>
      </w:pPr>
    </w:p>
    <w:p>
      <w:pPr>
        <w:spacing w:before="40" w:after="100" w:line="276" w:lineRule="auto"/>
      </w:pPr>
      <w:r>
        <w:rPr>
          <w:rFonts w:ascii="Times New Roman" w:hAnsi="Times New Roman"/>
          <w:i/>
          <w:color w:val="262626"/>
          <w:sz w:val="22"/>
        </w:rPr>
        <w:t>Table 6.1: Complete software toolchain and library version dependencies.</w:t>
      </w:r>
    </w:p>
    <w:p>
      <w:pPr>
        <w:keepNext/>
        <w:spacing w:before="240" w:after="80"/>
      </w:pPr>
      <w:r>
        <w:rPr>
          <w:rFonts w:ascii="Times New Roman" w:hAnsi="Times New Roman"/>
          <w:b/>
          <w:color w:val="2E75B6"/>
          <w:sz w:val="28"/>
        </w:rPr>
        <w:t>6.3 Data Preprocessing and Sequencing Protocols</w:t>
      </w:r>
    </w:p>
    <w:p>
      <w:pPr>
        <w:spacing w:before="40" w:after="100" w:line="276" w:lineRule="auto"/>
      </w:pPr>
      <w:r>
        <w:rPr>
          <w:rFonts w:ascii="Times New Roman" w:hAnsi="Times New Roman"/>
          <w:color w:val="262626"/>
          <w:sz w:val="22"/>
        </w:rPr>
        <w:t xml:space="preserve">Data preprocessing is executed via a deterministic, modular pipeline implemented in </w:t>
      </w:r>
      <w:r>
        <w:rPr>
          <w:rFonts w:ascii="Consolas" w:hAnsi="Consolas"/>
          <w:color w:val="990000"/>
          <w:sz w:val="20"/>
        </w:rPr>
        <w:t>src/preprocessing/</w:t>
      </w:r>
      <w:r>
        <w:rPr>
          <w:rFonts w:ascii="Times New Roman" w:hAnsi="Times New Roman"/>
          <w:color w:val="262626"/>
          <w:sz w:val="22"/>
        </w:rPr>
        <w:t>:</w:t>
      </w:r>
    </w:p>
    <w:p>
      <w:pPr>
        <w:pStyle w:val="ListNumber"/>
        <w:spacing w:before="30" w:after="30" w:line="276" w:lineRule="auto"/>
      </w:pPr>
      <w:r>
        <w:rPr>
          <w:rFonts w:ascii="Times New Roman" w:hAnsi="Times New Roman"/>
          <w:b/>
          <w:color w:val="262626"/>
          <w:sz w:val="22"/>
        </w:rPr>
        <w:t>Raw Telemetry Ingestion:</w:t>
      </w:r>
      <w:r>
        <w:rPr>
          <w:rFonts w:ascii="Times New Roman" w:hAnsi="Times New Roman"/>
          <w:color w:val="262626"/>
          <w:sz w:val="22"/>
        </w:rPr>
        <w:t xml:space="preserve"> The 26-column space-delimited text files (</w:t>
      </w:r>
      <w:r>
        <w:rPr>
          <w:rFonts w:ascii="Consolas" w:hAnsi="Consolas"/>
          <w:color w:val="990000"/>
          <w:sz w:val="20"/>
        </w:rPr>
        <w:t>train_FD001.txt</w:t>
      </w:r>
      <w:r>
        <w:rPr>
          <w:rFonts w:ascii="Times New Roman" w:hAnsi="Times New Roman"/>
          <w:color w:val="262626"/>
          <w:sz w:val="22"/>
        </w:rPr>
        <w:t>, etc.) are parsed into structured Pandas DataFrames.</w:t>
      </w:r>
    </w:p>
    <w:p>
      <w:pPr>
        <w:pStyle w:val="ListNumber"/>
        <w:spacing w:before="30" w:after="30" w:line="276" w:lineRule="auto"/>
      </w:pPr>
      <w:r>
        <w:rPr>
          <w:rFonts w:ascii="Times New Roman" w:hAnsi="Times New Roman"/>
          <w:b/>
          <w:color w:val="262626"/>
          <w:sz w:val="22"/>
        </w:rPr>
        <w:t>Variance Screening &amp; Sensor Pruning:</w:t>
      </w:r>
      <w:r>
        <w:rPr>
          <w:rFonts w:ascii="Times New Roman" w:hAnsi="Times New Roman"/>
          <w:color w:val="262626"/>
          <w:sz w:val="22"/>
        </w:rPr>
        <w:t xml:space="preserve"> For subsets FD001 and FD003, the seven uninformative invariant sensors ($s_1, s_5, s_6, s_{10}, s_{16}, s_{18}, s_{19}$) are systematically pruned, reducing the feature dimension from $D=21$ to $D=14$. For subsets FD002 and FD004, operational setting channels (</w:t>
      </w:r>
      <w:r>
        <w:rPr>
          <w:rFonts w:ascii="Consolas" w:hAnsi="Consolas"/>
          <w:color w:val="990000"/>
          <w:sz w:val="20"/>
        </w:rPr>
        <w:t>op_setting_1</w:t>
      </w:r>
      <w:r>
        <w:rPr>
          <w:rFonts w:ascii="Times New Roman" w:hAnsi="Times New Roman"/>
          <w:color w:val="262626"/>
          <w:sz w:val="22"/>
        </w:rPr>
        <w:t xml:space="preserve">, </w:t>
      </w:r>
      <w:r>
        <w:rPr>
          <w:rFonts w:ascii="Consolas" w:hAnsi="Consolas"/>
          <w:color w:val="990000"/>
          <w:sz w:val="20"/>
        </w:rPr>
        <w:t>op_setting_2</w:t>
      </w:r>
      <w:r>
        <w:rPr>
          <w:rFonts w:ascii="Times New Roman" w:hAnsi="Times New Roman"/>
          <w:color w:val="262626"/>
          <w:sz w:val="22"/>
        </w:rPr>
        <w:t xml:space="preserve">, </w:t>
      </w:r>
      <w:r>
        <w:rPr>
          <w:rFonts w:ascii="Consolas" w:hAnsi="Consolas"/>
          <w:color w:val="990000"/>
          <w:sz w:val="20"/>
        </w:rPr>
        <w:t>op_setting_3</w:t>
      </w:r>
      <w:r>
        <w:rPr>
          <w:rFonts w:ascii="Times New Roman" w:hAnsi="Times New Roman"/>
          <w:color w:val="262626"/>
          <w:sz w:val="22"/>
        </w:rPr>
        <w:t>) are retained alongside sensor channels to provide operational context.</w:t>
      </w:r>
    </w:p>
    <w:p>
      <w:pPr>
        <w:pStyle w:val="ListNumber"/>
        <w:spacing w:before="30" w:after="30" w:line="276" w:lineRule="auto"/>
      </w:pPr>
      <w:r>
        <w:rPr>
          <w:rFonts w:ascii="Times New Roman" w:hAnsi="Times New Roman"/>
          <w:b/>
          <w:color w:val="262626"/>
          <w:sz w:val="22"/>
        </w:rPr>
        <w:t>Engine-Level Stratified Partitioning:</w:t>
      </w:r>
      <w:r>
        <w:rPr>
          <w:rFonts w:ascii="Times New Roman" w:hAnsi="Times New Roman"/>
          <w:color w:val="262626"/>
          <w:sz w:val="22"/>
        </w:rPr>
        <w:t xml:space="preserve"> Engines are partitioned into 70% training, 15% validation, and 15% testing splits using a fixed random seed. For FD001 (100 engines), exactly 70 engines are assigned to training, 15 to validation, and 15 to testing.</w:t>
      </w:r>
    </w:p>
    <w:p>
      <w:pPr>
        <w:pStyle w:val="ListNumber"/>
        <w:spacing w:before="30" w:after="30" w:line="276" w:lineRule="auto"/>
      </w:pPr>
      <w:r>
        <w:rPr>
          <w:rFonts w:ascii="Times New Roman" w:hAnsi="Times New Roman"/>
          <w:b/>
          <w:color w:val="262626"/>
          <w:sz w:val="22"/>
        </w:rPr>
        <w:t>Train-Constrained Normalization:</w:t>
      </w:r>
      <w:r>
        <w:rPr>
          <w:rFonts w:ascii="Times New Roman" w:hAnsi="Times New Roman"/>
          <w:color w:val="262626"/>
          <w:sz w:val="22"/>
        </w:rPr>
        <w:t xml:space="preserve"> A </w:t>
      </w:r>
      <w:r>
        <w:rPr>
          <w:rFonts w:ascii="Consolas" w:hAnsi="Consolas"/>
          <w:color w:val="990000"/>
          <w:sz w:val="20"/>
        </w:rPr>
        <w:t>StandardScaler</w:t>
      </w:r>
      <w:r>
        <w:rPr>
          <w:rFonts w:ascii="Times New Roman" w:hAnsi="Times New Roman"/>
          <w:color w:val="262626"/>
          <w:sz w:val="22"/>
        </w:rPr>
        <w:t xml:space="preserve"> is fitted strictly on the healthy phase ($t \le 0.70 \times T_e$) of the 70 training engines. The resulting transformation parameters ($\mu, \sigma$) are saved to disk and applied to validation and test engines.</w:t>
      </w:r>
    </w:p>
    <w:p>
      <w:pPr>
        <w:pStyle w:val="ListNumber"/>
        <w:spacing w:before="30" w:after="30" w:line="276" w:lineRule="auto"/>
      </w:pPr>
      <w:r>
        <w:rPr>
          <w:rFonts w:ascii="Times New Roman" w:hAnsi="Times New Roman"/>
          <w:b/>
          <w:color w:val="262626"/>
          <w:sz w:val="22"/>
        </w:rPr>
        <w:t>Sliding Window Sequence Generation:</w:t>
      </w:r>
      <w:r>
        <w:rPr>
          <w:rFonts w:ascii="Times New Roman" w:hAnsi="Times New Roman"/>
          <w:color w:val="262626"/>
          <w:sz w:val="22"/>
        </w:rPr>
        <w:t xml:space="preserve"> For the LSTM-AE architecture, time-series arrays are transformed into sequential tensors using a sliding window of length $W=30$ cycles with a stride of 1 cycle ($S=1$). Sequences are generated strictly within individual engine boundaries; no sequence spans across distinct engine IDs. For an engine with $T_e$ recorded cycles, exactly $T_e - W + 1$ overlapping temporal sequences are generated.</w:t>
      </w:r>
    </w:p>
    <w:p>
      <w:pPr>
        <w:keepNext/>
        <w:spacing w:before="240" w:after="80"/>
      </w:pPr>
      <w:r>
        <w:rPr>
          <w:rFonts w:ascii="Times New Roman" w:hAnsi="Times New Roman"/>
          <w:b/>
          <w:color w:val="2E75B6"/>
          <w:sz w:val="28"/>
        </w:rPr>
        <w:t>6.4 Hyperparameter Specifications and Training Regimes</w:t>
      </w:r>
    </w:p>
    <w:p>
      <w:pPr>
        <w:spacing w:before="40" w:after="100" w:line="276" w:lineRule="auto"/>
      </w:pPr>
      <w:r>
        <w:rPr>
          <w:rFonts w:ascii="Times New Roman" w:hAnsi="Times New Roman"/>
          <w:color w:val="262626"/>
          <w:sz w:val="22"/>
        </w:rPr>
        <w:t>Table 6.2 provides the complete hyperparameter specifications across all five evaluated models, ensuring full experimental reproducibility.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Model</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Hyperparameter</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Configured Value</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Selection Rationale / Empirical Search Boundary</w:t>
            </w:r>
          </w:p>
        </w:tc>
        <w:tc>
          <w:tcPr>
            <w:tcW w:type="dxa" w:w="1560"/>
            <w:shd w:fill="1F4E79"/>
            <w:tcMar>
              <w:top w:w="120" w:type="dxa"/>
              <w:bottom w:w="120" w:type="dxa"/>
              <w:left w:w="140" w:type="dxa"/>
              <w:right w:w="140" w:type="dxa"/>
            </w:tcMar>
          </w:tcPr>
          <w:p>
            <w:pPr>
              <w:spacing w:before="40" w:after="40" w:line="252" w:lineRule="auto"/>
            </w:pPr>
            <w:r>
              <w:rPr>
                <w:b/>
              </w:rPr>
            </w:r>
          </w:p>
        </w:tc>
        <w:tc>
          <w:tcPr>
            <w:tcW w:type="dxa" w:w="1560"/>
            <w:shd w:fill="1F4E79"/>
            <w:tcMar>
              <w:top w:w="120" w:type="dxa"/>
              <w:bottom w:w="120" w:type="dxa"/>
              <w:left w:w="140" w:type="dxa"/>
              <w:right w:w="140" w:type="dxa"/>
            </w:tcMar>
          </w:tcPr>
          <w:p>
            <w:pPr>
              <w:spacing w:before="40" w:after="40" w:line="252" w:lineRule="auto"/>
            </w:pPr>
            <w:r>
              <w:rPr>
                <w:b/>
              </w:rPr>
            </w:r>
          </w:p>
        </w:tc>
      </w:tr>
      <w:tr>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Baseline</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Metric Type</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Euclidean Mean Z-Score</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Parameter-free; computes mean absolute sensor Z-score</w:t>
            </w:r>
          </w:p>
        </w:tc>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p>
        </w:tc>
      </w:tr>
      <w:tr>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Z-Score Bound</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$\mu \pm 3.0\sigma$</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Standard 99.7% Gaussian confidence limit</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r>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Number of Trees ($n_{\text{estimators}}$)</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Standard ensemble size; achieves asymptotic convergence</w:t>
            </w:r>
          </w:p>
        </w:tc>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p>
        </w:tc>
      </w:tr>
      <w:tr>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Subsample Size ($max_{\text{samples}}$)</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256</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Standard subsampling preventing tree masking effects</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r>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Contamination</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"auto"</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Unsupervised formulation; threshold tuned on validation</w:t>
            </w:r>
          </w:p>
        </w:tc>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p>
        </w:tc>
      </w:tr>
      <w:tr>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One-Class SVM</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Kernel Function</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Radial Basis Function (RBF)</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Captures non-linear decision boundaries</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r>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Kernel Bandwidth ($\gamma$)</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"scale" ($1 / (D \cdot \sigma^2_X)$)</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Standard adaptive scaling</w:t>
            </w:r>
          </w:p>
        </w:tc>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p>
        </w:tc>
      </w:tr>
      <w:tr>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Upper Bound Outliers ($\nu$)</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0.05</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Conservative 5% initial support vector margin</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r>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FC-Autoencoder</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Layer Dimensions</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$[14 \to 64 \to 32 \to 16 \to 32 \to 64 \to 14]$</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Symmetrical bottleneck architecture with 16D latent space</w:t>
            </w:r>
          </w:p>
        </w:tc>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p>
        </w:tc>
      </w:tr>
      <w:tr>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Activation Function</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ReLU</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Non-linear activation preventing vanishing gradients</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r>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Batch Normalization</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True</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Applied post-activation to stabilize internal covariate shift</w:t>
            </w:r>
          </w:p>
        </w:tc>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p>
        </w:tc>
      </w:tr>
      <w:tr>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Dropout Rate</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0.20</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Applied to hidden layers to prevent co-adaptation</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r>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Optimizer / Learning Rate</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Adam / $1.0 \times 10^{-3}$</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Standard adaptive moment estimation</w:t>
            </w:r>
          </w:p>
        </w:tc>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p>
        </w:tc>
      </w:tr>
      <w:tr>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Loss Function</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Mean Squared Error (MSE)</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Reconstruction error objective</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r>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Batch Size / Max Epochs</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256 / 100 epochs</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Mini-batch gradient descent with early stopping</w:t>
            </w:r>
          </w:p>
        </w:tc>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p>
        </w:tc>
      </w:tr>
      <w:tr>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Early Stopping</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Patience = 15 epochs</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Monitored on validation loss ($\Delta &lt; 10^{-4}$)</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r>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LSTM-Autoencoder</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Sequence Window ($W$)</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30 cycles</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Sliding window capturing short-to-medium temporal drift</w:t>
            </w:r>
          </w:p>
        </w:tc>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p>
        </w:tc>
      </w:tr>
      <w:tr>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Encoder Architecture</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2-layer LSTM ($H=64$, Dropout=0.20)</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Extracts temporal recurrent sequence embeddings</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r>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Latent Bottleneck ($d$)</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32 dimensions</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Compresses final sequence hidden state</w:t>
            </w:r>
          </w:p>
        </w:tc>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p>
        </w:tc>
      </w:tr>
      <w:tr>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Decoder Architecture</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2-layer LSTM ($H=64$, Dropout=0.20)</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Reconstructs input sequence in reverse temporal order</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r>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Gradient Clipping</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$\max \</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\nabla_\theta\</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_2 = 1.0$</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Enforces gradient norm bound to prevent exploding gradients</w:t>
            </w:r>
          </w:p>
        </w:tc>
      </w:tr>
      <w:tr>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Optimizer / Learning Rate</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Adam / $1.0 \times 10^{-3}$</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Adaptive learning rate with ReduceLROnPlateau</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r>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LR Scheduler</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ReduceLROnPlateau (factor=0.5, pat=10)</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Reduces LR upon validation plateau</w:t>
            </w:r>
          </w:p>
        </w:tc>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p>
        </w:tc>
      </w:tr>
      <w:tr>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Batch Size / Max Epochs</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128 / 100 epochs</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Sequence batch size optimized for CPU cache efficiency</w:t>
            </w:r>
          </w:p>
        </w:tc>
        <w:tc>
          <w:tcPr>
            <w:tcW w:type="dxa" w:w="1560"/>
            <w:shd w:fill="FFFFFF"/>
            <w:tcMar>
              <w:top w:w="100" w:type="dxa"/>
              <w:bottom w:w="100" w:type="dxa"/>
              <w:left w:w="140" w:type="dxa"/>
              <w:right w:w="140" w:type="dxa"/>
            </w:tcMar>
          </w:tcPr>
          <w:p>
            <w:pPr>
              <w:spacing w:before="40" w:after="40" w:line="252" w:lineRule="auto"/>
            </w:pPr>
            <w:r/>
          </w:p>
        </w:tc>
        <w:tc>
          <w:tcPr>
            <w:tcW w:type="dxa" w:w="1560"/>
            <w:shd w:fill="FFFFFF"/>
            <w:tcMar>
              <w:top w:w="100" w:type="dxa"/>
              <w:bottom w:w="100" w:type="dxa"/>
              <w:left w:w="140" w:type="dxa"/>
              <w:right w:w="140" w:type="dxa"/>
            </w:tcMar>
          </w:tcPr>
          <w:p>
            <w:pPr>
              <w:spacing w:before="40" w:after="40" w:line="252" w:lineRule="auto"/>
            </w:pPr>
            <w:r/>
          </w:p>
        </w:tc>
      </w:tr>
    </w:tbl>
    <w:p>
      <w:pPr>
        <w:spacing w:before="80" w:after="120"/>
      </w:pPr>
    </w:p>
    <w:p>
      <w:pPr>
        <w:spacing w:before="40" w:after="100" w:line="276" w:lineRule="auto"/>
      </w:pPr>
      <w:r>
        <w:rPr>
          <w:rFonts w:ascii="Times New Roman" w:hAnsi="Times New Roman"/>
          <w:i/>
          <w:color w:val="262626"/>
          <w:sz w:val="22"/>
        </w:rPr>
        <w:t>Table 6.2: Complete hyperparameter configuration for all five unsupervised anomaly detection models.</w:t>
      </w:r>
    </w:p>
    <w:p>
      <w:pPr>
        <w:spacing w:before="120" w:after="120"/>
      </w:pPr>
      <w:r>
        <w:rPr>
          <w:color w:val="BDC3C7"/>
          <w:sz w:val="16"/>
        </w:rPr>
        <w:t>―――――――――――――――――――――――――――――――――――――――――――――――――――――――</w:t>
      </w:r>
    </w:p>
    <w:p>
      <w:pPr>
        <w:keepNext/>
        <w:spacing w:before="320" w:after="120"/>
      </w:pPr>
      <w:r>
        <w:rPr>
          <w:rFonts w:ascii="Times New Roman" w:hAnsi="Times New Roman"/>
          <w:b/>
          <w:color w:val="1F4E79"/>
          <w:sz w:val="36"/>
        </w:rPr>
        <w:t>Chapter 7: Results and Empirical Analysis</w:t>
      </w:r>
    </w:p>
    <w:p>
      <w:pPr>
        <w:keepNext/>
        <w:spacing w:before="240" w:after="80"/>
      </w:pPr>
      <w:r>
        <w:rPr>
          <w:rFonts w:ascii="Times New Roman" w:hAnsi="Times New Roman"/>
          <w:b/>
          <w:color w:val="2E75B6"/>
          <w:sz w:val="28"/>
        </w:rPr>
        <w:t>7.1 Benchmark Performance on FD001</w:t>
      </w:r>
    </w:p>
    <w:p>
      <w:pPr>
        <w:spacing w:before="40" w:after="100" w:line="276" w:lineRule="auto"/>
      </w:pPr>
      <w:r>
        <w:rPr>
          <w:rFonts w:ascii="Times New Roman" w:hAnsi="Times New Roman"/>
          <w:color w:val="262626"/>
          <w:sz w:val="22"/>
        </w:rPr>
        <w:t xml:space="preserve">The primary empirical benchmark evaluates all five unsupervised anomaly detection paradigms on the canonical C-MAPSS subset </w:t>
      </w:r>
      <w:r>
        <w:rPr>
          <w:rFonts w:ascii="Times New Roman" w:hAnsi="Times New Roman"/>
          <w:b/>
          <w:color w:val="262626"/>
          <w:sz w:val="22"/>
        </w:rPr>
        <w:t>FD001</w:t>
      </w:r>
      <w:r>
        <w:rPr>
          <w:rFonts w:ascii="Times New Roman" w:hAnsi="Times New Roman"/>
          <w:color w:val="262626"/>
          <w:sz w:val="22"/>
        </w:rPr>
        <w:t xml:space="preserve"> (single operating condition, single high-pressure compressor degradation fault mode). All models were trained strictly on the healthy operational phase of the 70 training engines, with thresholds calibrated on the 15 validation engines using the validation-percentile 95 ($P_{95}$) strategy, and evaluated blindly on the 15 held-out test engines.</w:t>
      </w:r>
    </w:p>
    <w:p>
      <w:pPr>
        <w:spacing w:before="40" w:after="100" w:line="276" w:lineRule="auto"/>
      </w:pPr>
      <w:r>
        <w:rPr>
          <w:rFonts w:ascii="Times New Roman" w:hAnsi="Times New Roman"/>
          <w:color w:val="262626"/>
          <w:sz w:val="22"/>
        </w:rPr>
        <w:t>Table 7.1 presents the complete performance comparison across point-in-time classification metrics, threshold-independent discrimination integrals, early warning lead times, and computational profiles.</w:t>
      </w:r>
    </w:p>
    <w:tbl>
      <w:tblPr>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Anomaly Detection Model</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Precision</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Recall</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F1-Score</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ROC-AUC</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PR-AUC</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False Positive Rate (FPR)</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Lead Time (Cycles)</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Detection Rate (%)</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Train Time (Seconds)</w:t>
            </w:r>
          </w:p>
        </w:tc>
        <w:tc>
          <w:tcPr>
            <w:tcW w:type="dxa" w:w="851"/>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Inference Latency (ms/cycle)</w:t>
            </w:r>
          </w:p>
        </w:tc>
      </w:tr>
      <w:tr>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(Z-Score)</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0.518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0.720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0.602</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0.984</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0.812</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0.048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38.4</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0.12 s</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0.008 ms</w:t>
            </w:r>
          </w:p>
        </w:tc>
      </w:tr>
      <w:tr>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 (IF)</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0.463</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0.675</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0.549</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0.976</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0.785</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0.056</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42.1</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1.84 s</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0.142 ms</w:t>
            </w:r>
          </w:p>
        </w:tc>
      </w:tr>
      <w:tr>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One-Class SVM</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0.495</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0.724</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0.588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0.972</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0.798</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0.052</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44.0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14.20 s</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0.860 ms</w:t>
            </w:r>
          </w:p>
        </w:tc>
      </w:tr>
      <w:tr>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FC-Autoencoder</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0.482</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0.680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0.564</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0.912</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0.730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0.054</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46.2</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18.65 s</w:t>
            </w:r>
          </w:p>
        </w:tc>
        <w:tc>
          <w:tcPr>
            <w:tcW w:type="dxa" w:w="851"/>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0.045 ms</w:t>
            </w:r>
          </w:p>
        </w:tc>
      </w:tr>
      <w:tr>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LSTM-Autoencoder</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0.312</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0.685</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0.429</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0.901</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0.695</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0.114</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74.2</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142.80 s</w:t>
            </w:r>
          </w:p>
        </w:tc>
        <w:tc>
          <w:tcPr>
            <w:tcW w:type="dxa" w:w="851"/>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1.250 ms</w:t>
            </w:r>
          </w:p>
        </w:tc>
      </w:tr>
    </w:tbl>
    <w:p>
      <w:pPr>
        <w:spacing w:before="80" w:after="120"/>
      </w:pPr>
    </w:p>
    <w:p>
      <w:pPr>
        <w:spacing w:before="40" w:after="100" w:line="276" w:lineRule="auto"/>
      </w:pPr>
      <w:r>
        <w:rPr>
          <w:rFonts w:ascii="Times New Roman" w:hAnsi="Times New Roman"/>
          <w:i/>
          <w:color w:val="262626"/>
          <w:sz w:val="22"/>
        </w:rPr>
        <w:t>Table 7.1: Comprehensive benchmark results on NASA C-MAPSS FD001 test split under identical leakage-free evaluation.</w:t>
      </w:r>
    </w:p>
    <w:p>
      <w:pPr>
        <w:spacing w:before="40" w:after="100" w:line="276" w:lineRule="auto"/>
      </w:pPr>
      <w:r>
        <w:rPr>
          <w:rFonts w:ascii="Times New Roman" w:hAnsi="Times New Roman"/>
          <w:color w:val="262626"/>
          <w:sz w:val="22"/>
        </w:rPr>
        <w:t xml:space="preserve">A rigorous analysis of Table 7.1 yields several striking empirical findings that directly address </w:t>
      </w:r>
      <w:r>
        <w:rPr>
          <w:rFonts w:ascii="Times New Roman" w:hAnsi="Times New Roman"/>
          <w:b/>
          <w:color w:val="262626"/>
          <w:sz w:val="22"/>
        </w:rPr>
        <w:t>RQ1</w:t>
      </w:r>
      <w:r>
        <w:rPr>
          <w:rFonts w:ascii="Times New Roman" w:hAnsi="Times New Roman"/>
          <w:color w:val="262626"/>
          <w:sz w:val="22"/>
        </w:rPr>
        <w:t>:</w:t>
      </w:r>
    </w:p>
    <w:p>
      <w:pPr>
        <w:pStyle w:val="ListNumber"/>
        <w:spacing w:before="30" w:after="30" w:line="276" w:lineRule="auto"/>
      </w:pPr>
      <w:r>
        <w:rPr>
          <w:rFonts w:ascii="Times New Roman" w:hAnsi="Times New Roman"/>
          <w:b/>
          <w:color w:val="262626"/>
          <w:sz w:val="22"/>
        </w:rPr>
        <w:t>Supremacy of the Statistical Baseline on Static Metrics:</w:t>
      </w:r>
      <w:r>
        <w:rPr>
          <w:rFonts w:ascii="Times New Roman" w:hAnsi="Times New Roman"/>
          <w:color w:val="262626"/>
          <w:sz w:val="22"/>
        </w:rPr>
        <w:t xml:space="preserve"> The parameter-free Statistical Z-score baseline achieves the highest F1-score (</w:t>
      </w:r>
      <w:r>
        <w:rPr>
          <w:rFonts w:ascii="Times New Roman" w:hAnsi="Times New Roman"/>
          <w:b/>
          <w:color w:val="262626"/>
          <w:sz w:val="22"/>
        </w:rPr>
        <w:t>0.602</w:t>
      </w:r>
      <w:r>
        <w:rPr>
          <w:rFonts w:ascii="Times New Roman" w:hAnsi="Times New Roman"/>
          <w:color w:val="262626"/>
          <w:sz w:val="22"/>
        </w:rPr>
        <w:t>), the highest ROC-AUC (</w:t>
      </w:r>
      <w:r>
        <w:rPr>
          <w:rFonts w:ascii="Times New Roman" w:hAnsi="Times New Roman"/>
          <w:b/>
          <w:color w:val="262626"/>
          <w:sz w:val="22"/>
        </w:rPr>
        <w:t>0.984</w:t>
      </w:r>
      <w:r>
        <w:rPr>
          <w:rFonts w:ascii="Times New Roman" w:hAnsi="Times New Roman"/>
          <w:color w:val="262626"/>
          <w:sz w:val="22"/>
        </w:rPr>
        <w:t>), the highest PR-AUC (</w:t>
      </w:r>
      <w:r>
        <w:rPr>
          <w:rFonts w:ascii="Times New Roman" w:hAnsi="Times New Roman"/>
          <w:b/>
          <w:color w:val="262626"/>
          <w:sz w:val="22"/>
        </w:rPr>
        <w:t>0.812</w:t>
      </w:r>
      <w:r>
        <w:rPr>
          <w:rFonts w:ascii="Times New Roman" w:hAnsi="Times New Roman"/>
          <w:color w:val="262626"/>
          <w:sz w:val="22"/>
        </w:rPr>
        <w:t>), and the highest Precision (</w:t>
      </w:r>
      <w:r>
        <w:rPr>
          <w:rFonts w:ascii="Times New Roman" w:hAnsi="Times New Roman"/>
          <w:b/>
          <w:color w:val="262626"/>
          <w:sz w:val="22"/>
        </w:rPr>
        <w:t>0.518</w:t>
      </w:r>
      <w:r>
        <w:rPr>
          <w:rFonts w:ascii="Times New Roman" w:hAnsi="Times New Roman"/>
          <w:color w:val="262626"/>
          <w:sz w:val="22"/>
        </w:rPr>
        <w:t>) among all evaluated architectures. Despite having zero trainable parameters and requiring only 0.12 seconds of compute time to calculate sensor sample means and standard deviations, it outperforms all complex machine learning and deep learning models on standard cycle-level classification metrics.</w:t>
      </w:r>
    </w:p>
    <w:p>
      <w:pPr>
        <w:pStyle w:val="ListNumber"/>
        <w:spacing w:before="30" w:after="30" w:line="276" w:lineRule="auto"/>
      </w:pPr>
      <w:r>
        <w:rPr>
          <w:rFonts w:ascii="Times New Roman" w:hAnsi="Times New Roman"/>
          <w:b/>
          <w:color w:val="262626"/>
          <w:sz w:val="22"/>
        </w:rPr>
        <w:t>Competitive Performance of Classical ML:</w:t>
      </w:r>
      <w:r>
        <w:rPr>
          <w:rFonts w:ascii="Times New Roman" w:hAnsi="Times New Roman"/>
          <w:color w:val="262626"/>
          <w:sz w:val="22"/>
        </w:rPr>
        <w:t xml:space="preserve"> One-Class SVM achieves an F1-score of </w:t>
      </w:r>
      <w:r>
        <w:rPr>
          <w:rFonts w:ascii="Times New Roman" w:hAnsi="Times New Roman"/>
          <w:b/>
          <w:color w:val="262626"/>
          <w:sz w:val="22"/>
        </w:rPr>
        <w:t>0.588</w:t>
      </w:r>
      <w:r>
        <w:rPr>
          <w:rFonts w:ascii="Times New Roman" w:hAnsi="Times New Roman"/>
          <w:color w:val="262626"/>
          <w:sz w:val="22"/>
        </w:rPr>
        <w:t xml:space="preserve"> and ROC-AUC of </w:t>
      </w:r>
      <w:r>
        <w:rPr>
          <w:rFonts w:ascii="Times New Roman" w:hAnsi="Times New Roman"/>
          <w:b/>
          <w:color w:val="262626"/>
          <w:sz w:val="22"/>
        </w:rPr>
        <w:t>0.972</w:t>
      </w:r>
      <w:r>
        <w:rPr>
          <w:rFonts w:ascii="Times New Roman" w:hAnsi="Times New Roman"/>
          <w:color w:val="262626"/>
          <w:sz w:val="22"/>
        </w:rPr>
        <w:t xml:space="preserve">, followed closely by Isolation Forest (F1 = </w:t>
      </w:r>
      <w:r>
        <w:rPr>
          <w:rFonts w:ascii="Times New Roman" w:hAnsi="Times New Roman"/>
          <w:b/>
          <w:color w:val="262626"/>
          <w:sz w:val="22"/>
        </w:rPr>
        <w:t>0.549</w:t>
      </w:r>
      <w:r>
        <w:rPr>
          <w:rFonts w:ascii="Times New Roman" w:hAnsi="Times New Roman"/>
          <w:color w:val="262626"/>
          <w:sz w:val="22"/>
        </w:rPr>
        <w:t xml:space="preserve">, ROC-AUC = </w:t>
      </w:r>
      <w:r>
        <w:rPr>
          <w:rFonts w:ascii="Times New Roman" w:hAnsi="Times New Roman"/>
          <w:b/>
          <w:color w:val="262626"/>
          <w:sz w:val="22"/>
        </w:rPr>
        <w:t>0.976</w:t>
      </w:r>
      <w:r>
        <w:rPr>
          <w:rFonts w:ascii="Times New Roman" w:hAnsi="Times New Roman"/>
          <w:color w:val="262626"/>
          <w:sz w:val="22"/>
        </w:rPr>
        <w:t>). Both classical non-parametric and kernel models maintain a tight clustering near the top of the performance spectrum.</w:t>
      </w:r>
    </w:p>
    <w:p>
      <w:pPr>
        <w:pStyle w:val="ListNumber"/>
        <w:spacing w:before="30" w:after="30" w:line="276" w:lineRule="auto"/>
      </w:pPr>
      <w:r>
        <w:rPr>
          <w:rFonts w:ascii="Times New Roman" w:hAnsi="Times New Roman"/>
          <w:b/>
          <w:color w:val="262626"/>
          <w:sz w:val="22"/>
        </w:rPr>
        <w:t>Apparent Underperformance of Deep Learning Models:</w:t>
      </w:r>
      <w:r>
        <w:rPr>
          <w:rFonts w:ascii="Times New Roman" w:hAnsi="Times New Roman"/>
          <w:color w:val="262626"/>
          <w:sz w:val="22"/>
        </w:rPr>
        <w:t xml:space="preserve"> The Fully Connected Autoencoder achieves an F1-score of </w:t>
      </w:r>
      <w:r>
        <w:rPr>
          <w:rFonts w:ascii="Times New Roman" w:hAnsi="Times New Roman"/>
          <w:b/>
          <w:color w:val="262626"/>
          <w:sz w:val="22"/>
        </w:rPr>
        <w:t>0.564</w:t>
      </w:r>
      <w:r>
        <w:rPr>
          <w:rFonts w:ascii="Times New Roman" w:hAnsi="Times New Roman"/>
          <w:color w:val="262626"/>
          <w:sz w:val="22"/>
        </w:rPr>
        <w:t xml:space="preserve"> and ROC-AUC of </w:t>
      </w:r>
      <w:r>
        <w:rPr>
          <w:rFonts w:ascii="Times New Roman" w:hAnsi="Times New Roman"/>
          <w:b/>
          <w:color w:val="262626"/>
          <w:sz w:val="22"/>
        </w:rPr>
        <w:t>0.912</w:t>
      </w:r>
      <w:r>
        <w:rPr>
          <w:rFonts w:ascii="Times New Roman" w:hAnsi="Times New Roman"/>
          <w:color w:val="262626"/>
          <w:sz w:val="22"/>
        </w:rPr>
        <w:t>, lagging behind the classical baselines. More dramatically, the temporal LSTM-Autoencoder records the lowest cycle-level F1-score (</w:t>
      </w:r>
      <w:r>
        <w:rPr>
          <w:rFonts w:ascii="Times New Roman" w:hAnsi="Times New Roman"/>
          <w:b/>
          <w:color w:val="262626"/>
          <w:sz w:val="22"/>
        </w:rPr>
        <w:t>0.429</w:t>
      </w:r>
      <w:r>
        <w:rPr>
          <w:rFonts w:ascii="Times New Roman" w:hAnsi="Times New Roman"/>
          <w:color w:val="262626"/>
          <w:sz w:val="22"/>
        </w:rPr>
        <w:t>), lowest PR-AUC (</w:t>
      </w:r>
      <w:r>
        <w:rPr>
          <w:rFonts w:ascii="Times New Roman" w:hAnsi="Times New Roman"/>
          <w:b/>
          <w:color w:val="262626"/>
          <w:sz w:val="22"/>
        </w:rPr>
        <w:t>0.695</w:t>
      </w:r>
      <w:r>
        <w:rPr>
          <w:rFonts w:ascii="Times New Roman" w:hAnsi="Times New Roman"/>
          <w:color w:val="262626"/>
          <w:sz w:val="22"/>
        </w:rPr>
        <w:t>), lowest ROC-AUC (</w:t>
      </w:r>
      <w:r>
        <w:rPr>
          <w:rFonts w:ascii="Times New Roman" w:hAnsi="Times New Roman"/>
          <w:b/>
          <w:color w:val="262626"/>
          <w:sz w:val="22"/>
        </w:rPr>
        <w:t>0.901</w:t>
      </w:r>
      <w:r>
        <w:rPr>
          <w:rFonts w:ascii="Times New Roman" w:hAnsi="Times New Roman"/>
          <w:color w:val="262626"/>
          <w:sz w:val="22"/>
        </w:rPr>
        <w:t xml:space="preserve">), and an elevated False Positive Rate of </w:t>
      </w:r>
      <w:r>
        <w:rPr>
          <w:rFonts w:ascii="Times New Roman" w:hAnsi="Times New Roman"/>
          <w:b/>
          <w:color w:val="262626"/>
          <w:sz w:val="22"/>
        </w:rPr>
        <w:t>0.114</w:t>
      </w:r>
      <w:r>
        <w:rPr>
          <w:rFonts w:ascii="Times New Roman" w:hAnsi="Times New Roman"/>
          <w:color w:val="262626"/>
          <w:sz w:val="22"/>
        </w:rPr>
        <w:t>.</w:t>
      </w:r>
    </w:p>
    <w:p>
      <w:pPr>
        <w:spacing w:before="40" w:after="100" w:line="276" w:lineRule="auto"/>
      </w:pPr>
      <w:r>
        <w:rPr>
          <w:rFonts w:ascii="Times New Roman" w:hAnsi="Times New Roman"/>
          <w:color w:val="262626"/>
          <w:sz w:val="22"/>
        </w:rPr>
        <w:t>On the surface, these point-in-time classification metrics would suggest that deep recurrent architectures are fundamentally unsuited for industrial anomaly detection. However, as demonstrated in Section 7.2, evaluating models through static classification metrics creates a severe empirical distortion.</w:t>
      </w:r>
    </w:p>
    <w:p>
      <w:pPr>
        <w:keepNext/>
        <w:spacing w:before="240" w:after="80"/>
      </w:pPr>
      <w:r>
        <w:rPr>
          <w:rFonts w:ascii="Times New Roman" w:hAnsi="Times New Roman"/>
          <w:b/>
          <w:color w:val="2E75B6"/>
          <w:sz w:val="28"/>
        </w:rPr>
        <w:t>7.2 Early Warning Dynamics and Lead Time Distributions</w:t>
      </w:r>
    </w:p>
    <w:p>
      <w:pPr>
        <w:spacing w:before="40" w:after="100" w:line="276" w:lineRule="auto"/>
      </w:pPr>
      <w:r>
        <w:rPr>
          <w:rFonts w:ascii="Times New Roman" w:hAnsi="Times New Roman"/>
          <w:color w:val="262626"/>
          <w:sz w:val="22"/>
        </w:rPr>
        <w:t xml:space="preserve">To investigate </w:t>
      </w:r>
      <w:r>
        <w:rPr>
          <w:rFonts w:ascii="Times New Roman" w:hAnsi="Times New Roman"/>
          <w:b/>
          <w:color w:val="262626"/>
          <w:sz w:val="22"/>
        </w:rPr>
        <w:t>RQ4</w:t>
      </w:r>
      <w:r>
        <w:rPr>
          <w:rFonts w:ascii="Times New Roman" w:hAnsi="Times New Roman"/>
          <w:color w:val="262626"/>
          <w:sz w:val="22"/>
        </w:rPr>
        <w:t xml:space="preserve"> and resolve the performance discrepancy observed in Table 7.1, we analyze the temporal early warning behavior of each model. An effective predictive maintenance system must provide human operators with sufficient advance notice before catastrophic mechanical failure.</w:t>
      </w:r>
    </w:p>
    <w:p>
      <w:pPr>
        <w:spacing w:before="40" w:after="100" w:line="276" w:lineRule="auto"/>
      </w:pPr>
      <w:r>
        <w:rPr>
          <w:rFonts w:ascii="Times New Roman" w:hAnsi="Times New Roman"/>
          <w:color w:val="262626"/>
          <w:sz w:val="22"/>
        </w:rPr>
        <w:t>Figure 7.1 illustrates the empirical distribution of detection lead times across all 15 test engines in FD001, evaluated under a persistence filter window of $k=5$ consecutive anomalous cycles.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[Detection Lead Time Distribution Across Test Engines (Cycles Before Failure)]</w:t>
              <w:br/>
              <w:t>Model                 Lead Time Boxplot (Cycles)                          Mean [Min - Max]</w:t>
              <w:br/>
              <w:t>-----------------------------------------------------------------------------------------</w:t>
              <w:br/>
              <w:t>Statistical (Z-Score) |====[  35  *  42 ]====|                             38.4 [22 - 54]</w:t>
              <w:br/>
              <w:t>Isolation Forest      |======[  38  *  47 ]======|                         42.1 [26 - 58]</w:t>
              <w:br/>
              <w:t>One-Class SVM         |=======[  40  *  49 ]=======|                       44.0 [28 - 62]</w:t>
              <w:br/>
              <w:t>FC-Autoencoder        |========[  42  *  52 ]========|                     46.2 [30 - 66]</w:t>
              <w:br/>
              <w:t>LSTM-Autoencoder      |==================[  68   *   88  ]================| 74.2 [50 - 111]</w:t>
              <w:br/>
              <w:t xml:space="preserve">                      +---------+---------+---------+---------+---------+</w:t>
              <w:br/>
              <w:t xml:space="preserve">                      0        25        50        75        100       125</w:t>
              <w:br/>
              <w:t xml:space="preserve">                                     Lead Time (Cycles)</w:t>
            </w:r>
          </w:p>
        </w:tc>
      </w:tr>
    </w:tbl>
    <w:p>
      <w:pPr>
        <w:spacing w:before="40" w:after="80"/>
      </w:pPr>
    </w:p>
    <w:p>
      <w:pPr>
        <w:spacing w:before="40" w:after="100" w:line="276" w:lineRule="auto"/>
      </w:pPr>
      <w:r>
        <w:rPr>
          <w:rFonts w:ascii="Times New Roman" w:hAnsi="Times New Roman"/>
          <w:color w:val="262626"/>
          <w:sz w:val="22"/>
        </w:rPr>
        <w:t>Table 7.2 details the lead-time characteristics, earliest detection, latest detection, and the percentage of test engines detected prior to failure.</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Anomaly Detection Model</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Detection Rate (%)</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Lead Time (Cycles)</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Median Lead Time (Cycles)</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Min Lead Time (Cycles)</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Max Lead Time (Cycles)</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False Alarm Rate in Healthy Phase (%)</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Baseline</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38.4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39.0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22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54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42.1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41.5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26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58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0.0%</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One-Class SVM</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44.0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43.0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28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62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FC-Autoencoder</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46.2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45.0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30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66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0.0%</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LSTM-Autoencoder</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100%</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74.2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72.0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50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111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6.7%</w:t>
            </w:r>
          </w:p>
        </w:tc>
      </w:tr>
    </w:tbl>
    <w:p>
      <w:pPr>
        <w:spacing w:before="80" w:after="120"/>
      </w:pPr>
    </w:p>
    <w:p>
      <w:pPr>
        <w:spacing w:before="40" w:after="100" w:line="276" w:lineRule="auto"/>
      </w:pPr>
      <w:r>
        <w:rPr>
          <w:rFonts w:ascii="Times New Roman" w:hAnsi="Times New Roman"/>
          <w:i/>
          <w:color w:val="262626"/>
          <w:sz w:val="22"/>
        </w:rPr>
        <w:t>Table 7.2: Early warning lead-time metrics and operational alarm statistics on FD001 test engines.</w:t>
      </w:r>
    </w:p>
    <w:p>
      <w:pPr>
        <w:keepNext/>
        <w:spacing w:before="200" w:after="60"/>
      </w:pPr>
      <w:r>
        <w:rPr>
          <w:rFonts w:ascii="Times New Roman" w:hAnsi="Times New Roman"/>
          <w:b/>
          <w:color w:val="1F4E79"/>
          <w:sz w:val="24"/>
        </w:rPr>
        <w:t>7.2.1 Resolving the "Metric Paradox"</w:t>
      </w:r>
    </w:p>
    <w:p>
      <w:pPr>
        <w:spacing w:before="40" w:after="100" w:line="276" w:lineRule="auto"/>
      </w:pPr>
      <w:r>
        <w:rPr>
          <w:rFonts w:ascii="Times New Roman" w:hAnsi="Times New Roman"/>
          <w:color w:val="262626"/>
          <w:sz w:val="22"/>
        </w:rPr>
        <w:t>The empirical results in Table 7.2 reveal why the LSTM-AE scored poorly on static point-in-time classification metrics:</w:t>
      </w:r>
    </w:p>
    <w:p>
      <w:pPr>
        <w:pStyle w:val="ListBullet"/>
        <w:spacing w:before="30" w:after="30" w:line="276" w:lineRule="auto"/>
      </w:pPr>
      <w:r>
        <w:rPr>
          <w:rFonts w:ascii="Times New Roman" w:hAnsi="Times New Roman"/>
          <w:color w:val="262626"/>
          <w:sz w:val="22"/>
        </w:rPr>
        <w:t>In our formal evaluation framework (and throughout the predictive maintenance literature), binary ground-truth failure labels are defined as cycles where Remaining Useful Life (RUL) $\le 30$ cycles.</w:t>
      </w:r>
    </w:p>
    <w:p>
      <w:pPr>
        <w:pStyle w:val="ListBullet"/>
        <w:spacing w:before="30" w:after="30" w:line="276" w:lineRule="auto"/>
      </w:pPr>
      <w:r>
        <w:rPr>
          <w:rFonts w:ascii="Times New Roman" w:hAnsi="Times New Roman"/>
          <w:color w:val="262626"/>
          <w:sz w:val="22"/>
        </w:rPr>
        <w:t xml:space="preserve">The </w:t>
      </w:r>
      <w:r>
        <w:rPr>
          <w:rFonts w:ascii="Times New Roman" w:hAnsi="Times New Roman"/>
          <w:b/>
          <w:color w:val="262626"/>
          <w:sz w:val="22"/>
        </w:rPr>
        <w:t>Statistical baseline</w:t>
      </w:r>
      <w:r>
        <w:rPr>
          <w:rFonts w:ascii="Times New Roman" w:hAnsi="Times New Roman"/>
          <w:color w:val="262626"/>
          <w:sz w:val="22"/>
        </w:rPr>
        <w:t xml:space="preserve"> triggers its persistent alarm at a mean of $38.4$ cycles before failure. Because this detection occurs very close to the 30-cycle ground-truth boundary, the number of "premature" detections (cycles where $S_t \ge T_{\text{th}}$ but $RUL &gt; 30$) is minimal. Consequently, false positives are low, and Precision (</w:t>
      </w:r>
      <w:r>
        <w:rPr>
          <w:rFonts w:ascii="Times New Roman" w:hAnsi="Times New Roman"/>
          <w:b/>
          <w:color w:val="262626"/>
          <w:sz w:val="22"/>
        </w:rPr>
        <w:t>0.518</w:t>
      </w:r>
      <w:r>
        <w:rPr>
          <w:rFonts w:ascii="Times New Roman" w:hAnsi="Times New Roman"/>
          <w:color w:val="262626"/>
          <w:sz w:val="22"/>
        </w:rPr>
        <w:t>) and F1 (</w:t>
      </w:r>
      <w:r>
        <w:rPr>
          <w:rFonts w:ascii="Times New Roman" w:hAnsi="Times New Roman"/>
          <w:b/>
          <w:color w:val="262626"/>
          <w:sz w:val="22"/>
        </w:rPr>
        <w:t>0.602</w:t>
      </w:r>
      <w:r>
        <w:rPr>
          <w:rFonts w:ascii="Times New Roman" w:hAnsi="Times New Roman"/>
          <w:color w:val="262626"/>
          <w:sz w:val="22"/>
        </w:rPr>
        <w:t>) remain high.</w:t>
      </w:r>
    </w:p>
    <w:p>
      <w:pPr>
        <w:pStyle w:val="ListBullet"/>
        <w:spacing w:before="30" w:after="30" w:line="276" w:lineRule="auto"/>
      </w:pPr>
      <w:r>
        <w:rPr>
          <w:rFonts w:ascii="Times New Roman" w:hAnsi="Times New Roman"/>
          <w:color w:val="262626"/>
          <w:sz w:val="22"/>
        </w:rPr>
        <w:t xml:space="preserve">In stark contrast, the </w:t>
      </w:r>
      <w:r>
        <w:rPr>
          <w:rFonts w:ascii="Times New Roman" w:hAnsi="Times New Roman"/>
          <w:b/>
          <w:color w:val="262626"/>
          <w:sz w:val="22"/>
        </w:rPr>
        <w:t>LSTM-Autoencoder</w:t>
      </w:r>
      <w:r>
        <w:rPr>
          <w:rFonts w:ascii="Times New Roman" w:hAnsi="Times New Roman"/>
          <w:color w:val="262626"/>
          <w:sz w:val="22"/>
        </w:rPr>
        <w:t xml:space="preserve"> triggers its persistent alarm between </w:t>
      </w:r>
      <w:r>
        <w:rPr>
          <w:rFonts w:ascii="Times New Roman" w:hAnsi="Times New Roman"/>
          <w:b/>
          <w:color w:val="262626"/>
          <w:sz w:val="22"/>
        </w:rPr>
        <w:t>50 and 111 cycles</w:t>
      </w:r>
      <w:r>
        <w:rPr>
          <w:rFonts w:ascii="Times New Roman" w:hAnsi="Times New Roman"/>
          <w:color w:val="262626"/>
          <w:sz w:val="22"/>
        </w:rPr>
        <w:t xml:space="preserve"> before failure (mean lead time of </w:t>
      </w:r>
      <w:r>
        <w:rPr>
          <w:rFonts w:ascii="Times New Roman" w:hAnsi="Times New Roman"/>
          <w:b/>
          <w:color w:val="262626"/>
          <w:sz w:val="22"/>
        </w:rPr>
        <w:t>74.2 cycles</w:t>
      </w:r>
      <w:r>
        <w:rPr>
          <w:rFonts w:ascii="Times New Roman" w:hAnsi="Times New Roman"/>
          <w:color w:val="262626"/>
          <w:sz w:val="22"/>
        </w:rPr>
        <w:t>)! Because the LSTM-AE processes sequential temporal windows, its recurrent cells detect subtle, slow-moving drift in sensor interdependencies long before individual sensor values exceed static distribution bounds.</w:t>
      </w:r>
    </w:p>
    <w:p>
      <w:pPr>
        <w:pStyle w:val="ListBullet"/>
        <w:spacing w:before="30" w:after="30" w:line="276" w:lineRule="auto"/>
      </w:pPr>
      <w:r>
        <w:rPr>
          <w:rFonts w:ascii="Times New Roman" w:hAnsi="Times New Roman"/>
          <w:color w:val="262626"/>
          <w:sz w:val="22"/>
        </w:rPr>
        <w:t xml:space="preserve">However, because the ground truth labels designate all cycles with $RUL &gt; 30$ as "normal" (Class 0), every correct, prescient early detection made by the LSTM-AE between cycle $T_e - 111$ and cycle $T_e - 30$ is formally penalized as a </w:t>
      </w:r>
      <w:r>
        <w:rPr>
          <w:rFonts w:ascii="Times New Roman" w:hAnsi="Times New Roman"/>
          <w:b/>
          <w:color w:val="262626"/>
          <w:sz w:val="22"/>
        </w:rPr>
        <w:t>False Positive</w:t>
      </w:r>
      <w:r>
        <w:rPr>
          <w:rFonts w:ascii="Times New Roman" w:hAnsi="Times New Roman"/>
          <w:color w:val="262626"/>
          <w:sz w:val="22"/>
        </w:rPr>
        <w:t>!</w:t>
      </w:r>
    </w:p>
    <w:p>
      <w:pPr>
        <w:pStyle w:val="ListBullet"/>
        <w:spacing w:before="30" w:after="30" w:line="276" w:lineRule="auto"/>
      </w:pPr>
      <w:r>
        <w:rPr>
          <w:rFonts w:ascii="Times New Roman" w:hAnsi="Times New Roman"/>
          <w:color w:val="262626"/>
          <w:sz w:val="22"/>
        </w:rPr>
        <w:t xml:space="preserve">This mathematical artifact depresses the LSTM-AE's Precision down to </w:t>
      </w:r>
      <w:r>
        <w:rPr>
          <w:rFonts w:ascii="Times New Roman" w:hAnsi="Times New Roman"/>
          <w:b/>
          <w:color w:val="262626"/>
          <w:sz w:val="22"/>
        </w:rPr>
        <w:t>0.312</w:t>
      </w:r>
      <w:r>
        <w:rPr>
          <w:rFonts w:ascii="Times New Roman" w:hAnsi="Times New Roman"/>
          <w:color w:val="262626"/>
          <w:sz w:val="22"/>
        </w:rPr>
        <w:t xml:space="preserve"> and drags its F1-score down to </w:t>
      </w:r>
      <w:r>
        <w:rPr>
          <w:rFonts w:ascii="Times New Roman" w:hAnsi="Times New Roman"/>
          <w:b/>
          <w:color w:val="262626"/>
          <w:sz w:val="22"/>
        </w:rPr>
        <w:t>0.429</w:t>
      </w:r>
      <w:r>
        <w:rPr>
          <w:rFonts w:ascii="Times New Roman" w:hAnsi="Times New Roman"/>
          <w:color w:val="262626"/>
          <w:sz w:val="22"/>
        </w:rPr>
        <w:t xml:space="preserve">. In reality, the LSTM-Autoencoder is providing plant operators with an extraordinary operational advantage: up to </w:t>
      </w:r>
      <w:r>
        <w:rPr>
          <w:rFonts w:ascii="Times New Roman" w:hAnsi="Times New Roman"/>
          <w:b/>
          <w:color w:val="262626"/>
          <w:sz w:val="22"/>
        </w:rPr>
        <w:t>111 cycles</w:t>
      </w:r>
      <w:r>
        <w:rPr>
          <w:rFonts w:ascii="Times New Roman" w:hAnsi="Times New Roman"/>
          <w:color w:val="262626"/>
          <w:sz w:val="22"/>
        </w:rPr>
        <w:t xml:space="preserve"> of advance warning, allowing ample time for maintenance scheduling, whereas the statistical baseline provides only 38 cycles.</w:t>
      </w:r>
    </w:p>
    <w:p>
      <w:pPr>
        <w:spacing w:before="40" w:after="100" w:line="276" w:lineRule="auto"/>
      </w:pPr>
      <w:r>
        <w:rPr>
          <w:rFonts w:ascii="Times New Roman" w:hAnsi="Times New Roman"/>
          <w:color w:val="262626"/>
          <w:sz w:val="22"/>
        </w:rPr>
        <w:t xml:space="preserve">This finding constitutes a major contribution of this thesis: </w:t>
      </w:r>
      <w:r>
        <w:rPr>
          <w:rFonts w:ascii="Times New Roman" w:hAnsi="Times New Roman"/>
          <w:b/>
          <w:color w:val="262626"/>
          <w:sz w:val="22"/>
        </w:rPr>
        <w:t>standard point-wise classification metrics actively penalize models that possess superior early-warning capabilities.</w:t>
      </w:r>
    </w:p>
    <w:p>
      <w:pPr>
        <w:keepNext/>
        <w:spacing w:before="240" w:after="80"/>
      </w:pPr>
      <w:r>
        <w:rPr>
          <w:rFonts w:ascii="Times New Roman" w:hAnsi="Times New Roman"/>
          <w:b/>
          <w:color w:val="2E75B6"/>
          <w:sz w:val="28"/>
        </w:rPr>
        <w:t>7.3 Threshold Sensitivity Across Evaluation Regimes</w:t>
      </w:r>
    </w:p>
    <w:p>
      <w:pPr>
        <w:spacing w:before="40" w:after="100" w:line="276" w:lineRule="auto"/>
      </w:pPr>
      <w:r>
        <w:rPr>
          <w:rFonts w:ascii="Times New Roman" w:hAnsi="Times New Roman"/>
          <w:color w:val="262626"/>
          <w:sz w:val="22"/>
        </w:rPr>
        <w:t xml:space="preserve">To address </w:t>
      </w:r>
      <w:r>
        <w:rPr>
          <w:rFonts w:ascii="Times New Roman" w:hAnsi="Times New Roman"/>
          <w:b/>
          <w:color w:val="262626"/>
          <w:sz w:val="22"/>
        </w:rPr>
        <w:t>RQ5</w:t>
      </w:r>
      <w:r>
        <w:rPr>
          <w:rFonts w:ascii="Times New Roman" w:hAnsi="Times New Roman"/>
          <w:color w:val="262626"/>
          <w:sz w:val="22"/>
        </w:rPr>
        <w:t>, we evaluate the sensitivity of all five models across the seven distinct threshold calibration strategies detailed in Chapter 5. All thresholds were calibrated exclusively on the validation split and applied to the test split.</w:t>
      </w:r>
    </w:p>
    <w:p>
      <w:pPr>
        <w:spacing w:before="40" w:after="100" w:line="276" w:lineRule="auto"/>
      </w:pPr>
      <w:r>
        <w:rPr>
          <w:rFonts w:ascii="Times New Roman" w:hAnsi="Times New Roman"/>
          <w:color w:val="262626"/>
          <w:sz w:val="22"/>
        </w:rPr>
        <w:t>Table 7.3 presents the resulting test F1-scores and False Positive Rates (FPR) across the seven strategies on subset FD001.</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Threshold Strategy</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Statistical (Z-Score)</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Isolation Forest</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One-Class SVM</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FC-Autoencoder</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LSTM-Autoencoder</w:t>
            </w:r>
          </w:p>
        </w:tc>
      </w:tr>
      <w:tr>
        <w:tc>
          <w:tcPr>
            <w:tcW w:type="dxa" w:w="1560"/>
            <w:shd w:fill="F2F5F8"/>
            <w:tcMar>
              <w:top w:w="100" w:type="dxa"/>
              <w:bottom w:w="100" w:type="dxa"/>
              <w:left w:w="140" w:type="dxa"/>
              <w:right w:w="140" w:type="dxa"/>
            </w:tcMar>
          </w:tcPr>
          <w:p>
            <w:pPr>
              <w:spacing w:before="40" w:after="40" w:line="252" w:lineRule="auto"/>
            </w:pPr>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F1 / FPR</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F1 / FPR</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F1 / FPR</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F1 / FPR</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F1 / FPR</w:t>
            </w:r>
          </w:p>
        </w:tc>
      </w:tr>
      <w:tr>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1. Val-Percentile 95 ($P_{95}$)</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0.602 / 0.048</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0.549 / 0.056</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0.588 / 0.052</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0.564 / 0.054</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0.429 / 0.114</w:t>
            </w:r>
          </w:p>
        </w:tc>
      </w:tr>
      <w:tr>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2. Val-Percentile 99 ($P_{99}$)</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0.584 / 0.012</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0.531 / 0.015</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0.562 / 0.014</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0.540 / 0.013</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0.485 / 0.032</w:t>
            </w:r>
          </w:p>
        </w:tc>
      </w:tr>
      <w:tr>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3. Val-Percentile 99.5 ($P_{99.5}$)</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 xml:space="preserve">0.542 / </w:t>
            </w:r>
            <w:r>
              <w:rPr>
                <w:rFonts w:ascii="Times New Roman" w:hAnsi="Times New Roman"/>
                <w:b/>
                <w:color w:val="262626"/>
                <w:sz w:val="19"/>
              </w:rPr>
              <w:t>0.005</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 xml:space="preserve">0.498 / </w:t>
            </w:r>
            <w:r>
              <w:rPr>
                <w:rFonts w:ascii="Times New Roman" w:hAnsi="Times New Roman"/>
                <w:b/>
                <w:color w:val="262626"/>
                <w:sz w:val="19"/>
              </w:rPr>
              <w:t>0.006</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 xml:space="preserve">0.521 / </w:t>
            </w:r>
            <w:r>
              <w:rPr>
                <w:rFonts w:ascii="Times New Roman" w:hAnsi="Times New Roman"/>
                <w:b/>
                <w:color w:val="262626"/>
                <w:sz w:val="19"/>
              </w:rPr>
              <w:t>0.005</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 xml:space="preserve">0.502 / </w:t>
            </w:r>
            <w:r>
              <w:rPr>
                <w:rFonts w:ascii="Times New Roman" w:hAnsi="Times New Roman"/>
                <w:b/>
                <w:color w:val="262626"/>
                <w:sz w:val="19"/>
              </w:rPr>
              <w:t>0.006</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 xml:space="preserve">0.496 / </w:t>
            </w:r>
            <w:r>
              <w:rPr>
                <w:rFonts w:ascii="Times New Roman" w:hAnsi="Times New Roman"/>
                <w:b/>
                <w:color w:val="262626"/>
                <w:sz w:val="19"/>
              </w:rPr>
              <w:t>0.014</w:t>
            </w:r>
          </w:p>
        </w:tc>
      </w:tr>
      <w:tr>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4. Parametric Gaussian ($3\sigma$)</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0.578 / 0.014</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0.525 / 0.018</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0.554 / 0.016</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0.531 / 0.015</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0.472 / 0.038</w:t>
            </w:r>
          </w:p>
        </w:tc>
      </w:tr>
      <w:tr>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5. Interquartile Range (IQR)</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0.591 / 0.035</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0.540 / 0.042</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0.575 / 0.038</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0.552 / 0.040</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0.445 / 0.088</w:t>
            </w:r>
          </w:p>
        </w:tc>
      </w:tr>
      <w:tr>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6. Extreme Value Theory (EVT)</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0.565 / 0.008</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0.512 / 0.010</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0.540 / 0.009</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0.518 / 0.010</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0.490 / 0.020</w:t>
            </w:r>
          </w:p>
        </w:tc>
      </w:tr>
      <w:tr>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w:t>
            </w:r>
            <w:r>
              <w:rPr>
                <w:rFonts w:ascii="Times New Roman" w:hAnsi="Times New Roman"/>
                <w:i/>
                <w:color w:val="262626"/>
                <w:sz w:val="19"/>
              </w:rPr>
              <w:t>7. Validation-F1 Optimal ($T^</w:t>
            </w:r>
            <w:r>
              <w:rPr>
                <w:rFonts w:ascii="Times New Roman" w:hAnsi="Times New Roman"/>
                <w:color w:val="262626"/>
                <w:sz w:val="19"/>
              </w:rPr>
              <w:t>$)}</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0.615</w:t>
            </w:r>
            <w:r>
              <w:rPr>
                <w:rFonts w:ascii="Times New Roman" w:hAnsi="Times New Roman"/>
                <w:color w:val="262626"/>
                <w:sz w:val="19"/>
              </w:rPr>
              <w:t xml:space="preserve"> / 0.042</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0.558</w:t>
            </w:r>
            <w:r>
              <w:rPr>
                <w:rFonts w:ascii="Times New Roman" w:hAnsi="Times New Roman"/>
                <w:color w:val="262626"/>
                <w:sz w:val="19"/>
              </w:rPr>
              <w:t xml:space="preserve"> / 0.049</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0.596</w:t>
            </w:r>
            <w:r>
              <w:rPr>
                <w:rFonts w:ascii="Times New Roman" w:hAnsi="Times New Roman"/>
                <w:color w:val="262626"/>
                <w:sz w:val="19"/>
              </w:rPr>
              <w:t xml:space="preserve"> / 0.045</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0.572</w:t>
            </w:r>
            <w:r>
              <w:rPr>
                <w:rFonts w:ascii="Times New Roman" w:hAnsi="Times New Roman"/>
                <w:color w:val="262626"/>
                <w:sz w:val="19"/>
              </w:rPr>
              <w:t xml:space="preserve"> / 0.046</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0.512</w:t>
            </w:r>
            <w:r>
              <w:rPr>
                <w:rFonts w:ascii="Times New Roman" w:hAnsi="Times New Roman"/>
                <w:color w:val="262626"/>
                <w:sz w:val="19"/>
              </w:rPr>
              <w:t xml:space="preserve"> / 0.062</w:t>
            </w:r>
          </w:p>
        </w:tc>
      </w:tr>
    </w:tbl>
    <w:p>
      <w:pPr>
        <w:spacing w:before="80" w:after="120"/>
      </w:pPr>
    </w:p>
    <w:p>
      <w:pPr>
        <w:spacing w:before="40" w:after="100" w:line="276" w:lineRule="auto"/>
      </w:pPr>
      <w:r>
        <w:rPr>
          <w:rFonts w:ascii="Times New Roman" w:hAnsi="Times New Roman"/>
          <w:i/>
          <w:color w:val="262626"/>
          <w:sz w:val="22"/>
        </w:rPr>
        <w:t>Table 7.3: Threshold sensitivity analysis across 7 calibration strategies (Test F1-score / False Positive Rate).</w:t>
      </w:r>
    </w:p>
    <w:p>
      <w:pPr>
        <w:spacing w:before="40" w:after="100" w:line="276" w:lineRule="auto"/>
      </w:pPr>
      <w:r>
        <w:rPr>
          <w:rFonts w:ascii="Times New Roman" w:hAnsi="Times New Roman"/>
          <w:color w:val="262626"/>
          <w:sz w:val="22"/>
        </w:rPr>
        <w:t>Key insights from Table 7.3 include:</w:t>
      </w:r>
    </w:p>
    <w:p>
      <w:pPr>
        <w:pStyle w:val="ListBullet"/>
        <w:spacing w:before="30" w:after="30" w:line="276" w:lineRule="auto"/>
      </w:pPr>
      <w:r>
        <w:rPr>
          <w:rFonts w:ascii="Times New Roman" w:hAnsi="Times New Roman"/>
          <w:b/>
          <w:color w:val="262626"/>
          <w:sz w:val="22"/>
        </w:rPr>
        <w:t>Trade-off Dynamics:</w:t>
      </w:r>
      <w:r>
        <w:rPr>
          <w:rFonts w:ascii="Times New Roman" w:hAnsi="Times New Roman"/>
          <w:color w:val="262626"/>
          <w:sz w:val="22"/>
        </w:rPr>
        <w:t xml:space="preserve"> As the threshold shifts from permissive ($P_{95}$) to stringent ($P_{99.5}$), the False Positive Rate drops dramatically across all models (dropping from ~5% to ~0.5% for classical models). For mission-critical industrial applications where false alarms incur prohibitive costs, $P_{99.5}$ or Extreme Value Theory (EVT) provides the optimal operating point.</w:t>
      </w:r>
    </w:p>
    <w:p>
      <w:pPr>
        <w:pStyle w:val="ListBullet"/>
        <w:spacing w:before="30" w:after="30" w:line="276" w:lineRule="auto"/>
      </w:pPr>
      <w:r>
        <w:rPr>
          <w:rFonts w:ascii="Times New Roman" w:hAnsi="Times New Roman"/>
          <w:b/>
          <w:color w:val="262626"/>
          <w:sz w:val="22"/>
        </w:rPr>
        <w:t>LSTM-AE Behavior Under Stringent Thresholds:</w:t>
      </w:r>
      <w:r>
        <w:rPr>
          <w:rFonts w:ascii="Times New Roman" w:hAnsi="Times New Roman"/>
          <w:color w:val="262626"/>
          <w:sz w:val="22"/>
        </w:rPr>
        <w:t xml:space="preserve"> Intriguingly, as the threshold is made more stringent ($P_{99.5}$), the F1-score of the LSTM-Autoencoder actually </w:t>
      </w:r>
      <w:r>
        <w:rPr>
          <w:rFonts w:ascii="Times New Roman" w:hAnsi="Times New Roman"/>
          <w:b/>
          <w:color w:val="262626"/>
          <w:sz w:val="22"/>
        </w:rPr>
        <w:t>improves</w:t>
      </w:r>
      <w:r>
        <w:rPr>
          <w:rFonts w:ascii="Times New Roman" w:hAnsi="Times New Roman"/>
          <w:color w:val="262626"/>
          <w:sz w:val="22"/>
        </w:rPr>
        <w:t xml:space="preserve"> from 0.429 to 0.496, while its FPR drops from 0.114 to 0.014. The higher threshold suppresses the early incipient detection signals, aligning the alarm trigger closer to the arbitrary 30-cycle ground truth horizon and artificially boosting the point-in-time classification metric!</w:t>
      </w:r>
    </w:p>
    <w:p>
      <w:pPr>
        <w:keepNext/>
        <w:spacing w:before="240" w:after="80"/>
      </w:pPr>
      <w:r>
        <w:rPr>
          <w:rFonts w:ascii="Times New Roman" w:hAnsi="Times New Roman"/>
          <w:b/>
          <w:color w:val="2E75B6"/>
          <w:sz w:val="28"/>
        </w:rPr>
        <w:t>7.4 Impact of Multi-Regime Operating Conditions</w:t>
      </w:r>
    </w:p>
    <w:p>
      <w:pPr>
        <w:spacing w:before="40" w:after="100" w:line="276" w:lineRule="auto"/>
      </w:pPr>
      <w:r>
        <w:rPr>
          <w:rFonts w:ascii="Times New Roman" w:hAnsi="Times New Roman"/>
          <w:color w:val="262626"/>
          <w:sz w:val="22"/>
        </w:rPr>
        <w:t xml:space="preserve">To address </w:t>
      </w:r>
      <w:r>
        <w:rPr>
          <w:rFonts w:ascii="Times New Roman" w:hAnsi="Times New Roman"/>
          <w:b/>
          <w:color w:val="262626"/>
          <w:sz w:val="22"/>
        </w:rPr>
        <w:t>RQ3</w:t>
      </w:r>
      <w:r>
        <w:rPr>
          <w:rFonts w:ascii="Times New Roman" w:hAnsi="Times New Roman"/>
          <w:color w:val="262626"/>
          <w:sz w:val="22"/>
        </w:rPr>
        <w:t>, we evaluate the resilience of all five methods as operational complexity escalates across all four C-MAPSS subsets:</w:t>
      </w:r>
    </w:p>
    <w:p>
      <w:pPr>
        <w:pStyle w:val="ListBullet"/>
        <w:spacing w:before="30" w:after="30" w:line="276" w:lineRule="auto"/>
      </w:pPr>
      <w:r>
        <w:rPr>
          <w:rFonts w:ascii="Times New Roman" w:hAnsi="Times New Roman"/>
          <w:b/>
          <w:color w:val="262626"/>
          <w:sz w:val="22"/>
        </w:rPr>
        <w:t>FD001:</w:t>
      </w:r>
      <w:r>
        <w:rPr>
          <w:rFonts w:ascii="Times New Roman" w:hAnsi="Times New Roman"/>
          <w:color w:val="262626"/>
          <w:sz w:val="22"/>
        </w:rPr>
        <w:t xml:space="preserve"> 1 Operating Condition, 1 Fault Mode</w:t>
      </w:r>
    </w:p>
    <w:p>
      <w:pPr>
        <w:pStyle w:val="ListBullet"/>
        <w:spacing w:before="30" w:after="30" w:line="276" w:lineRule="auto"/>
      </w:pPr>
      <w:r>
        <w:rPr>
          <w:rFonts w:ascii="Times New Roman" w:hAnsi="Times New Roman"/>
          <w:b/>
          <w:color w:val="262626"/>
          <w:sz w:val="22"/>
        </w:rPr>
        <w:t>FD002:</w:t>
      </w:r>
      <w:r>
        <w:rPr>
          <w:rFonts w:ascii="Times New Roman" w:hAnsi="Times New Roman"/>
          <w:color w:val="262626"/>
          <w:sz w:val="22"/>
        </w:rPr>
        <w:t xml:space="preserve"> 6 Operating Conditions, 1 Fault Mode</w:t>
      </w:r>
    </w:p>
    <w:p>
      <w:pPr>
        <w:pStyle w:val="ListBullet"/>
        <w:spacing w:before="30" w:after="30" w:line="276" w:lineRule="auto"/>
      </w:pPr>
      <w:r>
        <w:rPr>
          <w:rFonts w:ascii="Times New Roman" w:hAnsi="Times New Roman"/>
          <w:b/>
          <w:color w:val="262626"/>
          <w:sz w:val="22"/>
        </w:rPr>
        <w:t>FD003:</w:t>
      </w:r>
      <w:r>
        <w:rPr>
          <w:rFonts w:ascii="Times New Roman" w:hAnsi="Times New Roman"/>
          <w:color w:val="262626"/>
          <w:sz w:val="22"/>
        </w:rPr>
        <w:t xml:space="preserve"> 1 Operating Condition, 2 Fault Modes</w:t>
      </w:r>
    </w:p>
    <w:p>
      <w:pPr>
        <w:pStyle w:val="ListBullet"/>
        <w:spacing w:before="30" w:after="30" w:line="276" w:lineRule="auto"/>
      </w:pPr>
      <w:r>
        <w:rPr>
          <w:rFonts w:ascii="Times New Roman" w:hAnsi="Times New Roman"/>
          <w:b/>
          <w:color w:val="262626"/>
          <w:sz w:val="22"/>
        </w:rPr>
        <w:t>FD004:</w:t>
      </w:r>
      <w:r>
        <w:rPr>
          <w:rFonts w:ascii="Times New Roman" w:hAnsi="Times New Roman"/>
          <w:color w:val="262626"/>
          <w:sz w:val="22"/>
        </w:rPr>
        <w:t xml:space="preserve"> 6 Operating Conditions, 2 Fault Modes</w:t>
      </w:r>
    </w:p>
    <w:p>
      <w:pPr>
        <w:spacing w:before="40" w:after="100" w:line="276" w:lineRule="auto"/>
      </w:pPr>
      <w:r>
        <w:rPr>
          <w:rFonts w:ascii="Times New Roman" w:hAnsi="Times New Roman"/>
          <w:color w:val="262626"/>
          <w:sz w:val="22"/>
        </w:rPr>
        <w:t>Each model was trained within each respective subset using that subset's healthy training telemetry. Table 7.4 summarizes the resulting ROC-AUC scores across all four subsets.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Anomaly Detection Model</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FD001 (1 Cond, 1 Fault)</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FD002 (6 Cond, 1 Fault)</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FD003 (1 Cond, 2 Fault)</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FD004 (6 Cond, 2 Fault)</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(Z-Score)</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0.984</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0.501</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0.945</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0.512</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 (IF)</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0.976</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0.782</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0.962</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0.765</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One-Class SVM</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0.972</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0.745</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0.958</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0.730</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FC-Autoencoder</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0.912</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0.884</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0.920</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0.964</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LSTM-Autoencoder</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0.901</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0.892</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0.908</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0.948</w:t>
            </w:r>
          </w:p>
        </w:tc>
      </w:tr>
    </w:tbl>
    <w:p>
      <w:pPr>
        <w:spacing w:before="80" w:after="120"/>
      </w:pPr>
    </w:p>
    <w:p>
      <w:pPr>
        <w:spacing w:before="40" w:after="100" w:line="276" w:lineRule="auto"/>
      </w:pPr>
      <w:r>
        <w:rPr>
          <w:rFonts w:ascii="Times New Roman" w:hAnsi="Times New Roman"/>
          <w:i/>
          <w:color w:val="262626"/>
          <w:sz w:val="22"/>
        </w:rPr>
        <w:t>Table 7.4: Comparative ROC-AUC performance across all four NASA C-MAPSS subsets.</w:t>
      </w:r>
    </w:p>
    <w:p>
      <w:pPr>
        <w:spacing w:before="40" w:after="100" w:line="276" w:lineRule="auto"/>
      </w:pPr>
      <w:r>
        <w:rPr>
          <w:rFonts w:ascii="Times New Roman" w:hAnsi="Times New Roman"/>
          <w:color w:val="262626"/>
          <w:sz w:val="22"/>
        </w:rPr>
        <w:t xml:space="preserve">Table 7.4 provides definitive answers to </w:t>
      </w:r>
      <w:r>
        <w:rPr>
          <w:rFonts w:ascii="Times New Roman" w:hAnsi="Times New Roman"/>
          <w:b/>
          <w:color w:val="262626"/>
          <w:sz w:val="22"/>
        </w:rPr>
        <w:t>RQ3</w:t>
      </w:r>
      <w:r>
        <w:rPr>
          <w:rFonts w:ascii="Times New Roman" w:hAnsi="Times New Roman"/>
          <w:color w:val="262626"/>
          <w:sz w:val="22"/>
        </w:rPr>
        <w:t>:</w:t>
      </w:r>
    </w:p>
    <w:p>
      <w:pPr>
        <w:pStyle w:val="ListNumber"/>
        <w:spacing w:before="30" w:after="30" w:line="276" w:lineRule="auto"/>
      </w:pPr>
      <w:r>
        <w:rPr>
          <w:rFonts w:ascii="Times New Roman" w:hAnsi="Times New Roman"/>
          <w:b/>
          <w:color w:val="262626"/>
          <w:sz w:val="22"/>
        </w:rPr>
        <w:t>Catastrophic Collapse of Statistical Baselines in Multi-Condition Regimes:</w:t>
      </w:r>
      <w:r>
        <w:rPr>
          <w:rFonts w:ascii="Times New Roman" w:hAnsi="Times New Roman"/>
          <w:color w:val="262626"/>
          <w:sz w:val="22"/>
        </w:rPr>
        <w:t xml:space="preserve"> While the Statistical Z-score baseline dominated on single-condition FD001 (AUC = 0.984), it experiences complete catastrophic failure on FD002 (ROC-AUC = </w:t>
      </w:r>
      <w:r>
        <w:rPr>
          <w:rFonts w:ascii="Times New Roman" w:hAnsi="Times New Roman"/>
          <w:b/>
          <w:color w:val="262626"/>
          <w:sz w:val="22"/>
        </w:rPr>
        <w:t>0.501</w:t>
      </w:r>
      <w:r>
        <w:rPr>
          <w:rFonts w:ascii="Times New Roman" w:hAnsi="Times New Roman"/>
          <w:color w:val="262626"/>
          <w:sz w:val="22"/>
        </w:rPr>
        <w:t xml:space="preserve">) and FD004 (ROC-AUC = </w:t>
      </w:r>
      <w:r>
        <w:rPr>
          <w:rFonts w:ascii="Times New Roman" w:hAnsi="Times New Roman"/>
          <w:b/>
          <w:color w:val="262626"/>
          <w:sz w:val="22"/>
        </w:rPr>
        <w:t>0.512</w:t>
      </w:r>
      <w:r>
        <w:rPr>
          <w:rFonts w:ascii="Times New Roman" w:hAnsi="Times New Roman"/>
          <w:color w:val="262626"/>
          <w:sz w:val="22"/>
        </w:rPr>
        <w:t>). An AUC of 0.501 is functionally equivalent to a random coin flip! Because the six operating regimes introduce massive variance in baseline sensor readings (as established in Chapter 4), a global statistical model cannot distinguish between a high-altitude cruise regime and severe mechanical failure.</w:t>
      </w:r>
    </w:p>
    <w:p>
      <w:pPr>
        <w:pStyle w:val="ListNumber"/>
        <w:spacing w:before="30" w:after="30" w:line="276" w:lineRule="auto"/>
      </w:pPr>
      <w:r>
        <w:rPr>
          <w:rFonts w:ascii="Times New Roman" w:hAnsi="Times New Roman"/>
          <w:b/>
          <w:color w:val="262626"/>
          <w:sz w:val="22"/>
        </w:rPr>
        <w:t>Resilience of Deep Autoencoders in Complex Environments:</w:t>
      </w:r>
      <w:r>
        <w:rPr>
          <w:rFonts w:ascii="Times New Roman" w:hAnsi="Times New Roman"/>
          <w:color w:val="262626"/>
          <w:sz w:val="22"/>
        </w:rPr>
        <w:t xml:space="preserve"> Conversely, deep neural architectures demonstrate their true representational power in complex environments. On FD002, LSTM-AE achieves the highest ROC-AUC (</w:t>
      </w:r>
      <w:r>
        <w:rPr>
          <w:rFonts w:ascii="Times New Roman" w:hAnsi="Times New Roman"/>
          <w:b/>
          <w:color w:val="262626"/>
          <w:sz w:val="22"/>
        </w:rPr>
        <w:t>0.892</w:t>
      </w:r>
      <w:r>
        <w:rPr>
          <w:rFonts w:ascii="Times New Roman" w:hAnsi="Times New Roman"/>
          <w:color w:val="262626"/>
          <w:sz w:val="22"/>
        </w:rPr>
        <w:t>), closely followed by FC-AE (</w:t>
      </w:r>
      <w:r>
        <w:rPr>
          <w:rFonts w:ascii="Times New Roman" w:hAnsi="Times New Roman"/>
          <w:b/>
          <w:color w:val="262626"/>
          <w:sz w:val="22"/>
        </w:rPr>
        <w:t>0.884</w:t>
      </w:r>
      <w:r>
        <w:rPr>
          <w:rFonts w:ascii="Times New Roman" w:hAnsi="Times New Roman"/>
          <w:color w:val="262626"/>
          <w:sz w:val="22"/>
        </w:rPr>
        <w:t xml:space="preserve">). On the ultimate benchmark, FD004 (6 conditions, 2 fault modes), the Fully Connected Autoencoder achieves an extraordinary ROC-AUC of </w:t>
      </w:r>
      <w:r>
        <w:rPr>
          <w:rFonts w:ascii="Times New Roman" w:hAnsi="Times New Roman"/>
          <w:b/>
          <w:color w:val="262626"/>
          <w:sz w:val="22"/>
        </w:rPr>
        <w:t>0.964</w:t>
      </w:r>
      <w:r>
        <w:rPr>
          <w:rFonts w:ascii="Times New Roman" w:hAnsi="Times New Roman"/>
          <w:color w:val="262626"/>
          <w:sz w:val="22"/>
        </w:rPr>
        <w:t>, outperforming Isolation Forest (0.765) by nearly 20 AUC points! Deep autoencoders successfully learn the complex, non-linear manifold that separates normal multi-regime operational dynamics from physical turbomachinery degradation.</w:t>
      </w:r>
    </w:p>
    <w:p>
      <w:pPr>
        <w:keepNext/>
        <w:spacing w:before="240" w:after="80"/>
      </w:pPr>
      <w:r>
        <w:rPr>
          <w:rFonts w:ascii="Times New Roman" w:hAnsi="Times New Roman"/>
          <w:b/>
          <w:color w:val="2E75B6"/>
          <w:sz w:val="28"/>
        </w:rPr>
        <w:t>7.5 Cross-Condition and Cross-Fault Transferability</w:t>
      </w:r>
    </w:p>
    <w:p>
      <w:pPr>
        <w:spacing w:before="40" w:after="100" w:line="276" w:lineRule="auto"/>
      </w:pPr>
      <w:r>
        <w:rPr>
          <w:rFonts w:ascii="Times New Roman" w:hAnsi="Times New Roman"/>
          <w:color w:val="262626"/>
          <w:sz w:val="22"/>
        </w:rPr>
        <w:t xml:space="preserve">In industrial IoT, equipment models are frequently trained on telemetry collected under standard operating regimes (e.g., test bench calibration) and deployed onto machines operating under unmodeled environments. To address </w:t>
      </w:r>
      <w:r>
        <w:rPr>
          <w:rFonts w:ascii="Times New Roman" w:hAnsi="Times New Roman"/>
          <w:b/>
          <w:color w:val="262626"/>
          <w:sz w:val="22"/>
        </w:rPr>
        <w:t>RQ6</w:t>
      </w:r>
      <w:r>
        <w:rPr>
          <w:rFonts w:ascii="Times New Roman" w:hAnsi="Times New Roman"/>
          <w:color w:val="262626"/>
          <w:sz w:val="22"/>
        </w:rPr>
        <w:t>, we execute zero-shot cross-condition and cross-fault transfer experiments: models trained exclusively on FD001 are evaluated directly on FD002 and FD003 without retraining or fine-tuning.</w:t>
      </w:r>
    </w:p>
    <w:p>
      <w:pPr>
        <w:spacing w:before="40" w:after="100" w:line="276" w:lineRule="auto"/>
      </w:pPr>
      <w:r>
        <w:rPr>
          <w:rFonts w:ascii="Times New Roman" w:hAnsi="Times New Roman"/>
          <w:color w:val="262626"/>
          <w:sz w:val="22"/>
        </w:rPr>
        <w:t>Table 7.5 presents the transferability results, showing the target ROC-AUC and the relative performance drop ($\Delta \text{AUC}$).</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Model Evaluated</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Baseline FD001 (Source AUC)</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Transfer: FD001 $\to$ FD002 (6 Conditions)</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Transfer AUC Drop ($\Delta \text{AUC}$)</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Transfer: FD001 $\to$ FD003 (2 Fault Modes)</w:t>
            </w:r>
          </w:p>
        </w:tc>
        <w:tc>
          <w:tcPr>
            <w:tcW w:type="dxa" w:w="156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Transfer AUC Drop ($\Delta \text{AUC}$)</w:t>
            </w:r>
          </w:p>
        </w:tc>
      </w:tr>
      <w:tr>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Baseline</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0.984</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0.498</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-49.4% (Collapse)</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0.882</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-10.4%</w:t>
            </w:r>
          </w:p>
        </w:tc>
      </w:tr>
      <w:tr>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0.976</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0.524</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-46.3% (Collapse)</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0.904</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-7.4% (Robust)</w:t>
            </w:r>
          </w:p>
        </w:tc>
      </w:tr>
      <w:tr>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One-Class SVM</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0.972</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0.510</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-47.5% (Collapse)</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0.890</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-8.4%</w:t>
            </w:r>
          </w:p>
        </w:tc>
      </w:tr>
      <w:tr>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FC-Autoencoder</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0.912</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0.515</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-43.5% (Collapse)</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0.845</w:t>
            </w:r>
          </w:p>
        </w:tc>
        <w:tc>
          <w:tcPr>
            <w:tcW w:type="dxa" w:w="156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-7.3%</w:t>
            </w:r>
          </w:p>
        </w:tc>
      </w:tr>
      <w:tr>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LSTM-Autoencoder</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0.901</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0.508</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-43.6% (Collapse)</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0.820</w:t>
            </w:r>
          </w:p>
        </w:tc>
        <w:tc>
          <w:tcPr>
            <w:tcW w:type="dxa" w:w="156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-9.0%</w:t>
            </w:r>
          </w:p>
        </w:tc>
      </w:tr>
    </w:tbl>
    <w:p>
      <w:pPr>
        <w:spacing w:before="80" w:after="120"/>
      </w:pPr>
    </w:p>
    <w:p>
      <w:pPr>
        <w:spacing w:before="40" w:after="100" w:line="276" w:lineRule="auto"/>
      </w:pPr>
      <w:r>
        <w:rPr>
          <w:rFonts w:ascii="Times New Roman" w:hAnsi="Times New Roman"/>
          <w:i/>
          <w:color w:val="262626"/>
          <w:sz w:val="22"/>
        </w:rPr>
        <w:t>Table 7.5: Zero-shot cross-condition (FD001 $\to$ FD002) and cross-fault (FD001 $\to$ FD003) transfer evaluation.</w:t>
      </w:r>
    </w:p>
    <w:p>
      <w:pPr>
        <w:spacing w:before="40" w:after="100" w:line="276" w:lineRule="auto"/>
      </w:pPr>
      <w:r>
        <w:rPr>
          <w:rFonts w:ascii="Times New Roman" w:hAnsi="Times New Roman"/>
          <w:color w:val="262626"/>
          <w:sz w:val="22"/>
        </w:rPr>
        <w:t>The transferability experiments establish two fundamental conclusions:</w:t>
      </w:r>
    </w:p>
    <w:p>
      <w:pPr>
        <w:pStyle w:val="ListBullet"/>
        <w:spacing w:before="30" w:after="30" w:line="276" w:lineRule="auto"/>
      </w:pPr>
      <w:r>
        <w:rPr>
          <w:rFonts w:ascii="Times New Roman" w:hAnsi="Times New Roman"/>
          <w:b/>
          <w:color w:val="262626"/>
          <w:sz w:val="22"/>
        </w:rPr>
        <w:t>Catastrophic Failure Under Unmodeled Operating Regimes (FD001 $\to$ FD002):</w:t>
      </w:r>
      <w:r>
        <w:rPr>
          <w:rFonts w:ascii="Times New Roman" w:hAnsi="Times New Roman"/>
          <w:color w:val="262626"/>
          <w:sz w:val="22"/>
        </w:rPr>
        <w:t xml:space="preserve"> Every single model—without exception—experiences complete catastrophic failure when transferring from single-condition FD001 to 6-condition FD002. ROC-AUC values plummet to approximately $0.50 \pm 0.02$. Because the models were never exposed to high-altitude or varying-Mach flight conditions during training, every transition out of sea-level cruise is classified as an immediate anomaly. This proves that </w:t>
      </w:r>
      <w:r>
        <w:rPr>
          <w:rFonts w:ascii="Times New Roman" w:hAnsi="Times New Roman"/>
          <w:b/>
          <w:color w:val="262626"/>
          <w:sz w:val="22"/>
        </w:rPr>
        <w:t>zero-shot cross-condition deployment without explicit domain adaptation is impossible across all paradigms.</w:t>
      </w:r>
    </w:p>
    <w:p>
      <w:pPr>
        <w:pStyle w:val="ListBullet"/>
        <w:spacing w:before="30" w:after="30" w:line="276" w:lineRule="auto"/>
      </w:pPr>
      <w:r>
        <w:rPr>
          <w:rFonts w:ascii="Times New Roman" w:hAnsi="Times New Roman"/>
          <w:b/>
          <w:color w:val="262626"/>
          <w:sz w:val="22"/>
        </w:rPr>
        <w:t>Robustness Under Multi-Fault Mode Transfer (FD001 $\to$ FD003):</w:t>
      </w:r>
      <w:r>
        <w:rPr>
          <w:rFonts w:ascii="Times New Roman" w:hAnsi="Times New Roman"/>
          <w:color w:val="262626"/>
          <w:sz w:val="22"/>
        </w:rPr>
        <w:t xml:space="preserve"> When transferring from single-fault FD001 (HPC degradation) to multi-fault FD003 (HPC + Fan degradation), models maintain reasonable performance. Remarkably, </w:t>
      </w:r>
      <w:r>
        <w:rPr>
          <w:rFonts w:ascii="Times New Roman" w:hAnsi="Times New Roman"/>
          <w:b/>
          <w:color w:val="262626"/>
          <w:sz w:val="22"/>
        </w:rPr>
        <w:t>Isolation Forest</w:t>
      </w:r>
      <w:r>
        <w:rPr>
          <w:rFonts w:ascii="Times New Roman" w:hAnsi="Times New Roman"/>
          <w:color w:val="262626"/>
          <w:sz w:val="22"/>
        </w:rPr>
        <w:t xml:space="preserve"> exhibits the highest transfer robustness, achieving an ROC-AUC of </w:t>
      </w:r>
      <w:r>
        <w:rPr>
          <w:rFonts w:ascii="Times New Roman" w:hAnsi="Times New Roman"/>
          <w:b/>
          <w:color w:val="262626"/>
          <w:sz w:val="22"/>
        </w:rPr>
        <w:t>0.904</w:t>
      </w:r>
      <w:r>
        <w:rPr>
          <w:rFonts w:ascii="Times New Roman" w:hAnsi="Times New Roman"/>
          <w:color w:val="262626"/>
          <w:sz w:val="22"/>
        </w:rPr>
        <w:t xml:space="preserve"> (a minor drop of only 7.4%). Because Isolation Forest isolates outliers via orthogonal feature partitioning, new degradation patterns manifested in fan sensors ($s_2, s_3, s_4$) are readily isolated along those specific dimensions, even though the trees were trained only on HPC degradation.</w:t>
      </w:r>
    </w:p>
    <w:p>
      <w:pPr>
        <w:spacing w:before="120" w:after="120"/>
      </w:pPr>
      <w:r>
        <w:rPr>
          <w:color w:val="BDC3C7"/>
          <w:sz w:val="16"/>
        </w:rPr>
        <w:t>―――――――――――――――――――――――――――――――――――――――――――――――――――――――</w:t>
      </w:r>
    </w:p>
    <w:p>
      <w:pPr>
        <w:keepNext/>
        <w:spacing w:before="320" w:after="120"/>
      </w:pPr>
      <w:r>
        <w:rPr>
          <w:rFonts w:ascii="Times New Roman" w:hAnsi="Times New Roman"/>
          <w:b/>
          <w:color w:val="1F4E79"/>
          <w:sz w:val="36"/>
        </w:rPr>
        <w:t>Chapter 8: Ablation Studies and Statistical Significance</w:t>
      </w:r>
    </w:p>
    <w:p>
      <w:pPr>
        <w:keepNext/>
        <w:spacing w:before="240" w:after="80"/>
      </w:pPr>
      <w:r>
        <w:rPr>
          <w:rFonts w:ascii="Times New Roman" w:hAnsi="Times New Roman"/>
          <w:b/>
          <w:color w:val="2E75B6"/>
          <w:sz w:val="28"/>
        </w:rPr>
        <w:t>8.1 Multi-Seed Stability and Variance Analysis</w:t>
      </w:r>
    </w:p>
    <w:p>
      <w:pPr>
        <w:spacing w:before="40" w:after="100" w:line="276" w:lineRule="auto"/>
      </w:pPr>
      <w:r>
        <w:rPr>
          <w:rFonts w:ascii="Times New Roman" w:hAnsi="Times New Roman"/>
          <w:color w:val="262626"/>
          <w:sz w:val="22"/>
        </w:rPr>
        <w:t>To guarantee scientific reproducibility and ensure that reported performance differences are not artifacts of stochastic initialization, all experiments on FD001 were repeated across five distinct random seeds: $\mathcal{S}_{\text{seeds}} = \{42, 123, 456, 789, 1024\}$.</w:t>
      </w:r>
    </w:p>
    <w:p>
      <w:pPr>
        <w:spacing w:before="40" w:after="100" w:line="276" w:lineRule="auto"/>
      </w:pPr>
      <w:r>
        <w:rPr>
          <w:rFonts w:ascii="Times New Roman" w:hAnsi="Times New Roman"/>
          <w:color w:val="262626"/>
          <w:sz w:val="22"/>
        </w:rPr>
        <w:t>Table 8.1 reports the mean and sample standard deviation ($\text{Mean} \pm \text{Std}$) for all key metrics across the five independent runs.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Anomaly Detection Model</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F1-Score</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ROC-AUC</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PR-AUC</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Lead Time (Cycles)</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(Z-Score)</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0.602 ± 0.000</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0.985 ± 0.003</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0.812 ± 0.002</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38.4 ± 1.2 cycles</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0.549 ± 0.012</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0.976 ± 0.005</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0.785 ± 0.008</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42.1 ± 2.4 cycles</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One-Class SVM</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0.588 ± 0.008</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0.972 ± 0.004</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0.798 ± 0.006</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44.0 ± 1.8 cycles</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FC-Autoencoder</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0.564 ± 0.015</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0.912 ± 0.008</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0.730 ± 0.011</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46.2 ± 3.1 cycles</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LSTM-Autoencoder</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0.429 ± 0.018</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0.901 ± 0.012</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0.695 ± 0.014</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74.2 ± 5.6 cycles</w:t>
            </w:r>
          </w:p>
        </w:tc>
      </w:tr>
    </w:tbl>
    <w:p>
      <w:pPr>
        <w:spacing w:before="80" w:after="120"/>
      </w:pPr>
    </w:p>
    <w:p>
      <w:pPr>
        <w:spacing w:before="40" w:after="100" w:line="276" w:lineRule="auto"/>
      </w:pPr>
      <w:r>
        <w:rPr>
          <w:rFonts w:ascii="Times New Roman" w:hAnsi="Times New Roman"/>
          <w:i/>
          <w:color w:val="262626"/>
          <w:sz w:val="22"/>
        </w:rPr>
        <w:t>Table 8.1: Multi-seed benchmark results across 5 independent random seeds (Mean ± Std Dev).</w:t>
      </w:r>
    </w:p>
    <w:p>
      <w:pPr>
        <w:spacing w:before="40" w:after="100" w:line="276" w:lineRule="auto"/>
      </w:pPr>
      <w:r>
        <w:rPr>
          <w:rFonts w:ascii="Times New Roman" w:hAnsi="Times New Roman"/>
          <w:color w:val="262626"/>
          <w:sz w:val="22"/>
        </w:rPr>
        <w:t>The multi-seed analysis demonstrates:</w:t>
      </w:r>
    </w:p>
    <w:p>
      <w:pPr>
        <w:pStyle w:val="ListBullet"/>
        <w:spacing w:before="30" w:after="30" w:line="276" w:lineRule="auto"/>
      </w:pPr>
      <w:r>
        <w:rPr>
          <w:rFonts w:ascii="Times New Roman" w:hAnsi="Times New Roman"/>
          <w:color w:val="262626"/>
          <w:sz w:val="22"/>
        </w:rPr>
        <w:t>The Statistical baseline exhibits near-zero variance across seeds, confirming its mathematical stability.</w:t>
      </w:r>
    </w:p>
    <w:p>
      <w:pPr>
        <w:pStyle w:val="ListBullet"/>
        <w:spacing w:before="30" w:after="30" w:line="276" w:lineRule="auto"/>
      </w:pPr>
      <w:r>
        <w:rPr>
          <w:rFonts w:ascii="Times New Roman" w:hAnsi="Times New Roman"/>
          <w:color w:val="262626"/>
          <w:sz w:val="22"/>
        </w:rPr>
        <w:t>Isolation Forest and OC-SVM exhibit minimal standard deviations ($\sigma \le 0.012$), proving their stability across random tree partitioning and subsampling.</w:t>
      </w:r>
    </w:p>
    <w:p>
      <w:pPr>
        <w:pStyle w:val="ListBullet"/>
        <w:spacing w:before="30" w:after="30" w:line="276" w:lineRule="auto"/>
      </w:pPr>
      <w:r>
        <w:rPr>
          <w:rFonts w:ascii="Times New Roman" w:hAnsi="Times New Roman"/>
          <w:color w:val="262626"/>
          <w:sz w:val="22"/>
        </w:rPr>
        <w:t>The LSTM-Autoencoder exhibits the highest variance in lead time ($74.2 \pm 5.6$ cycles) and F1-score ($0.429 \pm 0.018$), reflecting the stochastic sensitivity of recurrent weight initialization and mini-batch gradient descent.</w:t>
      </w:r>
    </w:p>
    <w:p>
      <w:pPr>
        <w:keepNext/>
        <w:spacing w:before="240" w:after="80"/>
      </w:pPr>
      <w:r>
        <w:rPr>
          <w:rFonts w:ascii="Times New Roman" w:hAnsi="Times New Roman"/>
          <w:b/>
          <w:color w:val="2E75B6"/>
          <w:sz w:val="28"/>
        </w:rPr>
        <w:t>8.2 Hypothesis Testing and Wilcoxon Signed-Rank Verification</w:t>
      </w:r>
    </w:p>
    <w:p>
      <w:pPr>
        <w:spacing w:before="40" w:after="100" w:line="276" w:lineRule="auto"/>
      </w:pPr>
      <w:r>
        <w:rPr>
          <w:rFonts w:ascii="Times New Roman" w:hAnsi="Times New Roman"/>
          <w:color w:val="262626"/>
          <w:sz w:val="22"/>
        </w:rPr>
        <w:t xml:space="preserve">To verify whether observed performance differences are statistically significant, non-parametric </w:t>
      </w:r>
      <w:r>
        <w:rPr>
          <w:rFonts w:ascii="Times New Roman" w:hAnsi="Times New Roman"/>
          <w:b/>
          <w:color w:val="262626"/>
          <w:sz w:val="22"/>
        </w:rPr>
        <w:t>Wilcoxon signed-rank tests</w:t>
      </w:r>
      <w:r>
        <w:rPr>
          <w:rFonts w:ascii="Times New Roman" w:hAnsi="Times New Roman"/>
          <w:color w:val="262626"/>
          <w:sz w:val="22"/>
        </w:rPr>
        <w:t xml:space="preserve"> and paired Student's t-tests were executed across paired engine evaluation scores.</w:t>
      </w:r>
    </w:p>
    <w:p>
      <w:pPr>
        <w:spacing w:before="40" w:after="100" w:line="276" w:lineRule="auto"/>
      </w:pPr>
      <w:r>
        <w:rPr>
          <w:rFonts w:ascii="Times New Roman" w:hAnsi="Times New Roman"/>
          <w:color w:val="262626"/>
          <w:sz w:val="22"/>
        </w:rPr>
        <w:t>Table 8.2 presents the test statistics and resulting $p$-values for key pairwise model comparisons on FD001.</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Pairwise Model Comparison</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Test Metric</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Test Statistic ($W$)</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$p$-Value</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Statistical Significance ($\alpha = 0.05$)</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vs. Isolation Forest</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ROC-AUC</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12.0</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$p = 0.86$</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Fail to Reject $H_0$ (No Significant Difference)</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vs. One-Class SVM</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ROC-AUC</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8.0</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$p = 0.31$</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Fail to Reject $H_0$ (No Significant Difference)</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vs. FC-Autoencoder</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ROC-AUC</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$p = 0.012$</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Reject $H_0$ (Statistically Significant)</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vs. LSTM-Autoencoder</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ROC-AUC</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$p = 0.008$</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Reject $H_0$ (Statistically Significant)</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 vs. LSTM-AE</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ROC-AUC</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1.0</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$p = 0.016$</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Reject $H_0$ (Statistically Significant)</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LSTM-AE vs. All Classical</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Lead Time</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$p &lt; 0.001$</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Reject $H_0$ (LSTM Lead Time Significantly Higher)</w:t>
            </w:r>
          </w:p>
        </w:tc>
      </w:tr>
    </w:tbl>
    <w:p>
      <w:pPr>
        <w:spacing w:before="80" w:after="120"/>
      </w:pPr>
    </w:p>
    <w:p>
      <w:pPr>
        <w:spacing w:before="40" w:after="100" w:line="276" w:lineRule="auto"/>
      </w:pPr>
      <w:r>
        <w:rPr>
          <w:rFonts w:ascii="Times New Roman" w:hAnsi="Times New Roman"/>
          <w:i/>
          <w:color w:val="262626"/>
          <w:sz w:val="22"/>
        </w:rPr>
        <w:t>Table 8.2: Paired Wilcoxon signed-rank hypothesis tests on FD001 performance.</w:t>
      </w:r>
    </w:p>
    <w:p>
      <w:pPr>
        <w:spacing w:before="40" w:after="100" w:line="276" w:lineRule="auto"/>
      </w:pPr>
      <w:r>
        <w:rPr>
          <w:rFonts w:ascii="Times New Roman" w:hAnsi="Times New Roman"/>
          <w:color w:val="262626"/>
          <w:sz w:val="22"/>
        </w:rPr>
        <w:t>The hypothesis testing formally establishes:</w:t>
      </w:r>
    </w:p>
    <w:p>
      <w:pPr>
        <w:pStyle w:val="ListNumber"/>
        <w:spacing w:before="30" w:after="30" w:line="276" w:lineRule="auto"/>
      </w:pPr>
      <w:r>
        <w:rPr>
          <w:rFonts w:ascii="Times New Roman" w:hAnsi="Times New Roman"/>
          <w:color w:val="262626"/>
          <w:sz w:val="22"/>
        </w:rPr>
        <w:t xml:space="preserve">There is </w:t>
      </w:r>
      <w:r>
        <w:rPr>
          <w:rFonts w:ascii="Times New Roman" w:hAnsi="Times New Roman"/>
          <w:b/>
          <w:color w:val="262626"/>
          <w:sz w:val="22"/>
        </w:rPr>
        <w:t>no statistically significant difference</w:t>
      </w:r>
      <w:r>
        <w:rPr>
          <w:rFonts w:ascii="Times New Roman" w:hAnsi="Times New Roman"/>
          <w:color w:val="262626"/>
          <w:sz w:val="22"/>
        </w:rPr>
        <w:t xml:space="preserve"> in ROC-AUC between the parameter-free Statistical baseline and Isolation Forest ($p = 0.86$).</w:t>
      </w:r>
    </w:p>
    <w:p>
      <w:pPr>
        <w:pStyle w:val="ListNumber"/>
        <w:spacing w:before="30" w:after="30" w:line="276" w:lineRule="auto"/>
      </w:pPr>
      <w:r>
        <w:rPr>
          <w:rFonts w:ascii="Times New Roman" w:hAnsi="Times New Roman"/>
          <w:color w:val="262626"/>
          <w:sz w:val="22"/>
        </w:rPr>
        <w:t>Classical models significantly outperform deep learning models on cycle-level ROC-AUC ($p &lt; 0.05$).</w:t>
      </w:r>
    </w:p>
    <w:p>
      <w:pPr>
        <w:pStyle w:val="ListNumber"/>
        <w:spacing w:before="30" w:after="30" w:line="276" w:lineRule="auto"/>
      </w:pPr>
      <w:r>
        <w:rPr>
          <w:rFonts w:ascii="Times New Roman" w:hAnsi="Times New Roman"/>
          <w:color w:val="262626"/>
          <w:sz w:val="22"/>
        </w:rPr>
        <w:t xml:space="preserve">The LSTM-Autoencoder achieves a </w:t>
      </w:r>
      <w:r>
        <w:rPr>
          <w:rFonts w:ascii="Times New Roman" w:hAnsi="Times New Roman"/>
          <w:b/>
          <w:color w:val="262626"/>
          <w:sz w:val="22"/>
        </w:rPr>
        <w:t>statistically significant superiority</w:t>
      </w:r>
      <w:r>
        <w:rPr>
          <w:rFonts w:ascii="Times New Roman" w:hAnsi="Times New Roman"/>
          <w:color w:val="262626"/>
          <w:sz w:val="22"/>
        </w:rPr>
        <w:t xml:space="preserve"> over all classical models in advance detection lead time ($p &lt; 0.001$).</w:t>
      </w:r>
    </w:p>
    <w:p>
      <w:pPr>
        <w:keepNext/>
        <w:spacing w:before="240" w:after="80"/>
      </w:pPr>
      <w:r>
        <w:rPr>
          <w:rFonts w:ascii="Times New Roman" w:hAnsi="Times New Roman"/>
          <w:b/>
          <w:color w:val="2E75B6"/>
          <w:sz w:val="28"/>
        </w:rPr>
        <w:t>8.3 Temporal Sequence Length Ablation in Recurrent Autoencoders</w:t>
      </w:r>
    </w:p>
    <w:p>
      <w:pPr>
        <w:spacing w:before="40" w:after="100" w:line="276" w:lineRule="auto"/>
      </w:pPr>
      <w:r>
        <w:rPr>
          <w:rFonts w:ascii="Times New Roman" w:hAnsi="Times New Roman"/>
          <w:color w:val="262626"/>
          <w:sz w:val="22"/>
        </w:rPr>
        <w:t xml:space="preserve">To address </w:t>
      </w:r>
      <w:r>
        <w:rPr>
          <w:rFonts w:ascii="Times New Roman" w:hAnsi="Times New Roman"/>
          <w:b/>
          <w:color w:val="262626"/>
          <w:sz w:val="22"/>
        </w:rPr>
        <w:t>RQ2</w:t>
      </w:r>
      <w:r>
        <w:rPr>
          <w:rFonts w:ascii="Times New Roman" w:hAnsi="Times New Roman"/>
          <w:color w:val="262626"/>
          <w:sz w:val="22"/>
        </w:rPr>
        <w:t>, an extensive ablation study was conducted on the LSTM-Autoencoder to evaluate the effect of temporal sequence window length:</w:t>
      </w:r>
    </w:p>
    <w:p>
      <w:pPr>
        <w:spacing w:before="40" w:after="100" w:line="276" w:lineRule="auto"/>
      </w:pPr>
      <w:r>
        <w:rPr>
          <w:rFonts w:ascii="Times New Roman" w:hAnsi="Times New Roman"/>
          <w:color w:val="262626"/>
          <w:sz w:val="22"/>
        </w:rPr>
        <w:t>$$W \in \{10, 20, 30, 50\} \text{ cycles}$$</w:t>
      </w:r>
    </w:p>
    <w:p>
      <w:pPr>
        <w:spacing w:before="40" w:after="100" w:line="276" w:lineRule="auto"/>
      </w:pPr>
      <w:r>
        <w:rPr>
          <w:rFonts w:ascii="Times New Roman" w:hAnsi="Times New Roman"/>
          <w:color w:val="262626"/>
          <w:sz w:val="22"/>
        </w:rPr>
        <w:t>All models utilized identical hidden dimensions ($H=64$), latent bottleneck ($d=32$), and were trained on FD001.</w:t>
      </w:r>
    </w:p>
    <w:p>
      <w:pPr>
        <w:spacing w:before="40" w:after="100" w:line="276" w:lineRule="auto"/>
      </w:pPr>
      <w:r>
        <w:rPr>
          <w:rFonts w:ascii="Times New Roman" w:hAnsi="Times New Roman"/>
          <w:color w:val="262626"/>
          <w:sz w:val="22"/>
        </w:rPr>
        <w:t>Table 8.3 summarizes the empirical impact of sequence length on classification metrics, lead time, training duration, and parameter count.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Sequence Window Length ($W$)</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F1-Score</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ROC-AUC</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PR-AUC</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Mean Lead Time (Cycles)</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Training Time (Seconds)</w:t>
            </w:r>
          </w:p>
        </w:tc>
        <w:tc>
          <w:tcPr>
            <w:tcW w:type="dxa" w:w="1337"/>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Parameter Count</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$W = 10$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0.558</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0.930</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0.752</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58.2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64.2 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68,240</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$W = 20$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0.485</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0.915</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0.718</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66.5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98.6 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68,240</w:t>
            </w:r>
          </w:p>
        </w:tc>
      </w:tr>
      <w:tr>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$W = 30$ cycles</w:t>
            </w:r>
            <w:r>
              <w:rPr>
                <w:rFonts w:ascii="Times New Roman" w:hAnsi="Times New Roman"/>
                <w:color w:val="262626"/>
                <w:sz w:val="19"/>
              </w:rPr>
              <w:t xml:space="preserve"> (Default)</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0.429</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0.901</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0.695</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74.2 cycles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142.8 s</w:t>
            </w:r>
          </w:p>
        </w:tc>
        <w:tc>
          <w:tcPr>
            <w:tcW w:type="dxa" w:w="1337"/>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68,240</w:t>
            </w:r>
          </w:p>
        </w:tc>
      </w:tr>
      <w:tr>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$W = 50$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0.329</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0.824</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0.610</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88.4 cycles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245.1 s</w:t>
            </w:r>
          </w:p>
        </w:tc>
        <w:tc>
          <w:tcPr>
            <w:tcW w:type="dxa" w:w="1337"/>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68,240</w:t>
            </w:r>
          </w:p>
        </w:tc>
      </w:tr>
    </w:tbl>
    <w:p>
      <w:pPr>
        <w:spacing w:before="80" w:after="120"/>
      </w:pPr>
    </w:p>
    <w:p>
      <w:pPr>
        <w:spacing w:before="40" w:after="100" w:line="276" w:lineRule="auto"/>
      </w:pPr>
      <w:r>
        <w:rPr>
          <w:rFonts w:ascii="Times New Roman" w:hAnsi="Times New Roman"/>
          <w:i/>
          <w:color w:val="262626"/>
          <w:sz w:val="22"/>
        </w:rPr>
        <w:t>Table 8.3: Ablation study evaluating the effect of sequence window length ($W$) on LSTM-Autoencoder performance.</w:t>
      </w:r>
    </w:p>
    <w:p>
      <w:pPr>
        <w:spacing w:before="40" w:after="100" w:line="276" w:lineRule="auto"/>
      </w:pPr>
      <w:r>
        <w:rPr>
          <w:rFonts w:ascii="Times New Roman" w:hAnsi="Times New Roman"/>
          <w:color w:val="262626"/>
          <w:sz w:val="22"/>
        </w:rPr>
        <w:t>Figure 8.1 illustrates the dramatic trade-off observed across sequence lengths: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[Sequence Length Trade-Off in LSTM-Autoencoder]</w:t>
              <w:br/>
              <w:t xml:space="preserve">   Metric Value</w:t>
              <w:br/>
              <w:t xml:space="preserve">       ^</w:t>
              <w:br/>
              <w:t xml:space="preserve">  1.0 -|   ROC-AUC:   (W=10: 0.930) --------\</w:t>
              <w:br/>
              <w:t xml:space="preserve">       |                                     \-----&gt; (W=50: 0.824) [Degraded]</w:t>
              <w:br/>
              <w:t xml:space="preserve">  0.6 -|   F1-Score:  (W=10: 0.558) -----\</w:t>
              <w:br/>
              <w:t xml:space="preserve">       |                                  \--------&gt; (W=50: 0.329) [Severe Drop]</w:t>
              <w:br/>
              <w:t xml:space="preserve">  0.2 -|</w:t>
              <w:br/>
              <w:t xml:space="preserve">       +----------------------------------------------------&gt; Window Length (W)</w:t>
              <w:br/>
              <w:t xml:space="preserve">              W=10         W=20         W=30         W=50</w:t>
            </w:r>
          </w:p>
        </w:tc>
      </w:tr>
    </w:tbl>
    <w:p>
      <w:pPr>
        <w:spacing w:before="40" w:after="80"/>
      </w:pPr>
    </w:p>
    <w:p>
      <w:pPr>
        <w:spacing w:before="40" w:after="100" w:line="276" w:lineRule="auto"/>
      </w:pPr>
      <w:r>
        <w:rPr>
          <w:rFonts w:ascii="Times New Roman" w:hAnsi="Times New Roman"/>
          <w:color w:val="262626"/>
          <w:sz w:val="22"/>
        </w:rPr>
        <w:t>The sequence length ablation reveals profound dynamics:</w:t>
      </w:r>
    </w:p>
    <w:p>
      <w:pPr>
        <w:pStyle w:val="ListBullet"/>
        <w:spacing w:before="30" w:after="30" w:line="276" w:lineRule="auto"/>
      </w:pPr>
      <w:r>
        <w:rPr>
          <w:rFonts w:ascii="Times New Roman" w:hAnsi="Times New Roman"/>
          <w:b/>
          <w:color w:val="262626"/>
          <w:sz w:val="22"/>
        </w:rPr>
        <w:t>Shorter Windows Achieve Superior Classification Metrics:</w:t>
      </w:r>
      <w:r>
        <w:rPr>
          <w:rFonts w:ascii="Times New Roman" w:hAnsi="Times New Roman"/>
          <w:color w:val="262626"/>
          <w:sz w:val="22"/>
        </w:rPr>
        <w:t xml:space="preserve"> $W=10$ achieves the highest F1-score (</w:t>
      </w:r>
      <w:r>
        <w:rPr>
          <w:rFonts w:ascii="Times New Roman" w:hAnsi="Times New Roman"/>
          <w:b/>
          <w:color w:val="262626"/>
          <w:sz w:val="22"/>
        </w:rPr>
        <w:t>0.558</w:t>
      </w:r>
      <w:r>
        <w:rPr>
          <w:rFonts w:ascii="Times New Roman" w:hAnsi="Times New Roman"/>
          <w:color w:val="262626"/>
          <w:sz w:val="22"/>
        </w:rPr>
        <w:t>) and peak ROC-AUC (</w:t>
      </w:r>
      <w:r>
        <w:rPr>
          <w:rFonts w:ascii="Times New Roman" w:hAnsi="Times New Roman"/>
          <w:b/>
          <w:color w:val="262626"/>
          <w:sz w:val="22"/>
        </w:rPr>
        <w:t>0.930</w:t>
      </w:r>
      <w:r>
        <w:rPr>
          <w:rFonts w:ascii="Times New Roman" w:hAnsi="Times New Roman"/>
          <w:color w:val="262626"/>
          <w:sz w:val="22"/>
        </w:rPr>
        <w:t>), outperforming the standard $W=30$ configuration by a substantial margin.</w:t>
      </w:r>
    </w:p>
    <w:p>
      <w:pPr>
        <w:pStyle w:val="ListBullet"/>
        <w:spacing w:before="30" w:after="30" w:line="276" w:lineRule="auto"/>
      </w:pPr>
      <w:r>
        <w:rPr>
          <w:rFonts w:ascii="Times New Roman" w:hAnsi="Times New Roman"/>
          <w:b/>
          <w:color w:val="262626"/>
          <w:sz w:val="22"/>
        </w:rPr>
        <w:t>Degradation Under Long Sequences ($W=50$):</w:t>
      </w:r>
      <w:r>
        <w:rPr>
          <w:rFonts w:ascii="Times New Roman" w:hAnsi="Times New Roman"/>
          <w:color w:val="262626"/>
          <w:sz w:val="22"/>
        </w:rPr>
        <w:t xml:space="preserve"> Extending sequence length to $W=50$ degrades cycle-level performance drastically: F1 drops to </w:t>
      </w:r>
      <w:r>
        <w:rPr>
          <w:rFonts w:ascii="Times New Roman" w:hAnsi="Times New Roman"/>
          <w:b/>
          <w:color w:val="262626"/>
          <w:sz w:val="22"/>
        </w:rPr>
        <w:t>0.329</w:t>
      </w:r>
      <w:r>
        <w:rPr>
          <w:rFonts w:ascii="Times New Roman" w:hAnsi="Times New Roman"/>
          <w:color w:val="262626"/>
          <w:sz w:val="22"/>
        </w:rPr>
        <w:t xml:space="preserve"> and ROC-AUC falls to </w:t>
      </w:r>
      <w:r>
        <w:rPr>
          <w:rFonts w:ascii="Times New Roman" w:hAnsi="Times New Roman"/>
          <w:b/>
          <w:color w:val="262626"/>
          <w:sz w:val="22"/>
        </w:rPr>
        <w:t>0.824</w:t>
      </w:r>
      <w:r>
        <w:rPr>
          <w:rFonts w:ascii="Times New Roman" w:hAnsi="Times New Roman"/>
          <w:color w:val="262626"/>
          <w:sz w:val="22"/>
        </w:rPr>
        <w:t>. In long sequence windows, older nominal timesteps dilute the reconstruction error of recent anomalous timesteps, introducing a temporal lag. Furthermore, long windows cannot generate predictions for the first $W-1$ cycles of an engine's life, truncating early operational monitoring.</w:t>
      </w:r>
    </w:p>
    <w:p>
      <w:pPr>
        <w:pStyle w:val="ListBullet"/>
        <w:spacing w:before="30" w:after="30" w:line="276" w:lineRule="auto"/>
      </w:pPr>
      <w:r>
        <w:rPr>
          <w:rFonts w:ascii="Times New Roman" w:hAnsi="Times New Roman"/>
          <w:b/>
          <w:color w:val="262626"/>
          <w:sz w:val="22"/>
        </w:rPr>
        <w:t>Lead Time Trade-Off:</w:t>
      </w:r>
      <w:r>
        <w:rPr>
          <w:rFonts w:ascii="Times New Roman" w:hAnsi="Times New Roman"/>
          <w:color w:val="262626"/>
          <w:sz w:val="22"/>
        </w:rPr>
        <w:t xml:space="preserve"> Conversely, $W=50$ provides the longest raw lead time (</w:t>
      </w:r>
      <w:r>
        <w:rPr>
          <w:rFonts w:ascii="Times New Roman" w:hAnsi="Times New Roman"/>
          <w:b/>
          <w:color w:val="262626"/>
          <w:sz w:val="22"/>
        </w:rPr>
        <w:t>88.4 cycles</w:t>
      </w:r>
      <w:r>
        <w:rPr>
          <w:rFonts w:ascii="Times New Roman" w:hAnsi="Times New Roman"/>
          <w:color w:val="262626"/>
          <w:sz w:val="22"/>
        </w:rPr>
        <w:t>), but at the expense of high false positive rates and a 4x increase in training latency (245.1 s vs. 64.2 s).</w:t>
      </w:r>
    </w:p>
    <w:p>
      <w:pPr>
        <w:spacing w:before="40" w:after="100" w:line="276" w:lineRule="auto"/>
      </w:pPr>
      <w:r>
        <w:rPr>
          <w:rFonts w:ascii="Times New Roman" w:hAnsi="Times New Roman"/>
          <w:color w:val="262626"/>
          <w:sz w:val="22"/>
        </w:rPr>
        <w:t xml:space="preserve">This demonstrates that for turbofan degradation monitoring, </w:t>
      </w:r>
      <w:r>
        <w:rPr>
          <w:rFonts w:ascii="Times New Roman" w:hAnsi="Times New Roman"/>
          <w:b/>
          <w:color w:val="262626"/>
          <w:sz w:val="22"/>
        </w:rPr>
        <w:t>compact sequence windows ($W=10$) provide the optimal balance of temporal awareness and detection precision.</w:t>
      </w:r>
    </w:p>
    <w:p>
      <w:pPr>
        <w:keepNext/>
        <w:spacing w:before="240" w:after="80"/>
      </w:pPr>
      <w:r>
        <w:rPr>
          <w:rFonts w:ascii="Times New Roman" w:hAnsi="Times New Roman"/>
          <w:b/>
          <w:color w:val="2E75B6"/>
          <w:sz w:val="28"/>
        </w:rPr>
        <w:t>8.4 Bottleneck Compression and Persistence Filtering</w:t>
      </w:r>
    </w:p>
    <w:p>
      <w:pPr>
        <w:keepNext/>
        <w:spacing w:before="200" w:after="60"/>
      </w:pPr>
      <w:r>
        <w:rPr>
          <w:rFonts w:ascii="Times New Roman" w:hAnsi="Times New Roman"/>
          <w:b/>
          <w:color w:val="1F4E79"/>
          <w:sz w:val="24"/>
        </w:rPr>
        <w:t>8.4.1 Persistence Filter Window ($k$) Sensitivity</w:t>
      </w:r>
    </w:p>
    <w:p>
      <w:pPr>
        <w:spacing w:before="40" w:after="100" w:line="276" w:lineRule="auto"/>
      </w:pPr>
      <w:r>
        <w:rPr>
          <w:rFonts w:ascii="Times New Roman" w:hAnsi="Times New Roman"/>
          <w:color w:val="262626"/>
          <w:sz w:val="22"/>
        </w:rPr>
        <w:t>To evaluate the impact of the persistence filter window on false alarm suppression, we evaluated filter lengths:</w:t>
      </w:r>
    </w:p>
    <w:p>
      <w:pPr>
        <w:spacing w:before="40" w:after="100" w:line="276" w:lineRule="auto"/>
      </w:pPr>
      <w:r>
        <w:rPr>
          <w:rFonts w:ascii="Times New Roman" w:hAnsi="Times New Roman"/>
          <w:color w:val="262626"/>
          <w:sz w:val="22"/>
        </w:rPr>
        <w:t>$$k \in \{1, 3, 5, 10\} \text{ cycles}$$</w:t>
      </w:r>
    </w:p>
    <w:p>
      <w:pPr>
        <w:spacing w:before="40" w:after="100" w:line="276" w:lineRule="auto"/>
      </w:pPr>
      <w:r>
        <w:rPr>
          <w:rFonts w:ascii="Times New Roman" w:hAnsi="Times New Roman"/>
          <w:color w:val="262626"/>
          <w:sz w:val="22"/>
        </w:rPr>
        <w:t>Table 8.4 presents the empirical results on FD001 using the default $P_{95}$ threshold.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Persistence Window ($k$)</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Statistical FPR</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Statistical Lead Time</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LSTM-AE FPR</w:t>
            </w:r>
          </w:p>
        </w:tc>
        <w:tc>
          <w:tcPr>
            <w:tcW w:type="dxa" w:w="1872"/>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LSTM-AE Lead Time</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$k = 1$ (Raw Point Trigger)</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0.084</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46.2 cycles</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0.185</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86.5 cycles</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$k = 3$ cycles</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0.058</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41.0 cycles</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0.138</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79.0 cycles</w:t>
            </w:r>
          </w:p>
        </w:tc>
      </w:tr>
      <w:tr>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$k = 5$ cycles</w:t>
            </w:r>
            <w:r>
              <w:rPr>
                <w:rFonts w:ascii="Times New Roman" w:hAnsi="Times New Roman"/>
                <w:color w:val="262626"/>
                <w:sz w:val="19"/>
              </w:rPr>
              <w:t xml:space="preserve"> (Default)</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0.048</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38.4 cycles</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0.114</w:t>
            </w:r>
          </w:p>
        </w:tc>
        <w:tc>
          <w:tcPr>
            <w:tcW w:type="dxa" w:w="1872"/>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74.2 cycles</w:t>
            </w:r>
          </w:p>
        </w:tc>
      </w:tr>
      <w:tr>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$k = 10$ cycles</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0.032</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32.1 cycles</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0.076</w:t>
            </w:r>
          </w:p>
        </w:tc>
        <w:tc>
          <w:tcPr>
            <w:tcW w:type="dxa" w:w="1872"/>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62.4 cycles</w:t>
            </w:r>
          </w:p>
        </w:tc>
      </w:tr>
    </w:tbl>
    <w:p>
      <w:pPr>
        <w:spacing w:before="80" w:after="120"/>
      </w:pPr>
    </w:p>
    <w:p>
      <w:pPr>
        <w:spacing w:before="40" w:after="100" w:line="276" w:lineRule="auto"/>
      </w:pPr>
      <w:r>
        <w:rPr>
          <w:rFonts w:ascii="Times New Roman" w:hAnsi="Times New Roman"/>
          <w:i/>
          <w:color w:val="262626"/>
          <w:sz w:val="22"/>
        </w:rPr>
        <w:t>Table 8.4: Impact of persistence window length ($k$) on false positive rate and lead time.</w:t>
      </w:r>
    </w:p>
    <w:p>
      <w:pPr>
        <w:spacing w:before="40" w:after="100" w:line="276" w:lineRule="auto"/>
      </w:pPr>
      <w:r>
        <w:rPr>
          <w:rFonts w:ascii="Times New Roman" w:hAnsi="Times New Roman"/>
          <w:color w:val="262626"/>
          <w:sz w:val="22"/>
        </w:rPr>
        <w:t>A filter length of $k=5$ provides the optimal trade-off: it filters out transient single-cycle noise spikes (cutting FPR by over 40% compared to raw $k=1$ triggers) while preserving ample advance lead time before functional failure.</w:t>
      </w:r>
    </w:p>
    <w:p>
      <w:pPr>
        <w:spacing w:before="120" w:after="120"/>
      </w:pPr>
      <w:r>
        <w:rPr>
          <w:color w:val="BDC3C7"/>
          <w:sz w:val="16"/>
        </w:rPr>
        <w:t>―――――――――――――――――――――――――――――――――――――――――――――――――――――――</w:t>
      </w:r>
    </w:p>
    <w:p>
      <w:pPr>
        <w:keepNext/>
        <w:spacing w:before="320" w:after="120"/>
      </w:pPr>
      <w:r>
        <w:rPr>
          <w:rFonts w:ascii="Times New Roman" w:hAnsi="Times New Roman"/>
          <w:b/>
          <w:color w:val="1F4E79"/>
          <w:sz w:val="36"/>
        </w:rPr>
        <w:t>Chapter 9: Discussion</w:t>
      </w:r>
    </w:p>
    <w:p>
      <w:pPr>
        <w:keepNext/>
        <w:spacing w:before="240" w:after="80"/>
      </w:pPr>
      <w:r>
        <w:rPr>
          <w:rFonts w:ascii="Times New Roman" w:hAnsi="Times New Roman"/>
          <w:b/>
          <w:color w:val="2E75B6"/>
          <w:sz w:val="28"/>
        </w:rPr>
        <w:t>9.1 When Simple Classical Baselines Suffice</w:t>
      </w:r>
    </w:p>
    <w:p>
      <w:pPr>
        <w:spacing w:before="40" w:after="100" w:line="276" w:lineRule="auto"/>
      </w:pPr>
      <w:r>
        <w:rPr>
          <w:rFonts w:ascii="Times New Roman" w:hAnsi="Times New Roman"/>
          <w:color w:val="262626"/>
          <w:sz w:val="22"/>
        </w:rPr>
        <w:t xml:space="preserve">One of the most consequential findings of this thesis is that under stationary operating conditions with a single dominant failure mode (FD001), simple classical methods not only compete with deep neural networks—they decisively outperform them on standard classification benchmarks. The parameter-free Statistical Z-score baseline achieved an ROC-AUC of </w:t>
      </w:r>
      <w:r>
        <w:rPr>
          <w:rFonts w:ascii="Times New Roman" w:hAnsi="Times New Roman"/>
          <w:b/>
          <w:color w:val="262626"/>
          <w:sz w:val="22"/>
        </w:rPr>
        <w:t>0.985 ± 0.003</w:t>
      </w:r>
      <w:r>
        <w:rPr>
          <w:rFonts w:ascii="Times New Roman" w:hAnsi="Times New Roman"/>
          <w:color w:val="262626"/>
          <w:sz w:val="22"/>
        </w:rPr>
        <w:t xml:space="preserve"> and an F1-score of </w:t>
      </w:r>
      <w:r>
        <w:rPr>
          <w:rFonts w:ascii="Times New Roman" w:hAnsi="Times New Roman"/>
          <w:b/>
          <w:color w:val="262626"/>
          <w:sz w:val="22"/>
        </w:rPr>
        <w:t>0.602</w:t>
      </w:r>
      <w:r>
        <w:rPr>
          <w:rFonts w:ascii="Times New Roman" w:hAnsi="Times New Roman"/>
          <w:color w:val="262626"/>
          <w:sz w:val="22"/>
        </w:rPr>
        <w:t>, statistically matching Isolation Forest ($p = 0.86$) while outperforming the LSTM-Autoencoder ($p = 0.008$).</w:t>
      </w:r>
    </w:p>
    <w:p>
      <w:pPr>
        <w:spacing w:before="40" w:after="100" w:line="276" w:lineRule="auto"/>
      </w:pPr>
      <w:r>
        <w:rPr>
          <w:rFonts w:ascii="Times New Roman" w:hAnsi="Times New Roman"/>
          <w:color w:val="262626"/>
          <w:sz w:val="22"/>
        </w:rPr>
        <w:t>Why do simple classical methods succeed so comprehensively in this setting?</w:t>
      </w:r>
    </w:p>
    <w:p>
      <w:pPr>
        <w:pStyle w:val="ListNumber"/>
        <w:spacing w:before="30" w:after="30" w:line="276" w:lineRule="auto"/>
      </w:pPr>
      <w:r>
        <w:rPr>
          <w:rFonts w:ascii="Times New Roman" w:hAnsi="Times New Roman"/>
          <w:b/>
          <w:color w:val="262626"/>
          <w:sz w:val="22"/>
        </w:rPr>
        <w:t>Thermodynamic Monotonicity:</w:t>
      </w:r>
      <w:r>
        <w:rPr>
          <w:rFonts w:ascii="Times New Roman" w:hAnsi="Times New Roman"/>
          <w:color w:val="262626"/>
          <w:sz w:val="22"/>
        </w:rPr>
        <w:t xml:space="preserve"> In turbofan engines degrading under constant operating regimes, physical wear manifests as steady, monotonic thermodynamic drifts. Sensor channels such as $T_{24}$ and $T_{30}$ exhibit high signal-to-noise ratios. Identifying these drifts does not require complex non-linear coordinate transformations or recurrent memory cells; computing deviations from nominal Gaussian distributions is mathematically sufficient.</w:t>
      </w:r>
    </w:p>
    <w:p>
      <w:pPr>
        <w:pStyle w:val="ListNumber"/>
        <w:spacing w:before="30" w:after="30" w:line="276" w:lineRule="auto"/>
      </w:pPr>
      <w:r>
        <w:rPr>
          <w:rFonts w:ascii="Times New Roman" w:hAnsi="Times New Roman"/>
          <w:b/>
          <w:color w:val="262626"/>
          <w:sz w:val="22"/>
        </w:rPr>
        <w:t>Absence of Optimization Stochasticity:</w:t>
      </w:r>
      <w:r>
        <w:rPr>
          <w:rFonts w:ascii="Times New Roman" w:hAnsi="Times New Roman"/>
          <w:color w:val="262626"/>
          <w:sz w:val="22"/>
        </w:rPr>
        <w:t xml:space="preserve"> Neural networks rely on non-convex stochastic gradient descent, mini-batch sampling, and randomized weight initialization. These optimization dynamics introduce variance and potential convergence to suboptimal local minima. In contrast, the Statistical baseline and Isolation Forest operate deterministically or converge asymptotically with tree ensemble size, guaranteeing robust, stable boundaries.</w:t>
      </w:r>
    </w:p>
    <w:p>
      <w:pPr>
        <w:spacing w:before="40" w:after="100" w:line="276" w:lineRule="auto"/>
      </w:pPr>
      <w:r>
        <w:rPr>
          <w:rFonts w:ascii="Times New Roman" w:hAnsi="Times New Roman"/>
          <w:color w:val="262626"/>
          <w:sz w:val="22"/>
        </w:rPr>
        <w:t>Practitioners operating in industrial environments characterized by stationary operating regimes should always deploy and rigorously evaluate a simple Statistical Z-score baseline before investing in deep learning infrastructures.</w:t>
      </w:r>
    </w:p>
    <w:p>
      <w:pPr>
        <w:keepNext/>
        <w:spacing w:before="240" w:after="80"/>
      </w:pPr>
      <w:r>
        <w:rPr>
          <w:rFonts w:ascii="Times New Roman" w:hAnsi="Times New Roman"/>
          <w:b/>
          <w:color w:val="2E75B6"/>
          <w:sz w:val="28"/>
        </w:rPr>
        <w:t>9.2 Complexity Payoff and Return on Compute</w:t>
      </w:r>
    </w:p>
    <w:p>
      <w:pPr>
        <w:spacing w:before="40" w:after="100" w:line="276" w:lineRule="auto"/>
      </w:pPr>
      <w:r>
        <w:rPr>
          <w:rFonts w:ascii="Times New Roman" w:hAnsi="Times New Roman"/>
          <w:color w:val="262626"/>
          <w:sz w:val="22"/>
        </w:rPr>
        <w:t xml:space="preserve">To address </w:t>
      </w:r>
      <w:r>
        <w:rPr>
          <w:rFonts w:ascii="Times New Roman" w:hAnsi="Times New Roman"/>
          <w:b/>
          <w:color w:val="262626"/>
          <w:sz w:val="22"/>
        </w:rPr>
        <w:t>RQ7</w:t>
      </w:r>
      <w:r>
        <w:rPr>
          <w:rFonts w:ascii="Times New Roman" w:hAnsi="Times New Roman"/>
          <w:color w:val="262626"/>
          <w:sz w:val="22"/>
        </w:rPr>
        <w:t>, Table 9.1 synthesizes the computational complexity and performance characteristics across all five investigated models.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Anomaly Detection Model</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Trainable Parameters</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Training Time (s)</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Relative Train Compute</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Inference Latency (ms)</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Peak FD001 AUC</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Peak FD004 AUC</w:t>
            </w:r>
          </w:p>
        </w:tc>
        <w:tc>
          <w:tcPr>
            <w:tcW w:type="dxa" w:w="117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Edge Feasibility</w:t>
            </w:r>
          </w:p>
        </w:tc>
      </w:tr>
      <w:tr>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Statistical Baseline</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0.12 s</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$1.0\times$</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0.008 ms</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0.984</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0.512</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Exceptional (MCU / PLC)</w:t>
            </w:r>
          </w:p>
        </w:tc>
      </w:tr>
      <w:tr>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Isolation Forest</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100 Trees</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1.84 s</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$15.3\times$</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0.142 ms</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0.976</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0.765</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High (Low-power Edge CPU)</w:t>
            </w:r>
          </w:p>
        </w:tc>
      </w:tr>
      <w:tr>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One-Class SVM</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1,420 SVs</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14.20 s</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$118.3\times$</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0.860 ms</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0.972</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0.730</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Moderate (Memory bottleneck)</w:t>
            </w:r>
          </w:p>
        </w:tc>
      </w:tr>
      <w:tr>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FC-Autoencoder</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4,286</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18.65 s</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$155.4\times$</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0.045 ms</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0.912</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0.964</w:t>
            </w:r>
          </w:p>
        </w:tc>
        <w:tc>
          <w:tcPr>
            <w:tcW w:type="dxa" w:w="117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High (Edge CPU gateway)</w:t>
            </w:r>
          </w:p>
        </w:tc>
      </w:tr>
      <w:tr>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LSTM-Autoencoder</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68,240</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142.80 s</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$1,190.0\times$</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1.250 ms</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0.901</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0.948</w:t>
            </w:r>
          </w:p>
        </w:tc>
        <w:tc>
          <w:tcPr>
            <w:tcW w:type="dxa" w:w="117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Moderate (Higher compute)</w:t>
            </w:r>
          </w:p>
        </w:tc>
      </w:tr>
    </w:tbl>
    <w:p>
      <w:pPr>
        <w:spacing w:before="80" w:after="120"/>
      </w:pPr>
    </w:p>
    <w:p>
      <w:pPr>
        <w:spacing w:before="40" w:after="100" w:line="276" w:lineRule="auto"/>
      </w:pPr>
      <w:r>
        <w:rPr>
          <w:rFonts w:ascii="Times New Roman" w:hAnsi="Times New Roman"/>
          <w:i/>
          <w:color w:val="262626"/>
          <w:sz w:val="22"/>
        </w:rPr>
        <w:t>Table 9.1: Computational complexity, parameter footprint, and return on compute on Intel i7-1165G7 hardware.</w:t>
      </w:r>
    </w:p>
    <w:p>
      <w:pPr>
        <w:spacing w:before="40" w:after="100" w:line="276" w:lineRule="auto"/>
      </w:pPr>
      <w:r>
        <w:rPr>
          <w:rFonts w:ascii="Times New Roman" w:hAnsi="Times New Roman"/>
          <w:color w:val="262626"/>
          <w:sz w:val="22"/>
        </w:rPr>
        <w:t>Table 9.1 reveals a dramatic asymmetry in the "return on compute":</w:t>
      </w:r>
    </w:p>
    <w:p>
      <w:pPr>
        <w:pStyle w:val="ListBullet"/>
        <w:spacing w:before="30" w:after="30" w:line="276" w:lineRule="auto"/>
      </w:pPr>
      <w:r>
        <w:rPr>
          <w:rFonts w:ascii="Times New Roman" w:hAnsi="Times New Roman"/>
          <w:color w:val="262626"/>
          <w:sz w:val="22"/>
        </w:rPr>
        <w:t xml:space="preserve">Moving from the Statistical baseline to the LSTM-Autoencoder requires a </w:t>
      </w:r>
      <w:r>
        <w:rPr>
          <w:rFonts w:ascii="Times New Roman" w:hAnsi="Times New Roman"/>
          <w:b/>
          <w:color w:val="262626"/>
          <w:sz w:val="22"/>
        </w:rPr>
        <w:t>1,190-fold increase</w:t>
      </w:r>
      <w:r>
        <w:rPr>
          <w:rFonts w:ascii="Times New Roman" w:hAnsi="Times New Roman"/>
          <w:color w:val="262626"/>
          <w:sz w:val="22"/>
        </w:rPr>
        <w:t xml:space="preserve"> in training wall-clock time and introduces 68,240 trainable parameters. On FD001, this massive computational investment yields a </w:t>
      </w:r>
      <w:r>
        <w:rPr>
          <w:rFonts w:ascii="Times New Roman" w:hAnsi="Times New Roman"/>
          <w:b/>
          <w:color w:val="262626"/>
          <w:sz w:val="22"/>
        </w:rPr>
        <w:t>negative return</w:t>
      </w:r>
      <w:r>
        <w:rPr>
          <w:rFonts w:ascii="Times New Roman" w:hAnsi="Times New Roman"/>
          <w:color w:val="262626"/>
          <w:sz w:val="22"/>
        </w:rPr>
        <w:t xml:space="preserve"> on cycle-level classification metrics ($\Delta \text{AUC} = -0.083$).</w:t>
      </w:r>
    </w:p>
    <w:p>
      <w:pPr>
        <w:pStyle w:val="ListBullet"/>
        <w:spacing w:before="30" w:after="30" w:line="276" w:lineRule="auto"/>
      </w:pPr>
      <w:r>
        <w:rPr>
          <w:rFonts w:ascii="Times New Roman" w:hAnsi="Times New Roman"/>
          <w:color w:val="262626"/>
          <w:sz w:val="22"/>
        </w:rPr>
        <w:t xml:space="preserve">However, when evaluated on complex multi-regime environments (FD004), the situation reverses: the Fully Connected Autoencoder delivers an ROC-AUC of </w:t>
      </w:r>
      <w:r>
        <w:rPr>
          <w:rFonts w:ascii="Times New Roman" w:hAnsi="Times New Roman"/>
          <w:b/>
          <w:color w:val="262626"/>
          <w:sz w:val="22"/>
        </w:rPr>
        <w:t>0.964</w:t>
      </w:r>
      <w:r>
        <w:rPr>
          <w:rFonts w:ascii="Times New Roman" w:hAnsi="Times New Roman"/>
          <w:color w:val="262626"/>
          <w:sz w:val="22"/>
        </w:rPr>
        <w:t>, outperforming the Statistical baseline (0.512) by +45.2 AUC points and Isolation Forest (0.765) by +19.9 AUC points, for a very modest computational footprint of 4,286 parameters and 18.65 seconds of training time.</w:t>
      </w:r>
    </w:p>
    <w:p>
      <w:pPr>
        <w:spacing w:before="40" w:after="100" w:line="276" w:lineRule="auto"/>
      </w:pPr>
      <w:r>
        <w:rPr>
          <w:rFonts w:ascii="Times New Roman" w:hAnsi="Times New Roman"/>
          <w:color w:val="262626"/>
          <w:sz w:val="22"/>
        </w:rPr>
        <w:t xml:space="preserve">This analysis yields a concrete architectural recommendation for industrial practitioners: </w:t>
      </w:r>
      <w:r>
        <w:rPr>
          <w:rFonts w:ascii="Times New Roman" w:hAnsi="Times New Roman"/>
          <w:b/>
          <w:color w:val="262626"/>
          <w:sz w:val="22"/>
        </w:rPr>
        <w:t>the Fully Connected Autoencoder represents the sweet spot of computational efficiency and representational power for complex industrial telemetry.</w:t>
      </w:r>
      <w:r>
        <w:rPr>
          <w:rFonts w:ascii="Times New Roman" w:hAnsi="Times New Roman"/>
          <w:color w:val="262626"/>
          <w:sz w:val="22"/>
        </w:rPr>
        <w:t xml:space="preserve"> It captures non-linear cross-sensor manifolds without incurring the severe recurrent computational latency and sequence alignment overhead of LSTM architectures.</w:t>
      </w:r>
    </w:p>
    <w:p>
      <w:pPr>
        <w:keepNext/>
        <w:spacing w:before="240" w:after="80"/>
      </w:pPr>
      <w:r>
        <w:rPr>
          <w:rFonts w:ascii="Times New Roman" w:hAnsi="Times New Roman"/>
          <w:b/>
          <w:color w:val="2E75B6"/>
          <w:sz w:val="28"/>
        </w:rPr>
        <w:t>9.3 The Metric Paradox in Degradation Telemetry</w:t>
      </w:r>
    </w:p>
    <w:p>
      <w:pPr>
        <w:spacing w:before="40" w:after="100" w:line="276" w:lineRule="auto"/>
      </w:pPr>
      <w:r>
        <w:rPr>
          <w:rFonts w:ascii="Times New Roman" w:hAnsi="Times New Roman"/>
          <w:color w:val="262626"/>
          <w:sz w:val="22"/>
        </w:rPr>
        <w:t xml:space="preserve">A central theoretical contribution of this thesis is the formal identification of the </w:t>
      </w:r>
      <w:r>
        <w:rPr>
          <w:rFonts w:ascii="Times New Roman" w:hAnsi="Times New Roman"/>
          <w:b/>
          <w:color w:val="262626"/>
          <w:sz w:val="22"/>
        </w:rPr>
        <w:t>"Metric Paradox"</w:t>
      </w:r>
      <w:r>
        <w:rPr>
          <w:rFonts w:ascii="Times New Roman" w:hAnsi="Times New Roman"/>
          <w:color w:val="262626"/>
          <w:sz w:val="22"/>
        </w:rPr>
        <w:t xml:space="preserve"> in predictive maintenance evaluation.</w:t>
      </w:r>
    </w:p>
    <w:p>
      <w:pPr>
        <w:spacing w:before="40" w:after="100" w:line="276" w:lineRule="auto"/>
      </w:pPr>
      <w:r>
        <w:rPr>
          <w:rFonts w:ascii="Times New Roman" w:hAnsi="Times New Roman"/>
          <w:color w:val="262626"/>
          <w:sz w:val="22"/>
        </w:rPr>
        <w:t>In conventional computer vision or natural language processing tasks, binary classification labels are objective and unambiguous (e.g., an image either contains a defect or it does not). In machine health monitoring, however, failure is not a discrete event—it is a continuous physical degradation process. Assigning a binary label based on an arbitrary threshold (such as $RUL \le 30$) creates an artificial boundary on an unbroken physical continuum.</w:t>
      </w:r>
    </w:p>
    <w:p>
      <w:pPr>
        <w:spacing w:before="40" w:after="100" w:line="276" w:lineRule="auto"/>
      </w:pPr>
      <w:r>
        <w:rPr>
          <w:rFonts w:ascii="Times New Roman" w:hAnsi="Times New Roman"/>
          <w:color w:val="262626"/>
          <w:sz w:val="22"/>
        </w:rPr>
        <w:t>As demonstrated in Chapter 7, an anomaly detector possessing superior temporal sensitivity (such as the LSTM-AE) detects physical degradation at cycle $T_e - 74$. Under the standard binary classification framework, the 44 operational cycles between cycle $T_e - 74$ and cycle $T_e - 30$ are evaluated as False Positives, mathematically penalizing the model for providing prescient early warning!</w:t>
      </w:r>
    </w:p>
    <w:p>
      <w:pPr>
        <w:spacing w:before="40" w:after="100" w:line="276" w:lineRule="auto"/>
      </w:pPr>
      <w:r>
        <w:rPr>
          <w:rFonts w:ascii="Times New Roman" w:hAnsi="Times New Roman"/>
          <w:color w:val="262626"/>
          <w:sz w:val="22"/>
        </w:rPr>
        <w:t xml:space="preserve">To resolve this paradox, the research community must transition away from static cycle-level F1-scores as the primary benchmark metric for predictive maintenance. Instead, evaluation frameworks should adopt </w:t>
      </w:r>
      <w:r>
        <w:rPr>
          <w:rFonts w:ascii="Times New Roman" w:hAnsi="Times New Roman"/>
          <w:b/>
          <w:color w:val="262626"/>
          <w:sz w:val="22"/>
        </w:rPr>
        <w:t>composite temporal utility metrics</w:t>
      </w:r>
      <w:r>
        <w:rPr>
          <w:rFonts w:ascii="Times New Roman" w:hAnsi="Times New Roman"/>
          <w:color w:val="262626"/>
          <w:sz w:val="22"/>
        </w:rPr>
        <w:t xml:space="preserve"> that explicitly reward advance lead time while penalizing false alarm persistence during the verified healthy operational phase.</w:t>
      </w:r>
    </w:p>
    <w:p>
      <w:pPr>
        <w:keepNext/>
        <w:spacing w:before="240" w:after="80"/>
      </w:pPr>
      <w:r>
        <w:rPr>
          <w:rFonts w:ascii="Times New Roman" w:hAnsi="Times New Roman"/>
          <w:b/>
          <w:color w:val="2E75B6"/>
          <w:sz w:val="28"/>
        </w:rPr>
        <w:t>9.4 Practical Deployment Risks in Industrial IoT Gateways</w:t>
      </w:r>
    </w:p>
    <w:p>
      <w:pPr>
        <w:spacing w:before="40" w:after="100" w:line="276" w:lineRule="auto"/>
      </w:pPr>
      <w:r>
        <w:rPr>
          <w:rFonts w:ascii="Times New Roman" w:hAnsi="Times New Roman"/>
          <w:color w:val="262626"/>
          <w:sz w:val="22"/>
        </w:rPr>
        <w:t>Deploying unsupervised anomaly detection models onto real-world industrial IoT edge gateways entails significant operational risks that academic literature frequently overlooks:</w:t>
      </w:r>
    </w:p>
    <w:p>
      <w:pPr>
        <w:pStyle w:val="ListNumber"/>
        <w:spacing w:before="30" w:after="30" w:line="276" w:lineRule="auto"/>
      </w:pPr>
      <w:r>
        <w:rPr>
          <w:rFonts w:ascii="Times New Roman" w:hAnsi="Times New Roman"/>
          <w:b/>
          <w:color w:val="262626"/>
          <w:sz w:val="22"/>
        </w:rPr>
        <w:t>Catastrophic Domain Shift Under Unmodeled Regimes:</w:t>
      </w:r>
      <w:r>
        <w:rPr>
          <w:rFonts w:ascii="Times New Roman" w:hAnsi="Times New Roman"/>
          <w:color w:val="262626"/>
          <w:sz w:val="22"/>
        </w:rPr>
        <w:t xml:space="preserve"> As proven in Section 7.5, zero-shot deployment across unmodeled operational regimes results in immediate catastrophic failure across all model paradigms. In production, machinery frequently encounters seasonal temperature shifts, new raw material grades, or modified production speeds. Without continuous regime clustering or automated domain adaptation, deployed models will trigger massive alarm floods.</w:t>
      </w:r>
    </w:p>
    <w:p>
      <w:pPr>
        <w:pStyle w:val="ListNumber"/>
        <w:spacing w:before="30" w:after="30" w:line="276" w:lineRule="auto"/>
      </w:pPr>
      <w:r>
        <w:rPr>
          <w:rFonts w:ascii="Times New Roman" w:hAnsi="Times New Roman"/>
          <w:b/>
          <w:color w:val="262626"/>
          <w:sz w:val="22"/>
        </w:rPr>
        <w:t>Alert Fatigue and Human Operator Distrust:</w:t>
      </w:r>
      <w:r>
        <w:rPr>
          <w:rFonts w:ascii="Times New Roman" w:hAnsi="Times New Roman"/>
          <w:color w:val="262626"/>
          <w:sz w:val="22"/>
        </w:rPr>
        <w:t xml:space="preserve"> A false positive rate of 5% ($FPR = 0.05$) may appear acceptable in an academic paper. However, on an industrial machine operating at 1 Hz, an FPR of 0.05 translates to </w:t>
      </w:r>
      <w:r>
        <w:rPr>
          <w:rFonts w:ascii="Times New Roman" w:hAnsi="Times New Roman"/>
          <w:b/>
          <w:color w:val="262626"/>
          <w:sz w:val="22"/>
        </w:rPr>
        <w:t>180 false alarms every single hour</w:t>
      </w:r>
      <w:r>
        <w:rPr>
          <w:rFonts w:ascii="Times New Roman" w:hAnsi="Times New Roman"/>
          <w:color w:val="262626"/>
          <w:sz w:val="22"/>
        </w:rPr>
        <w:t>! Human operators will immediately disable or ignore the monitoring system. Industrial deployments must enforce strict persistence filtering ($k \ge 5$) and calibrate thresholds using ultra-conservative criteria ($P_{99.5}$ or Extreme Value Theory).</w:t>
      </w:r>
    </w:p>
    <w:p>
      <w:pPr>
        <w:pStyle w:val="ListNumber"/>
        <w:spacing w:before="30" w:after="30" w:line="276" w:lineRule="auto"/>
      </w:pPr>
      <w:r>
        <w:rPr>
          <w:rFonts w:ascii="Times New Roman" w:hAnsi="Times New Roman"/>
          <w:b/>
          <w:color w:val="262626"/>
          <w:sz w:val="22"/>
        </w:rPr>
        <w:t>Memory and Latency Bottlenecks on Edge Gateways:</w:t>
      </w:r>
      <w:r>
        <w:rPr>
          <w:rFonts w:ascii="Times New Roman" w:hAnsi="Times New Roman"/>
          <w:color w:val="262626"/>
          <w:sz w:val="22"/>
        </w:rPr>
        <w:t xml:space="preserve"> While inference latencies for FC-AE (0.045 ms) and Statistical baselines (0.008 ms) are well within real-time thresholds, kernel methods like OC-SVM store thousands of support vectors in memory, causing inference latency to scale linearly with dataset size. OC-SVM is fundamentally unsuited for embedded edge deployment without aggressive support vector pruning.</w:t>
      </w:r>
    </w:p>
    <w:p>
      <w:pPr>
        <w:keepNext/>
        <w:spacing w:before="240" w:after="80"/>
      </w:pPr>
      <w:r>
        <w:rPr>
          <w:rFonts w:ascii="Times New Roman" w:hAnsi="Times New Roman"/>
          <w:b/>
          <w:color w:val="2E75B6"/>
          <w:sz w:val="28"/>
        </w:rPr>
        <w:t>9.5 Threats to Validity and Study Limitations</w:t>
      </w:r>
    </w:p>
    <w:p>
      <w:pPr>
        <w:spacing w:before="40" w:after="100" w:line="276" w:lineRule="auto"/>
      </w:pPr>
      <w:r>
        <w:rPr>
          <w:rFonts w:ascii="Times New Roman" w:hAnsi="Times New Roman"/>
          <w:color w:val="262626"/>
          <w:sz w:val="22"/>
        </w:rPr>
        <w:t>To maintain academic integrity, the threats to validity and limitations of this study are explicitly documented:</w:t>
      </w:r>
    </w:p>
    <w:p>
      <w:pPr>
        <w:pStyle w:val="ListBullet"/>
        <w:spacing w:before="30" w:after="30" w:line="276" w:lineRule="auto"/>
      </w:pPr>
      <w:r>
        <w:rPr>
          <w:rFonts w:ascii="Times New Roman" w:hAnsi="Times New Roman"/>
          <w:b/>
          <w:color w:val="262626"/>
          <w:sz w:val="22"/>
        </w:rPr>
        <w:t>Simulated Telemetry vs. Physical Machinery:</w:t>
      </w:r>
      <w:r>
        <w:rPr>
          <w:rFonts w:ascii="Times New Roman" w:hAnsi="Times New Roman"/>
          <w:color w:val="262626"/>
          <w:sz w:val="22"/>
        </w:rPr>
        <w:t xml:space="preserve"> While C-MAPSS is an exceptionally high-fidelity aerothermal simulation incorporating realistic sensor noise and operational profiles, simulated degradation trajectories remain more regular and predictable than real-world physical machinery, where environmental fouling, sensor dropouts, and maintenance interventions introduce complex artifacts.</w:t>
      </w:r>
    </w:p>
    <w:p>
      <w:pPr>
        <w:pStyle w:val="ListBullet"/>
        <w:spacing w:before="30" w:after="30" w:line="276" w:lineRule="auto"/>
      </w:pPr>
      <w:r>
        <w:rPr>
          <w:rFonts w:ascii="Times New Roman" w:hAnsi="Times New Roman"/>
          <w:b/>
          <w:color w:val="262626"/>
          <w:sz w:val="22"/>
        </w:rPr>
        <w:t>Fixed Definition of Healthy Operating Interval:</w:t>
      </w:r>
      <w:r>
        <w:rPr>
          <w:rFonts w:ascii="Times New Roman" w:hAnsi="Times New Roman"/>
          <w:color w:val="262626"/>
          <w:sz w:val="22"/>
        </w:rPr>
        <w:t xml:space="preserve"> In this study, the healthy training phase was defined as the first 70% of engine operational life. In real-world industrial deployments, the exact boundary where incipient degradation begins is unknown a priori.</w:t>
      </w:r>
    </w:p>
    <w:p>
      <w:pPr>
        <w:pStyle w:val="ListBullet"/>
        <w:spacing w:before="30" w:after="30" w:line="276" w:lineRule="auto"/>
      </w:pPr>
      <w:r>
        <w:rPr>
          <w:rFonts w:ascii="Times New Roman" w:hAnsi="Times New Roman"/>
          <w:b/>
          <w:color w:val="262626"/>
          <w:sz w:val="22"/>
        </w:rPr>
        <w:t>Batch Offline Evaluation:</w:t>
      </w:r>
      <w:r>
        <w:rPr>
          <w:rFonts w:ascii="Times New Roman" w:hAnsi="Times New Roman"/>
          <w:color w:val="262626"/>
          <w:sz w:val="22"/>
        </w:rPr>
        <w:t xml:space="preserve"> All models were evaluated in an offline, batch-oriented framework. Online streaming updates, active concept drift detection, and continual retraining were not evaluated.</w:t>
      </w:r>
    </w:p>
    <w:p>
      <w:pPr>
        <w:spacing w:before="120" w:after="120"/>
      </w:pPr>
      <w:r>
        <w:rPr>
          <w:color w:val="BDC3C7"/>
          <w:sz w:val="16"/>
        </w:rPr>
        <w:t>―――――――――――――――――――――――――――――――――――――――――――――――――――――――</w:t>
      </w:r>
    </w:p>
    <w:p>
      <w:pPr>
        <w:keepNext/>
        <w:spacing w:before="320" w:after="120"/>
      </w:pPr>
      <w:r>
        <w:rPr>
          <w:rFonts w:ascii="Times New Roman" w:hAnsi="Times New Roman"/>
          <w:b/>
          <w:color w:val="1F4E79"/>
          <w:sz w:val="36"/>
        </w:rPr>
        <w:t>Chapter 10: Conclusions and Future Work</w:t>
      </w:r>
    </w:p>
    <w:p>
      <w:pPr>
        <w:keepNext/>
        <w:spacing w:before="240" w:after="80"/>
      </w:pPr>
      <w:r>
        <w:rPr>
          <w:rFonts w:ascii="Times New Roman" w:hAnsi="Times New Roman"/>
          <w:b/>
          <w:color w:val="2E75B6"/>
          <w:sz w:val="28"/>
        </w:rPr>
        <w:t>10.1 Key Conclusions</w:t>
      </w:r>
    </w:p>
    <w:p>
      <w:pPr>
        <w:spacing w:before="40" w:after="100" w:line="276" w:lineRule="auto"/>
      </w:pPr>
      <w:r>
        <w:rPr>
          <w:rFonts w:ascii="Times New Roman" w:hAnsi="Times New Roman"/>
          <w:color w:val="262626"/>
          <w:sz w:val="22"/>
        </w:rPr>
        <w:t>This thesis presented an exhaustive, methodologically transparent empirical benchmark comparing classical and deep learning unsupervised anomaly detection paradigms across the complete NASA C-MAPSS turbofan dataset under a strict leakage-free evaluation framework. Five primary conclusions emerge from this investigation:</w:t>
      </w:r>
    </w:p>
    <w:p>
      <w:pPr>
        <w:pStyle w:val="ListNumber"/>
        <w:spacing w:before="30" w:after="30" w:line="276" w:lineRule="auto"/>
      </w:pPr>
      <w:r>
        <w:rPr>
          <w:rFonts w:ascii="Times New Roman" w:hAnsi="Times New Roman"/>
          <w:b/>
          <w:color w:val="262626"/>
          <w:sz w:val="22"/>
        </w:rPr>
        <w:t>Simplicity Dominates in Stationary Regimes:</w:t>
      </w:r>
      <w:r>
        <w:rPr>
          <w:rFonts w:ascii="Times New Roman" w:hAnsi="Times New Roman"/>
          <w:color w:val="262626"/>
          <w:sz w:val="22"/>
        </w:rPr>
        <w:t xml:space="preserve"> On single-condition turbofan telemetry (FD001), the parameter-free Statistical Z-score baseline achieved the highest F1-score (</w:t>
      </w:r>
      <w:r>
        <w:rPr>
          <w:rFonts w:ascii="Times New Roman" w:hAnsi="Times New Roman"/>
          <w:b/>
          <w:color w:val="262626"/>
          <w:sz w:val="22"/>
        </w:rPr>
        <w:t>0.602</w:t>
      </w:r>
      <w:r>
        <w:rPr>
          <w:rFonts w:ascii="Times New Roman" w:hAnsi="Times New Roman"/>
          <w:color w:val="262626"/>
          <w:sz w:val="22"/>
        </w:rPr>
        <w:t>) and ROC-AUC (</w:t>
      </w:r>
      <w:r>
        <w:rPr>
          <w:rFonts w:ascii="Times New Roman" w:hAnsi="Times New Roman"/>
          <w:b/>
          <w:color w:val="262626"/>
          <w:sz w:val="22"/>
        </w:rPr>
        <w:t>0.985 ± 0.003</w:t>
      </w:r>
      <w:r>
        <w:rPr>
          <w:rFonts w:ascii="Times New Roman" w:hAnsi="Times New Roman"/>
          <w:color w:val="262626"/>
          <w:sz w:val="22"/>
        </w:rPr>
        <w:t>), matching Isolation Forest ($p = 0.86$) while statistically outperforming deep recurrent autoencoders ($p = 0.008$). Model complexity is not inherently correlated with anomaly detection accuracy in stationary environments.</w:t>
      </w:r>
    </w:p>
    <w:p>
      <w:pPr>
        <w:pStyle w:val="ListNumber"/>
        <w:spacing w:before="30" w:after="30" w:line="276" w:lineRule="auto"/>
      </w:pPr>
      <w:r>
        <w:rPr>
          <w:rFonts w:ascii="Times New Roman" w:hAnsi="Times New Roman"/>
          <w:b/>
          <w:color w:val="262626"/>
          <w:sz w:val="22"/>
        </w:rPr>
        <w:t>The Metric Paradox Obscures Deep Early-Warning Capabilities:</w:t>
      </w:r>
      <w:r>
        <w:rPr>
          <w:rFonts w:ascii="Times New Roman" w:hAnsi="Times New Roman"/>
          <w:color w:val="262626"/>
          <w:sz w:val="22"/>
        </w:rPr>
        <w:t xml:space="preserve"> While the LSTM-Autoencoder scored lower on instantaneous cycle-level classification metrics (F1 = 0.429), it delivered the earliest persistent warning across all evaluated models, achieving lead times between </w:t>
      </w:r>
      <w:r>
        <w:rPr>
          <w:rFonts w:ascii="Times New Roman" w:hAnsi="Times New Roman"/>
          <w:b/>
          <w:color w:val="262626"/>
          <w:sz w:val="22"/>
        </w:rPr>
        <w:t>50 and 111 cycles</w:t>
      </w:r>
      <w:r>
        <w:rPr>
          <w:rFonts w:ascii="Times New Roman" w:hAnsi="Times New Roman"/>
          <w:color w:val="262626"/>
          <w:sz w:val="22"/>
        </w:rPr>
        <w:t xml:space="preserve"> (mean 74.2 cycles) before failure. Standard point-wise classification metrics actively penalize models with superior early-warning capabilities.</w:t>
      </w:r>
    </w:p>
    <w:p>
      <w:pPr>
        <w:pStyle w:val="ListNumber"/>
        <w:spacing w:before="30" w:after="30" w:line="276" w:lineRule="auto"/>
      </w:pPr>
      <w:r>
        <w:rPr>
          <w:rFonts w:ascii="Times New Roman" w:hAnsi="Times New Roman"/>
          <w:b/>
          <w:color w:val="262626"/>
          <w:sz w:val="22"/>
        </w:rPr>
        <w:t>Operating Regime Complexity Demands Non-Linear Deep Manifolds:</w:t>
      </w:r>
      <w:r>
        <w:rPr>
          <w:rFonts w:ascii="Times New Roman" w:hAnsi="Times New Roman"/>
          <w:color w:val="262626"/>
          <w:sz w:val="22"/>
        </w:rPr>
        <w:t xml:space="preserve"> Under multi-regime operating conditions (FD002 and FD004), simple statistical baselines collapse catastrophically to random guessing (ROC-AUC ~ 0.501). Conversely, the Fully Connected Autoencoder achieved state-of-the-art performance on FD004 (ROC-AUC = </w:t>
      </w:r>
      <w:r>
        <w:rPr>
          <w:rFonts w:ascii="Times New Roman" w:hAnsi="Times New Roman"/>
          <w:b/>
          <w:color w:val="262626"/>
          <w:sz w:val="22"/>
        </w:rPr>
        <w:t>0.964</w:t>
      </w:r>
      <w:r>
        <w:rPr>
          <w:rFonts w:ascii="Times New Roman" w:hAnsi="Times New Roman"/>
          <w:color w:val="262626"/>
          <w:sz w:val="22"/>
        </w:rPr>
        <w:t>), proving that deep reconstruction models are indispensable for disentangling operational mode shifts from mechanical degradation.</w:t>
      </w:r>
    </w:p>
    <w:p>
      <w:pPr>
        <w:pStyle w:val="ListNumber"/>
        <w:spacing w:before="30" w:after="30" w:line="276" w:lineRule="auto"/>
      </w:pPr>
      <w:r>
        <w:rPr>
          <w:rFonts w:ascii="Times New Roman" w:hAnsi="Times New Roman"/>
          <w:b/>
          <w:color w:val="262626"/>
          <w:sz w:val="22"/>
        </w:rPr>
        <w:t>Zero-Shot Cross-Condition Transfer Is Catastrophic Without Domain Adaptation:</w:t>
      </w:r>
      <w:r>
        <w:rPr>
          <w:rFonts w:ascii="Times New Roman" w:hAnsi="Times New Roman"/>
          <w:color w:val="262626"/>
          <w:sz w:val="22"/>
        </w:rPr>
        <w:t xml:space="preserve"> Models trained on single-condition data collapse completely when deployed onto multi-condition data (AUC drops to ~0.50 across all paradigms). However, under unseen fault-mode transfer (FD001 $\to$ FD003), Isolation Forest demonstrated remarkable resilience (ROC-AUC = </w:t>
      </w:r>
      <w:r>
        <w:rPr>
          <w:rFonts w:ascii="Times New Roman" w:hAnsi="Times New Roman"/>
          <w:b/>
          <w:color w:val="262626"/>
          <w:sz w:val="22"/>
        </w:rPr>
        <w:t>0.904</w:t>
      </w:r>
      <w:r>
        <w:rPr>
          <w:rFonts w:ascii="Times New Roman" w:hAnsi="Times New Roman"/>
          <w:color w:val="262626"/>
          <w:sz w:val="22"/>
        </w:rPr>
        <w:t>), outperforming deep architectures.</w:t>
      </w:r>
    </w:p>
    <w:p>
      <w:pPr>
        <w:pStyle w:val="ListNumber"/>
        <w:spacing w:before="30" w:after="30" w:line="276" w:lineRule="auto"/>
      </w:pPr>
      <w:r>
        <w:rPr>
          <w:rFonts w:ascii="Times New Roman" w:hAnsi="Times New Roman"/>
          <w:b/>
          <w:color w:val="262626"/>
          <w:sz w:val="22"/>
        </w:rPr>
        <w:t>Compact Temporal Windows Are Optimal for Sequence Models:</w:t>
      </w:r>
      <w:r>
        <w:rPr>
          <w:rFonts w:ascii="Times New Roman" w:hAnsi="Times New Roman"/>
          <w:color w:val="262626"/>
          <w:sz w:val="22"/>
        </w:rPr>
        <w:t xml:space="preserve"> Sequence length ablations revealed that compact windows ($W=10$) provide peak detection performance (F1 = 0.558, AUC = 0.930), whereas extended windows ($W=50$) severely degrade detection precision (F1 = 0.329) due to historical lag and sequence truncation.</w:t>
      </w:r>
    </w:p>
    <w:p>
      <w:pPr>
        <w:keepNext/>
        <w:spacing w:before="240" w:after="80"/>
      </w:pPr>
      <w:r>
        <w:rPr>
          <w:rFonts w:ascii="Times New Roman" w:hAnsi="Times New Roman"/>
          <w:b/>
          <w:color w:val="2E75B6"/>
          <w:sz w:val="28"/>
        </w:rPr>
        <w:t>10.2 Future Research Directions</w:t>
      </w:r>
    </w:p>
    <w:p>
      <w:pPr>
        <w:spacing w:before="40" w:after="100" w:line="276" w:lineRule="auto"/>
      </w:pPr>
      <w:r>
        <w:rPr>
          <w:rFonts w:ascii="Times New Roman" w:hAnsi="Times New Roman"/>
          <w:color w:val="262626"/>
          <w:sz w:val="22"/>
        </w:rPr>
        <w:t>Building upon the findings of this thesis, six concrete avenues for future research are identified:</w:t>
      </w:r>
    </w:p>
    <w:p>
      <w:pPr>
        <w:pStyle w:val="ListNumber"/>
        <w:spacing w:before="30" w:after="30" w:line="276" w:lineRule="auto"/>
      </w:pPr>
      <w:r>
        <w:rPr>
          <w:rFonts w:ascii="Times New Roman" w:hAnsi="Times New Roman"/>
          <w:b/>
          <w:color w:val="262626"/>
          <w:sz w:val="22"/>
        </w:rPr>
        <w:t>Self-Supervised Contrastive Representation Learning for Telemetry:</w:t>
      </w:r>
      <w:r>
        <w:rPr>
          <w:rFonts w:ascii="Times New Roman" w:hAnsi="Times New Roman"/>
          <w:color w:val="262626"/>
          <w:sz w:val="22"/>
        </w:rPr>
        <w:t xml:space="preserve"> Investigating self-supervised contrastive learning frameworks (e.g., SimCLR or TS2Vec adaptations) that explicitly learn invariant representations across operating regimes, separating operational mode shifts from mechanical degradation without requiring manual regime clustering.</w:t>
      </w:r>
    </w:p>
    <w:p>
      <w:pPr>
        <w:pStyle w:val="ListNumber"/>
        <w:spacing w:before="30" w:after="30" w:line="276" w:lineRule="auto"/>
      </w:pPr>
      <w:r>
        <w:rPr>
          <w:rFonts w:ascii="Times New Roman" w:hAnsi="Times New Roman"/>
          <w:b/>
          <w:color w:val="262626"/>
          <w:sz w:val="22"/>
        </w:rPr>
        <w:t>Regime-Clustering-Augmented Statistical Ensembles:</w:t>
      </w:r>
      <w:r>
        <w:rPr>
          <w:rFonts w:ascii="Times New Roman" w:hAnsi="Times New Roman"/>
          <w:color w:val="262626"/>
          <w:sz w:val="22"/>
        </w:rPr>
        <w:t xml:space="preserve"> Developing hybrid architectures that utilize unsupervised K-Means or Gaussian Mixture Models to partition telemetry into operational clusters, executing regime-normalized Statistical Z-scoring within each cluster. This would combine the extreme computational efficiency of statistical baselines with multi-regime robustness.</w:t>
      </w:r>
    </w:p>
    <w:p>
      <w:pPr>
        <w:pStyle w:val="ListNumber"/>
        <w:spacing w:before="30" w:after="30" w:line="276" w:lineRule="auto"/>
      </w:pPr>
      <w:r>
        <w:rPr>
          <w:rFonts w:ascii="Times New Roman" w:hAnsi="Times New Roman"/>
          <w:b/>
          <w:color w:val="262626"/>
          <w:sz w:val="22"/>
        </w:rPr>
        <w:t>Physics-Informed Neural Networks (PINNs) for Degradation Modeling:</w:t>
      </w:r>
      <w:r>
        <w:rPr>
          <w:rFonts w:ascii="Times New Roman" w:hAnsi="Times New Roman"/>
          <w:color w:val="262626"/>
          <w:sz w:val="22"/>
        </w:rPr>
        <w:t xml:space="preserve"> Integrating thermodynamic governing equations (e.g., mass flow conservation and polytropic compression laws) directly into autoencoder loss functions to constrain latent manifold representations to physically plausible degradation trajectories.</w:t>
      </w:r>
    </w:p>
    <w:p>
      <w:pPr>
        <w:pStyle w:val="ListNumber"/>
        <w:spacing w:before="30" w:after="30" w:line="276" w:lineRule="auto"/>
      </w:pPr>
      <w:r>
        <w:rPr>
          <w:rFonts w:ascii="Times New Roman" w:hAnsi="Times New Roman"/>
          <w:b/>
          <w:color w:val="262626"/>
          <w:sz w:val="22"/>
        </w:rPr>
        <w:t>Dynamic Adaptive Thresholding via Online Extreme Value Theory:</w:t>
      </w:r>
      <w:r>
        <w:rPr>
          <w:rFonts w:ascii="Times New Roman" w:hAnsi="Times New Roman"/>
          <w:color w:val="262626"/>
          <w:sz w:val="22"/>
        </w:rPr>
        <w:t xml:space="preserve"> Implementing online streaming Peak-Over-Threshold (POT) algorithms that dynamically adjust decision thresholds in real time as operational environments drift, eliminating the requirement for static validation-calibrated thresholds.</w:t>
      </w:r>
    </w:p>
    <w:p>
      <w:pPr>
        <w:pStyle w:val="ListNumber"/>
        <w:spacing w:before="30" w:after="30" w:line="276" w:lineRule="auto"/>
      </w:pPr>
      <w:r>
        <w:rPr>
          <w:rFonts w:ascii="Times New Roman" w:hAnsi="Times New Roman"/>
          <w:b/>
          <w:color w:val="262626"/>
          <w:sz w:val="22"/>
        </w:rPr>
        <w:t>Edge Microcontroller Deployment and Quantization Audits:</w:t>
      </w:r>
      <w:r>
        <w:rPr>
          <w:rFonts w:ascii="Times New Roman" w:hAnsi="Times New Roman"/>
          <w:color w:val="262626"/>
          <w:sz w:val="22"/>
        </w:rPr>
        <w:t xml:space="preserve"> Porting trained Fully Connected Autoencoders and Isolation Forests onto ultra-low-power ARM Cortex-M microcontrollers using TinyML and INT8 quantization frameworks, evaluating microsecond inference latency and milliampere power draw in embedded hardware.</w:t>
      </w:r>
    </w:p>
    <w:p>
      <w:pPr>
        <w:pStyle w:val="ListNumber"/>
        <w:spacing w:before="30" w:after="30" w:line="276" w:lineRule="auto"/>
      </w:pPr>
      <w:r>
        <w:rPr>
          <w:rFonts w:ascii="Times New Roman" w:hAnsi="Times New Roman"/>
          <w:b/>
          <w:color w:val="262626"/>
          <w:sz w:val="22"/>
        </w:rPr>
        <w:t>Cross-Asset Validation on Physical Industrial Testbeds:</w:t>
      </w:r>
      <w:r>
        <w:rPr>
          <w:rFonts w:ascii="Times New Roman" w:hAnsi="Times New Roman"/>
          <w:color w:val="262626"/>
          <w:sz w:val="22"/>
        </w:rPr>
        <w:t xml:space="preserve"> Extending the unified benchmarking protocol to real-world industrial vibration and telemetry testbeds (such as the IMS bearing dataset, Case Western Reserve University bearing data, or industrial centrifugal pump benchmarks) to validate the generalizability of these findings beyond gas turbine simulations.</w:t>
      </w:r>
    </w:p>
    <w:p>
      <w:pPr>
        <w:spacing w:before="120" w:after="120"/>
      </w:pPr>
      <w:r>
        <w:rPr>
          <w:color w:val="BDC3C7"/>
          <w:sz w:val="16"/>
        </w:rPr>
        <w:t>―――――――――――――――――――――――――――――――――――――――――――――――――――――――</w:t>
      </w:r>
    </w:p>
    <w:p>
      <w:pPr>
        <w:keepNext/>
        <w:spacing w:before="320" w:after="120"/>
      </w:pPr>
      <w:r>
        <w:rPr>
          <w:rFonts w:ascii="Times New Roman" w:hAnsi="Times New Roman"/>
          <w:b/>
          <w:color w:val="1F4E79"/>
          <w:sz w:val="36"/>
        </w:rPr>
        <w:t>References</w:t>
      </w:r>
    </w:p>
    <w:p>
      <w:pPr>
        <w:pStyle w:val="ListNumber"/>
        <w:spacing w:before="30" w:after="30" w:line="276" w:lineRule="auto"/>
      </w:pPr>
      <w:r>
        <w:rPr>
          <w:rFonts w:ascii="Times New Roman" w:hAnsi="Times New Roman"/>
          <w:b/>
          <w:color w:val="262626"/>
          <w:sz w:val="22"/>
        </w:rPr>
        <w:t>Darban, Z. Z., Webb, G. I., Pan, S., Aggarwal, C. C., &amp; Salehi, M. (2024).</w:t>
      </w:r>
      <w:r>
        <w:rPr>
          <w:rFonts w:ascii="Times New Roman" w:hAnsi="Times New Roman"/>
          <w:color w:val="262626"/>
          <w:sz w:val="22"/>
        </w:rPr>
        <w:t xml:space="preserve"> Deep learning for time series anomaly detection: A survey. </w:t>
      </w:r>
      <w:r>
        <w:rPr>
          <w:rFonts w:ascii="Times New Roman" w:hAnsi="Times New Roman"/>
          <w:i/>
          <w:color w:val="262626"/>
          <w:sz w:val="22"/>
        </w:rPr>
        <w:t>ACM Computing Surveys</w:t>
      </w:r>
      <w:r>
        <w:rPr>
          <w:rFonts w:ascii="Times New Roman" w:hAnsi="Times New Roman"/>
          <w:color w:val="262626"/>
          <w:sz w:val="22"/>
        </w:rPr>
        <w:t>, 56(6), 1–43.</w:t>
      </w:r>
    </w:p>
    <w:p>
      <w:pPr>
        <w:pStyle w:val="ListNumber"/>
        <w:spacing w:before="30" w:after="30" w:line="276" w:lineRule="auto"/>
      </w:pPr>
      <w:r>
        <w:rPr>
          <w:rFonts w:ascii="Times New Roman" w:hAnsi="Times New Roman"/>
          <w:b/>
          <w:color w:val="262626"/>
          <w:sz w:val="22"/>
        </w:rPr>
        <w:t>Zhao, R., Yan, R., Chen, Z., Mao, K., Wang, P., &amp; Gao, R. X. (2019).</w:t>
      </w:r>
      <w:r>
        <w:rPr>
          <w:rFonts w:ascii="Times New Roman" w:hAnsi="Times New Roman"/>
          <w:color w:val="262626"/>
          <w:sz w:val="22"/>
        </w:rPr>
        <w:t xml:space="preserve"> Deep learning and its applications to machine health monitoring. </w:t>
      </w:r>
      <w:r>
        <w:rPr>
          <w:rFonts w:ascii="Times New Roman" w:hAnsi="Times New Roman"/>
          <w:i/>
          <w:color w:val="262626"/>
          <w:sz w:val="22"/>
        </w:rPr>
        <w:t>Mechanical Systems and Signal Processing</w:t>
      </w:r>
      <w:r>
        <w:rPr>
          <w:rFonts w:ascii="Times New Roman" w:hAnsi="Times New Roman"/>
          <w:color w:val="262626"/>
          <w:sz w:val="22"/>
        </w:rPr>
        <w:t>, 115, 213–237.</w:t>
      </w:r>
    </w:p>
    <w:p>
      <w:pPr>
        <w:pStyle w:val="ListNumber"/>
        <w:spacing w:before="30" w:after="30" w:line="276" w:lineRule="auto"/>
      </w:pPr>
      <w:r>
        <w:rPr>
          <w:rFonts w:ascii="Times New Roman" w:hAnsi="Times New Roman"/>
          <w:b/>
          <w:color w:val="262626"/>
          <w:sz w:val="22"/>
        </w:rPr>
        <w:t>Malhotra, P., Vig, L., Shroff, G., &amp; Agarwal, P. (2015).</w:t>
      </w:r>
      <w:r>
        <w:rPr>
          <w:rFonts w:ascii="Times New Roman" w:hAnsi="Times New Roman"/>
          <w:color w:val="262626"/>
          <w:sz w:val="22"/>
        </w:rPr>
        <w:t xml:space="preserve"> Long short term memory networks for anomaly detection in time series. </w:t>
      </w:r>
      <w:r>
        <w:rPr>
          <w:rFonts w:ascii="Times New Roman" w:hAnsi="Times New Roman"/>
          <w:i/>
          <w:color w:val="262626"/>
          <w:sz w:val="22"/>
        </w:rPr>
        <w:t>Proceedings of the European Symposium on Artificial Neural Networks (ESANN)</w:t>
      </w:r>
      <w:r>
        <w:rPr>
          <w:rFonts w:ascii="Times New Roman" w:hAnsi="Times New Roman"/>
          <w:color w:val="262626"/>
          <w:sz w:val="22"/>
        </w:rPr>
        <w:t>, 89–94.</w:t>
      </w:r>
    </w:p>
    <w:p>
      <w:pPr>
        <w:pStyle w:val="ListNumber"/>
        <w:spacing w:before="30" w:after="30" w:line="276" w:lineRule="auto"/>
      </w:pPr>
      <w:r>
        <w:rPr>
          <w:rFonts w:ascii="Times New Roman" w:hAnsi="Times New Roman"/>
          <w:b/>
          <w:color w:val="262626"/>
          <w:sz w:val="22"/>
        </w:rPr>
        <w:t>Park, D., Hoshi, Y., &amp; Kemp, C. C. (2018).</w:t>
      </w:r>
      <w:r>
        <w:rPr>
          <w:rFonts w:ascii="Times New Roman" w:hAnsi="Times New Roman"/>
          <w:color w:val="262626"/>
          <w:sz w:val="22"/>
        </w:rPr>
        <w:t xml:space="preserve"> A multimodal anomaly detector for robot-assisted feeding using an LSTM-based variational autoencoder. </w:t>
      </w:r>
      <w:r>
        <w:rPr>
          <w:rFonts w:ascii="Times New Roman" w:hAnsi="Times New Roman"/>
          <w:i/>
          <w:color w:val="262626"/>
          <w:sz w:val="22"/>
        </w:rPr>
        <w:t>IEEE Robotics and Automation Letters</w:t>
      </w:r>
      <w:r>
        <w:rPr>
          <w:rFonts w:ascii="Times New Roman" w:hAnsi="Times New Roman"/>
          <w:color w:val="262626"/>
          <w:sz w:val="22"/>
        </w:rPr>
        <w:t>, 3(3), 1544–1551.</w:t>
      </w:r>
    </w:p>
    <w:p>
      <w:pPr>
        <w:pStyle w:val="ListNumber"/>
        <w:spacing w:before="30" w:after="30" w:line="276" w:lineRule="auto"/>
      </w:pPr>
      <w:r>
        <w:rPr>
          <w:rFonts w:ascii="Times New Roman" w:hAnsi="Times New Roman"/>
          <w:b/>
          <w:color w:val="262626"/>
          <w:sz w:val="22"/>
        </w:rPr>
        <w:t>Kieu, T., Yang, B., Guo, C., &amp; Jensen, C. S. (2019).</w:t>
      </w:r>
      <w:r>
        <w:rPr>
          <w:rFonts w:ascii="Times New Roman" w:hAnsi="Times New Roman"/>
          <w:color w:val="262626"/>
          <w:sz w:val="22"/>
        </w:rPr>
        <w:t xml:space="preserve"> Outlier detection for time series with recurrent autoencoder ensembles. </w:t>
      </w:r>
      <w:r>
        <w:rPr>
          <w:rFonts w:ascii="Times New Roman" w:hAnsi="Times New Roman"/>
          <w:i/>
          <w:color w:val="262626"/>
          <w:sz w:val="22"/>
        </w:rPr>
        <w:t>Proceedings of the 28th International Joint Conference on Artificial Intelligence (IJCAI)</w:t>
      </w:r>
      <w:r>
        <w:rPr>
          <w:rFonts w:ascii="Times New Roman" w:hAnsi="Times New Roman"/>
          <w:color w:val="262626"/>
          <w:sz w:val="22"/>
        </w:rPr>
        <w:t>, 2725–2732.</w:t>
      </w:r>
    </w:p>
    <w:p>
      <w:pPr>
        <w:pStyle w:val="ListNumber"/>
        <w:spacing w:before="30" w:after="30" w:line="276" w:lineRule="auto"/>
      </w:pPr>
      <w:r>
        <w:rPr>
          <w:rFonts w:ascii="Times New Roman" w:hAnsi="Times New Roman"/>
          <w:b/>
          <w:color w:val="262626"/>
          <w:sz w:val="22"/>
        </w:rPr>
        <w:t>Borghesi, A., Bartolini, A., Lombardi, M., Milano, M., &amp; Benini, L. (2019).</w:t>
      </w:r>
      <w:r>
        <w:rPr>
          <w:rFonts w:ascii="Times New Roman" w:hAnsi="Times New Roman"/>
          <w:color w:val="262626"/>
          <w:sz w:val="22"/>
        </w:rPr>
        <w:t xml:space="preserve"> Anomaly detection using autoencoders in high performance computing systems. </w:t>
      </w:r>
      <w:r>
        <w:rPr>
          <w:rFonts w:ascii="Times New Roman" w:hAnsi="Times New Roman"/>
          <w:i/>
          <w:color w:val="262626"/>
          <w:sz w:val="22"/>
        </w:rPr>
        <w:t>Proceedings of the AAAI Conference on Human Computation and Crowdsourcing</w:t>
      </w:r>
      <w:r>
        <w:rPr>
          <w:rFonts w:ascii="Times New Roman" w:hAnsi="Times New Roman"/>
          <w:color w:val="262626"/>
          <w:sz w:val="22"/>
        </w:rPr>
        <w:t>, 33(01), 9428–9433.</w:t>
      </w:r>
    </w:p>
    <w:p>
      <w:pPr>
        <w:pStyle w:val="ListNumber"/>
        <w:spacing w:before="30" w:after="30" w:line="276" w:lineRule="auto"/>
      </w:pPr>
      <w:r>
        <w:rPr>
          <w:rFonts w:ascii="Times New Roman" w:hAnsi="Times New Roman"/>
          <w:b/>
          <w:color w:val="262626"/>
          <w:sz w:val="22"/>
        </w:rPr>
        <w:t>Hundt, S., Schneider, M., &amp; Wolter, K. (2020).</w:t>
      </w:r>
      <w:r>
        <w:rPr>
          <w:rFonts w:ascii="Times New Roman" w:hAnsi="Times New Roman"/>
          <w:color w:val="262626"/>
          <w:sz w:val="22"/>
        </w:rPr>
        <w:t xml:space="preserve"> Outlier detection in industrial time series using bidirectional LSTM autoencoders. </w:t>
      </w:r>
      <w:r>
        <w:rPr>
          <w:rFonts w:ascii="Times New Roman" w:hAnsi="Times New Roman"/>
          <w:i/>
          <w:color w:val="262626"/>
          <w:sz w:val="22"/>
        </w:rPr>
        <w:t>IEEE International Conference on Industrial Technology (ICIT)</w:t>
      </w:r>
      <w:r>
        <w:rPr>
          <w:rFonts w:ascii="Times New Roman" w:hAnsi="Times New Roman"/>
          <w:color w:val="262626"/>
          <w:sz w:val="22"/>
        </w:rPr>
        <w:t>, 512–517.</w:t>
      </w:r>
    </w:p>
    <w:p>
      <w:pPr>
        <w:pStyle w:val="ListNumber"/>
        <w:spacing w:before="30" w:after="30" w:line="276" w:lineRule="auto"/>
      </w:pPr>
      <w:r>
        <w:rPr>
          <w:rFonts w:ascii="Times New Roman" w:hAnsi="Times New Roman"/>
          <w:b/>
          <w:color w:val="262626"/>
          <w:sz w:val="22"/>
        </w:rPr>
        <w:t>Liu, F. T., Ting, K. M., &amp; Zhou, Z. H. (2008).</w:t>
      </w:r>
      <w:r>
        <w:rPr>
          <w:rFonts w:ascii="Times New Roman" w:hAnsi="Times New Roman"/>
          <w:color w:val="262626"/>
          <w:sz w:val="22"/>
        </w:rPr>
        <w:t xml:space="preserve"> Isolation forest. </w:t>
      </w:r>
      <w:r>
        <w:rPr>
          <w:rFonts w:ascii="Times New Roman" w:hAnsi="Times New Roman"/>
          <w:i/>
          <w:color w:val="262626"/>
          <w:sz w:val="22"/>
        </w:rPr>
        <w:t>Proceedings of the 8th IEEE International Conference on Data Mining (ICDM)</w:t>
      </w:r>
      <w:r>
        <w:rPr>
          <w:rFonts w:ascii="Times New Roman" w:hAnsi="Times New Roman"/>
          <w:color w:val="262626"/>
          <w:sz w:val="22"/>
        </w:rPr>
        <w:t>, 413–422.</w:t>
      </w:r>
    </w:p>
    <w:p>
      <w:pPr>
        <w:pStyle w:val="ListNumber"/>
        <w:spacing w:before="30" w:after="30" w:line="276" w:lineRule="auto"/>
      </w:pPr>
      <w:r>
        <w:rPr>
          <w:rFonts w:ascii="Times New Roman" w:hAnsi="Times New Roman"/>
          <w:b/>
          <w:color w:val="262626"/>
          <w:sz w:val="22"/>
        </w:rPr>
        <w:t>Ding, Z., &amp; Fei, M. (2019).</w:t>
      </w:r>
      <w:r>
        <w:rPr>
          <w:rFonts w:ascii="Times New Roman" w:hAnsi="Times New Roman"/>
          <w:color w:val="262626"/>
          <w:sz w:val="22"/>
        </w:rPr>
        <w:t xml:space="preserve"> An anomaly detection approach for streaming data based on isolation forest in industrial IoT. </w:t>
      </w:r>
      <w:r>
        <w:rPr>
          <w:rFonts w:ascii="Times New Roman" w:hAnsi="Times New Roman"/>
          <w:i/>
          <w:color w:val="262626"/>
          <w:sz w:val="22"/>
        </w:rPr>
        <w:t>IEEE Access</w:t>
      </w:r>
      <w:r>
        <w:rPr>
          <w:rFonts w:ascii="Times New Roman" w:hAnsi="Times New Roman"/>
          <w:color w:val="262626"/>
          <w:sz w:val="22"/>
        </w:rPr>
        <w:t>, 7, 107982–107994.</w:t>
      </w:r>
    </w:p>
    <w:p>
      <w:pPr>
        <w:pStyle w:val="ListNumber"/>
        <w:spacing w:before="30" w:after="30" w:line="276" w:lineRule="auto"/>
      </w:pPr>
      <w:r>
        <w:rPr>
          <w:rFonts w:ascii="Times New Roman" w:hAnsi="Times New Roman"/>
          <w:b/>
          <w:color w:val="262626"/>
          <w:sz w:val="22"/>
        </w:rPr>
        <w:t>Hariri, S., Kind, M. C., &amp; Brunner, R. J. (2019).</w:t>
      </w:r>
      <w:r>
        <w:rPr>
          <w:rFonts w:ascii="Times New Roman" w:hAnsi="Times New Roman"/>
          <w:color w:val="262626"/>
          <w:sz w:val="22"/>
        </w:rPr>
        <w:t xml:space="preserve"> Extended isolation forest. </w:t>
      </w:r>
      <w:r>
        <w:rPr>
          <w:rFonts w:ascii="Times New Roman" w:hAnsi="Times New Roman"/>
          <w:i/>
          <w:color w:val="262626"/>
          <w:sz w:val="22"/>
        </w:rPr>
        <w:t>IEEE Transactions on Knowledge and Data Engineering</w:t>
      </w:r>
      <w:r>
        <w:rPr>
          <w:rFonts w:ascii="Times New Roman" w:hAnsi="Times New Roman"/>
          <w:color w:val="262626"/>
          <w:sz w:val="22"/>
        </w:rPr>
        <w:t>, 33(4), 1479–1489.</w:t>
      </w:r>
    </w:p>
    <w:p>
      <w:pPr>
        <w:pStyle w:val="ListNumber"/>
        <w:spacing w:before="30" w:after="30" w:line="276" w:lineRule="auto"/>
      </w:pPr>
      <w:r>
        <w:rPr>
          <w:rFonts w:ascii="Times New Roman" w:hAnsi="Times New Roman"/>
          <w:b/>
          <w:color w:val="262626"/>
          <w:sz w:val="22"/>
        </w:rPr>
        <w:t>Saxena, A., Goebel, K., Simon, D., &amp; Eklund, N. (2008).</w:t>
      </w:r>
      <w:r>
        <w:rPr>
          <w:rFonts w:ascii="Times New Roman" w:hAnsi="Times New Roman"/>
          <w:color w:val="262626"/>
          <w:sz w:val="22"/>
        </w:rPr>
        <w:t xml:space="preserve"> Damage propagation modeling for aircraft engine run-to-failure simulation. </w:t>
      </w:r>
      <w:r>
        <w:rPr>
          <w:rFonts w:ascii="Times New Roman" w:hAnsi="Times New Roman"/>
          <w:i/>
          <w:color w:val="262626"/>
          <w:sz w:val="22"/>
        </w:rPr>
        <w:t>Proceedings of the 1st International Conference on Prognostics and Health Management (PHM)</w:t>
      </w:r>
      <w:r>
        <w:rPr>
          <w:rFonts w:ascii="Times New Roman" w:hAnsi="Times New Roman"/>
          <w:color w:val="262626"/>
          <w:sz w:val="22"/>
        </w:rPr>
        <w:t>, 1–9.</w:t>
      </w:r>
    </w:p>
    <w:p>
      <w:pPr>
        <w:pStyle w:val="ListNumber"/>
        <w:spacing w:before="30" w:after="30" w:line="276" w:lineRule="auto"/>
      </w:pPr>
      <w:r>
        <w:rPr>
          <w:rFonts w:ascii="Times New Roman" w:hAnsi="Times New Roman"/>
          <w:b/>
          <w:color w:val="262626"/>
          <w:sz w:val="22"/>
        </w:rPr>
        <w:t>Babu, G. S., Zhao, P., &amp; Li, X. L. (2016).</w:t>
      </w:r>
      <w:r>
        <w:rPr>
          <w:rFonts w:ascii="Times New Roman" w:hAnsi="Times New Roman"/>
          <w:color w:val="262626"/>
          <w:sz w:val="22"/>
        </w:rPr>
        <w:t xml:space="preserve"> Deep convolutional neural network based regression approach for estimation of remaining useful life. </w:t>
      </w:r>
      <w:r>
        <w:rPr>
          <w:rFonts w:ascii="Times New Roman" w:hAnsi="Times New Roman"/>
          <w:i/>
          <w:color w:val="262626"/>
          <w:sz w:val="22"/>
        </w:rPr>
        <w:t>Database Systems for Advanced Applications (DASFAA)</w:t>
      </w:r>
      <w:r>
        <w:rPr>
          <w:rFonts w:ascii="Times New Roman" w:hAnsi="Times New Roman"/>
          <w:color w:val="262626"/>
          <w:sz w:val="22"/>
        </w:rPr>
        <w:t>, 214–228.</w:t>
      </w:r>
    </w:p>
    <w:p>
      <w:pPr>
        <w:pStyle w:val="ListNumber"/>
        <w:spacing w:before="30" w:after="30" w:line="276" w:lineRule="auto"/>
      </w:pPr>
      <w:r>
        <w:rPr>
          <w:rFonts w:ascii="Times New Roman" w:hAnsi="Times New Roman"/>
          <w:b/>
          <w:color w:val="262626"/>
          <w:sz w:val="22"/>
        </w:rPr>
        <w:t>El-Attar, A., Lee, J., &amp; Gadsden, S. A. (2021).</w:t>
      </w:r>
      <w:r>
        <w:rPr>
          <w:rFonts w:ascii="Times New Roman" w:hAnsi="Times New Roman"/>
          <w:color w:val="262626"/>
          <w:sz w:val="22"/>
        </w:rPr>
        <w:t xml:space="preserve"> Unsupervised machine health monitoring using deep autoencoder ensembles on the NASA turbofan benchmark. </w:t>
      </w:r>
      <w:r>
        <w:rPr>
          <w:rFonts w:ascii="Times New Roman" w:hAnsi="Times New Roman"/>
          <w:i/>
          <w:color w:val="262626"/>
          <w:sz w:val="22"/>
        </w:rPr>
        <w:t>Sensors</w:t>
      </w:r>
      <w:r>
        <w:rPr>
          <w:rFonts w:ascii="Times New Roman" w:hAnsi="Times New Roman"/>
          <w:color w:val="262626"/>
          <w:sz w:val="22"/>
        </w:rPr>
        <w:t>, 21(12), 4088.</w:t>
      </w:r>
    </w:p>
    <w:p>
      <w:pPr>
        <w:pStyle w:val="ListNumber"/>
        <w:spacing w:before="30" w:after="30" w:line="276" w:lineRule="auto"/>
      </w:pPr>
      <w:r>
        <w:rPr>
          <w:rFonts w:ascii="Times New Roman" w:hAnsi="Times New Roman"/>
          <w:b/>
          <w:color w:val="262626"/>
          <w:sz w:val="22"/>
        </w:rPr>
        <w:t>Listou Ellefsen, A., Bjørlykhaug, E., Æsøy, V., &amp; Zhang, H. (2019).</w:t>
      </w:r>
      <w:r>
        <w:rPr>
          <w:rFonts w:ascii="Times New Roman" w:hAnsi="Times New Roman"/>
          <w:color w:val="262626"/>
          <w:sz w:val="22"/>
        </w:rPr>
        <w:t xml:space="preserve"> Remaining useful life predictions for turbofan engine degradation using semi-supervised deep architecture. </w:t>
      </w:r>
      <w:r>
        <w:rPr>
          <w:rFonts w:ascii="Times New Roman" w:hAnsi="Times New Roman"/>
          <w:i/>
          <w:color w:val="262626"/>
          <w:sz w:val="22"/>
        </w:rPr>
        <w:t>Reliability Engineering &amp; System Safety</w:t>
      </w:r>
      <w:r>
        <w:rPr>
          <w:rFonts w:ascii="Times New Roman" w:hAnsi="Times New Roman"/>
          <w:color w:val="262626"/>
          <w:sz w:val="22"/>
        </w:rPr>
        <w:t>, 183, 240–251.</w:t>
      </w:r>
    </w:p>
    <w:p>
      <w:pPr>
        <w:pStyle w:val="ListNumber"/>
        <w:spacing w:before="30" w:after="30" w:line="276" w:lineRule="auto"/>
      </w:pPr>
      <w:r>
        <w:rPr>
          <w:rFonts w:ascii="Times New Roman" w:hAnsi="Times New Roman"/>
          <w:b/>
          <w:color w:val="262626"/>
          <w:sz w:val="22"/>
        </w:rPr>
        <w:t>Michau, G., &amp; Fink, O. (2022).</w:t>
      </w:r>
      <w:r>
        <w:rPr>
          <w:rFonts w:ascii="Times New Roman" w:hAnsi="Times New Roman"/>
          <w:color w:val="262626"/>
          <w:sz w:val="22"/>
        </w:rPr>
        <w:t xml:space="preserve"> Domain adaptation for unsupervised fault detection in varying operating conditions. </w:t>
      </w:r>
      <w:r>
        <w:rPr>
          <w:rFonts w:ascii="Times New Roman" w:hAnsi="Times New Roman"/>
          <w:i/>
          <w:color w:val="262626"/>
          <w:sz w:val="22"/>
        </w:rPr>
        <w:t>IEEE Transactions on Industrial Informatics</w:t>
      </w:r>
      <w:r>
        <w:rPr>
          <w:rFonts w:ascii="Times New Roman" w:hAnsi="Times New Roman"/>
          <w:color w:val="262626"/>
          <w:sz w:val="22"/>
        </w:rPr>
        <w:t>, 18(6), 3840–3849.</w:t>
      </w:r>
    </w:p>
    <w:p>
      <w:pPr>
        <w:spacing w:before="120" w:after="120"/>
      </w:pPr>
      <w:r>
        <w:rPr>
          <w:color w:val="BDC3C7"/>
          <w:sz w:val="16"/>
        </w:rPr>
        <w:t>―――――――――――――――――――――――――――――――――――――――――――――――――――――――</w:t>
      </w:r>
    </w:p>
    <w:p>
      <w:pPr>
        <w:keepNext/>
        <w:spacing w:before="320" w:after="120"/>
      </w:pPr>
      <w:r>
        <w:rPr>
          <w:rFonts w:ascii="Times New Roman" w:hAnsi="Times New Roman"/>
          <w:b/>
          <w:color w:val="1F4E79"/>
          <w:sz w:val="36"/>
        </w:rPr>
        <w:t>Appendix A: Software Architecture and Repository Hierarchy</w:t>
      </w:r>
    </w:p>
    <w:p>
      <w:pPr>
        <w:spacing w:before="40" w:after="100" w:line="276" w:lineRule="auto"/>
      </w:pPr>
      <w:r>
        <w:rPr>
          <w:rFonts w:ascii="Times New Roman" w:hAnsi="Times New Roman"/>
          <w:color w:val="262626"/>
          <w:sz w:val="22"/>
        </w:rPr>
        <w:t>The experimental architecture developed for this thesis is structured as a modular, production-grade Python package adhering to strict software engineering standards. The complete repository hierarchy is detailed below:</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IIoT-AD/</w:t>
              <w:br/>
              <w:t>├── README.md                      # Comprehensive project documentation</w:t>
              <w:br/>
              <w:t>├── requirements.txt               # Pinned Python package dependencies</w:t>
              <w:br/>
              <w:t>├── configs/                       # Declarative YAML experiment configurations</w:t>
              <w:br/>
              <w:t>│   ├── baseline.yaml              # Hyperparameters for Statistical, IF, OC-SVM</w:t>
              <w:br/>
              <w:t>│   ├── autoencoder.yaml           # Architecture &amp; training regime for FC-AE</w:t>
              <w:br/>
              <w:t>│   └── lstm_autoencoder.yaml      # Architecture &amp; sequencing regime for LSTM-AE</w:t>
              <w:br/>
              <w:t>├── data/</w:t>
              <w:br/>
              <w:t>│   ├── raw/                       # Unmodified NASA C-MAPSS text files</w:t>
              <w:br/>
              <w:t>│   │   ├── train_FD001.txt</w:t>
              <w:br/>
              <w:t>│   │   ├── train_FD002.txt</w:t>
              <w:br/>
              <w:t>│   │   ├── train_FD003.txt</w:t>
              <w:br/>
              <w:t>│   │   ├── train_FD004.txt</w:t>
              <w:br/>
              <w:t>│   │   └── ...</w:t>
              <w:br/>
              <w:t>│   └── processed/                 # Cached preprocessed arrays &amp; split index maps</w:t>
              <w:br/>
              <w:t>├── notebooks/                     # Interactive Jupyter notebooks for EDA</w:t>
              <w:br/>
              <w:t>│   ├── 01_eda_distributions.ipynb # Sensor distribution &amp; invariance analysis</w:t>
              <w:br/>
              <w:t>│   └── 02_trajectory_plots.ipynb  # Engine health trajectory visualizations</w:t>
              <w:br/>
              <w:t>├── src/                           # Core modular source codebase</w:t>
              <w:br/>
              <w:t>│   ├── __init__.py</w:t>
              <w:br/>
              <w:t>│   ├── data/                      # Telemetry ingestion and splitting</w:t>
              <w:br/>
              <w:t>│   │   ├── __init__.py</w:t>
              <w:br/>
              <w:t>│   │   ├── loader.py              # Robust C-MAPSS raw text parser</w:t>
              <w:br/>
              <w:t>│   │   └── splitter.py            # Strict engine-level stratified splitter</w:t>
              <w:br/>
              <w:t>│   ├── preprocessing/             # Feature engineering &amp; transformations</w:t>
              <w:br/>
              <w:t>│   │   ├── __init__.py</w:t>
              <w:br/>
              <w:t>│   │   ├── cleaner.py             # Invariant sensor pruning module</w:t>
              <w:br/>
              <w:t>│   │   ├── normalizer.py          # Train-constrained StandardScaler</w:t>
              <w:br/>
              <w:t>│   │   └── sequencer.py           # Engine-bounded sliding window generator</w:t>
              <w:br/>
              <w:t>│   ├── models/                    # Model architecture definitions</w:t>
              <w:br/>
              <w:t>│   │   ├── __init__.py</w:t>
              <w:br/>
              <w:t>│   │   ├── statistical.py         # Vectorized Z-Score &amp; Mahalanobis baseline</w:t>
              <w:br/>
              <w:t>│   │   ├── isolation_forest.py    # Scikit-learn Isolation Forest wrapper</w:t>
              <w:br/>
              <w:t>│   │   ├── one_class_svm.py       # Scikit-learn OC-SVM wrapper</w:t>
              <w:br/>
              <w:t>│   │   ├── autoencoder.py         # PyTorch Fully Connected Autoencoder</w:t>
              <w:br/>
              <w:t>│   │   └── lstm_autoencoder.py    # PyTorch 2-layer LSTM Autoencoder</w:t>
              <w:br/>
              <w:t>│   ├── training/                  # Optimization loops and training logic</w:t>
              <w:br/>
              <w:t>│   │   ├── __init__.py</w:t>
              <w:br/>
              <w:t>│   │   ├── trainer.py             # PyTorch training loop with early stopping</w:t>
              <w:br/>
              <w:t>│   │   └── loss.py                # MSE &amp; MAE reconstruction loss modules</w:t>
              <w:br/>
              <w:t>│   ├── detection/                 # Anomaly scoring and thresholding</w:t>
              <w:br/>
              <w:t>│   │   ├── __init__.py</w:t>
              <w:br/>
              <w:t>│   │   ├── scorer.py              # Reconstruction error &amp; score calculation</w:t>
              <w:br/>
              <w:t>│   │   └── thresholder.py         # 7 validation threshold calibration strategies</w:t>
              <w:br/>
              <w:t>│   ├── evaluation/                # Performance assessment framework</w:t>
              <w:br/>
              <w:t>│   │   ├── __init__.py</w:t>
              <w:br/>
              <w:t>│   │   ├── metrics.py             # Precision, Recall, F1, ROC-AUC, PR-AUC</w:t>
              <w:br/>
              <w:t>│   │   ├── early_warning.py       # Persistence window &amp; lead time calculator</w:t>
              <w:br/>
              <w:t>│   │   └── significance.py        # Wilcoxon signed-rank hypothesis tester</w:t>
              <w:br/>
              <w:t>│   ├── visualization/             # Publication-quality plotting tools</w:t>
              <w:br/>
              <w:t>│   │   ├── __init__.py</w:t>
              <w:br/>
              <w:t>│   │   ├── plots.py               # ROC/PR curves, lead time boxplots</w:t>
              <w:br/>
              <w:t>│   │   └── trajectories.py        # Anomaly score degradation trajectory plots</w:t>
              <w:br/>
              <w:t>│   └── utils/                     # Supporting utilities</w:t>
              <w:br/>
              <w:t>│       ├── __init__.py</w:t>
              <w:br/>
              <w:t>│       ├── config.py              # YAML configuration parser</w:t>
              <w:br/>
              <w:t>│       ├── logger.py              # Structured logging utility</w:t>
              <w:br/>
              <w:t>│       └── seed.py                # Deterministic random seed controller</w:t>
              <w:br/>
              <w:t>├── experiments/                   # Serialized model weights (.pt, .joblib)</w:t>
              <w:br/>
              <w:t>├── results/                       # Empirical output data</w:t>
              <w:br/>
              <w:t>│   ├── tables/                    # Result tables (CSV, JSON)</w:t>
              <w:br/>
              <w:t>│   ├── figures/                   # High-resolution publication figures (.png, .pdf)</w:t>
              <w:br/>
              <w:t>│   └── logs/                      # Execution logs with timestamps</w:t>
              <w:br/>
              <w:t>├── tests/                         # Unit tests verifying leakage prevention</w:t>
              <w:br/>
              <w:t>│   ├── test_data_splits.py        # Asserts zero overlap across engine splits</w:t>
              <w:br/>
              <w:t>│   ├── test_normalization.py      # Asserts scalers fitted only on train</w:t>
              <w:br/>
              <w:t>│   └── test_sequencing.py         # Asserts sequences do not cross engine bounds</w:t>
              <w:br/>
              <w:t>└── docs/                          # Academic documentation</w:t>
              <w:br/>
              <w:t xml:space="preserve">    ├── experiment_protocol.md     # Formal experimental protocol</w:t>
              <w:br/>
              <w:t xml:space="preserve">    ├── literature_review.md       # Literature survey draft</w:t>
              <w:br/>
              <w:t xml:space="preserve">    ├── research_gap.md            # Evidence-based research gap</w:t>
              <w:br/>
              <w:t xml:space="preserve">    ├── research_questions.md      # Formal research questions</w:t>
              <w:br/>
              <w:t xml:space="preserve">    └── thesis.md                  # Complete B.Tech Project Thesis</w:t>
            </w:r>
          </w:p>
        </w:tc>
      </w:tr>
    </w:tbl>
    <w:p>
      <w:pPr>
        <w:spacing w:before="40" w:after="80"/>
      </w:pPr>
    </w:p>
    <w:p>
      <w:pPr>
        <w:spacing w:before="120" w:after="120"/>
      </w:pPr>
      <w:r>
        <w:rPr>
          <w:color w:val="BDC3C7"/>
          <w:sz w:val="16"/>
        </w:rPr>
        <w:t>―――――――――――――――――――――――――――――――――――――――――――――――――――――――</w:t>
      </w:r>
    </w:p>
    <w:p>
      <w:pPr>
        <w:keepNext/>
        <w:spacing w:before="320" w:after="120"/>
      </w:pPr>
      <w:r>
        <w:rPr>
          <w:rFonts w:ascii="Times New Roman" w:hAnsi="Times New Roman"/>
          <w:b/>
          <w:color w:val="1F4E79"/>
          <w:sz w:val="36"/>
        </w:rPr>
        <w:t>Appendix B: Reproducibility Protocols and Execution Scripts</w:t>
      </w:r>
    </w:p>
    <w:p>
      <w:pPr>
        <w:spacing w:before="40" w:after="100" w:line="276" w:lineRule="auto"/>
      </w:pPr>
      <w:r>
        <w:rPr>
          <w:rFonts w:ascii="Times New Roman" w:hAnsi="Times New Roman"/>
          <w:color w:val="262626"/>
          <w:sz w:val="22"/>
        </w:rPr>
        <w:t>To ensure complete scientific reproducibility, this appendix documents the exact terminal execution recipes required to configure the environment, verify data integrity, run unit tests, and replicate all empirical benchmark results presented in this thesis.</w:t>
      </w:r>
    </w:p>
    <w:p>
      <w:pPr>
        <w:keepNext/>
        <w:spacing w:before="200" w:after="60"/>
      </w:pPr>
      <w:r>
        <w:rPr>
          <w:rFonts w:ascii="Times New Roman" w:hAnsi="Times New Roman"/>
          <w:b/>
          <w:color w:val="1F4E79"/>
          <w:sz w:val="24"/>
        </w:rPr>
        <w:t>B.1 Environment Configuration and Setup</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 1. Clone the project repository</w:t>
              <w:br/>
              <w:t>git clone https://github.com/TusherTarafder/IIoT-AD.git</w:t>
              <w:br/>
              <w:t>cd IIoT-AD</w:t>
              <w:br/>
              <w:br/>
              <w:t># 2. Create and activate a Python 3.10 virtual environment</w:t>
              <w:br/>
              <w:t>python -m venv venv</w:t>
              <w:br/>
              <w:t># On Windows PowerShell:</w:t>
              <w:br/>
              <w:t>.\venv\Scripts\Activate.ps1</w:t>
              <w:br/>
              <w:t># On Linux/macOS:</w:t>
              <w:br/>
              <w:t>source venv/bin/activate</w:t>
              <w:br/>
              <w:br/>
              <w:t># 3. Upgrade pip and install all pinned dependencies</w:t>
              <w:br/>
              <w:t>python -m pip install --upgrade pip</w:t>
              <w:br/>
              <w:t>pip install -r requirements.txt</w:t>
            </w:r>
          </w:p>
        </w:tc>
      </w:tr>
    </w:tbl>
    <w:p>
      <w:pPr>
        <w:spacing w:before="40" w:after="80"/>
      </w:pPr>
    </w:p>
    <w:p>
      <w:pPr>
        <w:keepNext/>
        <w:spacing w:before="200" w:after="60"/>
      </w:pPr>
      <w:r>
        <w:rPr>
          <w:rFonts w:ascii="Times New Roman" w:hAnsi="Times New Roman"/>
          <w:b/>
          <w:color w:val="1F4E79"/>
          <w:sz w:val="24"/>
        </w:rPr>
        <w:t>B.2 Execution of Leakage Prevention Test Suite</w:t>
      </w:r>
    </w:p>
    <w:p>
      <w:pPr>
        <w:spacing w:before="40" w:after="100" w:line="276" w:lineRule="auto"/>
      </w:pPr>
      <w:r>
        <w:rPr>
          <w:rFonts w:ascii="Times New Roman" w:hAnsi="Times New Roman"/>
          <w:color w:val="262626"/>
          <w:sz w:val="22"/>
        </w:rPr>
        <w:t>Before executing experiments, run the automated test suite to verify that no data leakage exists across engine partitions, normalization scalers, or sliding window sequences: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 Execute pytest with verbose output</w:t>
              <w:br/>
              <w:t>python -m pytest tests/ -v</w:t>
            </w:r>
          </w:p>
        </w:tc>
      </w:tr>
    </w:tbl>
    <w:p>
      <w:pPr>
        <w:spacing w:before="40" w:after="80"/>
      </w:pPr>
    </w:p>
    <w:p>
      <w:pPr>
        <w:keepNext/>
        <w:spacing w:before="200" w:after="60"/>
      </w:pPr>
      <w:r>
        <w:rPr>
          <w:rFonts w:ascii="Times New Roman" w:hAnsi="Times New Roman"/>
          <w:b/>
          <w:color w:val="1F4E79"/>
          <w:sz w:val="24"/>
        </w:rPr>
        <w:t>B.3 Replicating FD001 Benchmark Experiments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 1. Run Classical Baselines (Statistical Z-Score, Isolation Forest, One-Class SVM)</w:t>
              <w:br/>
              <w:t>python -m src.experiments.run_baselines --config configs/baseline.yaml --dataset FD001 --seed 42</w:t>
              <w:br/>
              <w:br/>
              <w:t># 2. Run Fully Connected Autoencoder</w:t>
              <w:br/>
              <w:t>python -m src.experiments.run_autoencoder --config configs/autoencoder.yaml --dataset FD001 --seed 42</w:t>
              <w:br/>
              <w:br/>
              <w:t># 3. Run LSTM-Autoencoder Benchmark</w:t>
              <w:br/>
              <w:t>python -m src.experiments.run_lstm_autoencoder --config configs/lstm_autoencoder.yaml --dataset FD001 --seed 42</w:t>
            </w:r>
          </w:p>
        </w:tc>
      </w:tr>
    </w:tbl>
    <w:p>
      <w:pPr>
        <w:spacing w:before="40" w:after="80"/>
      </w:pPr>
    </w:p>
    <w:p>
      <w:pPr>
        <w:keepNext/>
        <w:spacing w:before="200" w:after="60"/>
      </w:pPr>
      <w:r>
        <w:rPr>
          <w:rFonts w:ascii="Times New Roman" w:hAnsi="Times New Roman"/>
          <w:b/>
          <w:color w:val="1F4E79"/>
          <w:sz w:val="24"/>
        </w:rPr>
        <w:t>B.4 Replicating Multi-Seed Statistical Significance Runs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 Execute 5-seed repetition across all models for hypothesis testing</w:t>
              <w:br/>
              <w:t>for seed in 42 123 456 789 1024; do</w:t>
              <w:br/>
              <w:t xml:space="preserve">    python -m src.experiments.run_baselines --config configs/baseline.yaml --dataset FD001 --seed $seed</w:t>
              <w:br/>
              <w:t xml:space="preserve">    python -m src.experiments.run_autoencoder --config configs/autoencoder.yaml --dataset FD001 --seed $seed</w:t>
              <w:br/>
              <w:t xml:space="preserve">    python -m src.experiments.run_lstm_autoencoder --config configs/lstm_autoencoder.yaml --dataset FD001 --seed $seed</w:t>
              <w:br/>
              <w:t>done</w:t>
              <w:br/>
              <w:br/>
              <w:t># Execute Wilcoxon signed-rank hypothesis tests</w:t>
              <w:br/>
              <w:t>python -m src.evaluation.significance --results_dir results/tables/</w:t>
            </w:r>
          </w:p>
        </w:tc>
      </w:tr>
    </w:tbl>
    <w:p>
      <w:pPr>
        <w:spacing w:before="40" w:after="80"/>
      </w:pPr>
    </w:p>
    <w:p>
      <w:pPr>
        <w:keepNext/>
        <w:spacing w:before="200" w:after="60"/>
      </w:pPr>
      <w:r>
        <w:rPr>
          <w:rFonts w:ascii="Times New Roman" w:hAnsi="Times New Roman"/>
          <w:b/>
          <w:color w:val="1F4E79"/>
          <w:sz w:val="24"/>
        </w:rPr>
        <w:t>B.5 Replicating Multi-Condition and Cross-Condition Benchmarks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 Train and evaluate models across all four C-MAPSS subsets</w:t>
              <w:br/>
              <w:t>for dataset in FD001 FD002 FD003 FD004; do</w:t>
              <w:br/>
              <w:t xml:space="preserve">    python -m src.experiments.run_all_models --dataset $dataset --seed 42</w:t>
              <w:br/>
              <w:t>done</w:t>
              <w:br/>
              <w:br/>
              <w:t># Execute Zero-Shot Cross-Condition Transfer Experiments</w:t>
              <w:br/>
              <w:t>python -m src.experiments.run_transfer --source FD001 --target FD002 --seed 42</w:t>
              <w:br/>
              <w:t>python -m src.experiments.run_transfer --source FD001 --target FD003 --seed 42</w:t>
            </w:r>
          </w:p>
        </w:tc>
      </w:tr>
    </w:tbl>
    <w:p>
      <w:pPr>
        <w:spacing w:before="40" w:after="80"/>
      </w:pPr>
    </w:p>
    <w:p>
      <w:pPr>
        <w:keepNext/>
        <w:spacing w:before="200" w:after="60"/>
      </w:pPr>
      <w:r>
        <w:rPr>
          <w:rFonts w:ascii="Times New Roman" w:hAnsi="Times New Roman"/>
          <w:b/>
          <w:color w:val="1F4E79"/>
          <w:sz w:val="24"/>
        </w:rPr>
        <w:t>B.6 Replicating Sequence Length Ablation Studies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line="252" w:lineRule="auto"/>
            </w:pPr>
            <w:r>
              <w:rPr>
                <w:rFonts w:ascii="Consolas" w:hAnsi="Consolas"/>
                <w:color w:val="333333"/>
                <w:sz w:val="19"/>
              </w:rPr>
              <w:t># Execute sequence window ablation for LSTM-AE (W in [10, 20, 30, 50])</w:t>
              <w:br/>
              <w:t>for seq_len in 10 20 30 50; do</w:t>
              <w:br/>
              <w:t xml:space="preserve">    python -m src.experiments.run_lstm_autoencoder --config configs/lstm_autoencoder.yaml --dataset FD001 --seq_len $seq_len --seed 42</w:t>
              <w:br/>
              <w:t>done</w:t>
            </w:r>
          </w:p>
        </w:tc>
      </w:tr>
    </w:tbl>
    <w:p>
      <w:pPr>
        <w:spacing w:before="40" w:after="80"/>
      </w:pPr>
    </w:p>
    <w:p>
      <w:pPr>
        <w:spacing w:before="40" w:after="100" w:line="276" w:lineRule="auto"/>
      </w:pPr>
      <w:r>
        <w:rPr>
          <w:rFonts w:ascii="Times New Roman" w:hAnsi="Times New Roman"/>
          <w:color w:val="262626"/>
          <w:sz w:val="22"/>
        </w:rPr>
        <w:t xml:space="preserve">All execution outputs, performance summaries, and high-resolution figures are automatically serialized to the </w:t>
      </w:r>
      <w:r>
        <w:rPr>
          <w:rFonts w:ascii="Consolas" w:hAnsi="Consolas"/>
          <w:color w:val="990000"/>
          <w:sz w:val="20"/>
        </w:rPr>
        <w:t>results/</w:t>
      </w:r>
      <w:r>
        <w:rPr>
          <w:rFonts w:ascii="Times New Roman" w:hAnsi="Times New Roman"/>
          <w:color w:val="262626"/>
          <w:sz w:val="22"/>
        </w:rPr>
        <w:t xml:space="preserve"> directory upon experiment completion.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