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/>
          <w:b/>
          <w:color w:val="1F4E79"/>
          <w:sz w:val="44"/>
        </w:rPr>
        <w:t>INDEPENDENT RESEARCH PUBLICATION BLUEPRINT</w:t>
      </w:r>
    </w:p>
    <w:p>
      <w:pPr>
        <w:spacing w:before="0" w:after="280"/>
        <w:jc w:val="center"/>
      </w:pPr>
      <w:r>
        <w:rPr>
          <w:rFonts w:ascii="Times New Roman" w:hAnsi="Times New Roman"/>
          <w:color w:val="2E75B6"/>
          <w:sz w:val="25"/>
        </w:rPr>
        <w:t>A Complete Step-by-Step Strategic Guide for Undergraduate Researchers &amp; Independent Authors from Bangladesh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E7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Author / Candidate:</w:t>
            </w:r>
          </w:p>
        </w:tc>
        <w:tc>
          <w:tcPr>
            <w:tcW w:type="dxa" w:w="6192"/>
            <w:shd w:fill="F2F5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62626"/>
                <w:sz w:val="19"/>
              </w:rPr>
              <w:t>Tusher Tarafder (Undergraduate Researcher, Bangladesh)</w:t>
            </w:r>
          </w:p>
        </w:tc>
      </w:tr>
      <w:tr>
        <w:tc>
          <w:tcPr>
            <w:tcW w:type="dxa" w:w="3168"/>
            <w:shd w:fill="1F4E7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Research Domain:</w:t>
            </w:r>
          </w:p>
        </w:tc>
        <w:tc>
          <w:tcPr>
            <w:tcW w:type="dxa" w:w="6192"/>
            <w:shd w:fill="F2F5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62626"/>
                <w:sz w:val="19"/>
              </w:rPr>
              <w:t>Industrial IoT, Anomaly Detection, Machine Learning &amp; Predictive Maintenance</w:t>
            </w:r>
          </w:p>
        </w:tc>
      </w:tr>
      <w:tr>
        <w:tc>
          <w:tcPr>
            <w:tcW w:type="dxa" w:w="3168"/>
            <w:shd w:fill="1F4E7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Target Paper:</w:t>
            </w:r>
          </w:p>
        </w:tc>
        <w:tc>
          <w:tcPr>
            <w:tcW w:type="dxa" w:w="6192"/>
            <w:shd w:fill="F2F5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62626"/>
                <w:sz w:val="19"/>
              </w:rPr>
              <w:t>Unsupervised Anomaly Detection for Predictive Maintenance in Industrial IoT</w:t>
            </w:r>
          </w:p>
        </w:tc>
      </w:tr>
      <w:tr>
        <w:tc>
          <w:tcPr>
            <w:tcW w:type="dxa" w:w="3168"/>
            <w:shd w:fill="1F4E7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Key Advantage:</w:t>
            </w:r>
          </w:p>
        </w:tc>
        <w:tc>
          <w:tcPr>
            <w:tcW w:type="dxa" w:w="6192"/>
            <w:shd w:fill="F2F5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62626"/>
                <w:sz w:val="19"/>
              </w:rPr>
              <w:t>Rigorous empirical benchmark (162 files, 5 seeds, 7 RQs, 20/20 verified tests)</w:t>
            </w:r>
          </w:p>
        </w:tc>
      </w:tr>
    </w:tbl>
    <w:p>
      <w:pPr>
        <w:spacing w:before="80" w:after="160"/>
      </w:pPr>
    </w:p>
    <w:p>
      <w:pPr>
        <w:spacing w:line="276" w:lineRule="auto" w:after="160"/>
      </w:pPr>
      <w:r>
        <w:rPr>
          <w:rFonts w:ascii="Times New Roman" w:hAnsi="Times New Roman"/>
          <w:sz w:val="22"/>
        </w:rPr>
        <w:t>Publishing high-impact machine learning research independently from Bangladesh is entirely achievable when approached systematically. Your project has an extraordinary advantage: unlike shallow student projects, you have conducted a methodologically rigorous empirical study on NASA C-MAPSS data with zero data leakage, multi-seed statistical significance testing, sequence ablation, and negative result reporting. This blueprint provides the exact roadmap to take this work from your desktop to an internationally indexed publication (Scopus/Web of Science/IEEE).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1F4E79"/>
          <w:sz w:val="30"/>
        </w:rPr>
        <w:t>1. THE $0 PUBLICATION REALITY (Dispelling the Fee Myth)</w:t>
      </w:r>
    </w:p>
    <w:p>
      <w:pPr>
        <w:spacing w:line="276" w:lineRule="auto" w:after="120"/>
      </w:pPr>
      <w:r>
        <w:rPr>
          <w:rFonts w:ascii="Times New Roman" w:hAnsi="Times New Roman"/>
          <w:sz w:val="22"/>
        </w:rPr>
        <w:t>Many students from Bangladesh mistakenly believe that publishing in top journals costs $1,500 to $3,000 in Article Processing Charges (APC). This is completely false. You have two 100% free paths: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Path A: The Traditional Subscription Model (100% Free): </w:t>
      </w:r>
      <w:r>
        <w:rPr>
          <w:rFonts w:ascii="Times New Roman" w:hAnsi="Times New Roman"/>
          <w:color w:val="262626"/>
          <w:sz w:val="22"/>
        </w:rPr>
        <w:t>Almost all premier journals (Elsevier, Springer, Wiley, IEEE Transactions) operate under a 'Hybrid' model. When your paper is accepted, you simply select 'Subscription / Traditional Publishing'. The publisher charges libraries to read, and you pay exactly $0.00.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Path B: Developing Country Fee Waivers (Research4Life): </w:t>
      </w:r>
      <w:r>
        <w:rPr>
          <w:rFonts w:ascii="Times New Roman" w:hAnsi="Times New Roman"/>
          <w:color w:val="262626"/>
          <w:sz w:val="22"/>
        </w:rPr>
        <w:t>Bangladesh is classified by the United Nations as a developing/least-developed economy. Major Open Access publishers (Springer Nature, PLoS, Elsevier, BioMed Central) provide automatic or requested 50% to 100% APC waivers for corresponding authors based in Bangladesh.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Path C: Reputable IEEE Conferences with Student Registration: </w:t>
      </w:r>
      <w:r>
        <w:rPr>
          <w:rFonts w:ascii="Times New Roman" w:hAnsi="Times New Roman"/>
          <w:color w:val="262626"/>
          <w:sz w:val="22"/>
        </w:rPr>
        <w:t>Local IEEE Bangladesh Section (IEEE BDS) conferences offer heavily subsidized student registration fees (typically 3,000 to 5,000 BDT) compared to international rates.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8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 xml:space="preserve">💡 Golden Rule for Students: </w:t>
            </w:r>
            <w:r>
              <w:rPr>
                <w:rFonts w:ascii="Times New Roman" w:hAnsi="Times New Roman"/>
                <w:color w:val="262626"/>
                <w:sz w:val="21"/>
              </w:rPr>
              <w:t>Never pay an unknown online journal that promises publication within 3 days for a $50-$200 fee. These are predatory journals that carry zero academic value. Always choose Scopus/Web of Science indexed venues.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rFonts w:ascii="Times New Roman" w:hAnsi="Times New Roman"/>
          <w:b/>
          <w:color w:val="1F4E79"/>
          <w:sz w:val="30"/>
        </w:rPr>
        <w:t>2. ESTABLISHING YOUR ACADEMIC IDENTITY (Pre-Submission Checklist)</w:t>
      </w:r>
    </w:p>
    <w:p>
      <w:pPr>
        <w:spacing w:line="276" w:lineRule="auto" w:after="120"/>
      </w:pPr>
      <w:r>
        <w:rPr>
          <w:rFonts w:ascii="Times New Roman" w:hAnsi="Times New Roman"/>
          <w:sz w:val="22"/>
        </w:rPr>
        <w:t>Before submitting anywhere, create these three permanent academic profiles: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1. ORCID iD (Open Researcher and Contributor ID): </w:t>
      </w:r>
      <w:r>
        <w:rPr>
          <w:rFonts w:ascii="Times New Roman" w:hAnsi="Times New Roman"/>
          <w:color w:val="262626"/>
          <w:sz w:val="22"/>
        </w:rPr>
        <w:t>Register for free at https://orcid.org. This provides your unique 16-digit identifier (e.g., 0000-0002-XXXX-XXXX). It connects all your future papers and prevents author ambiguity.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2. Google Scholar Profile: </w:t>
      </w:r>
      <w:r>
        <w:rPr>
          <w:rFonts w:ascii="Times New Roman" w:hAnsi="Times New Roman"/>
          <w:color w:val="262626"/>
          <w:sz w:val="22"/>
        </w:rPr>
        <w:t>Create your profile using an institutional or personal email at https://scholar.google.com. This tracks your future citations and h-index.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3. ResearchGate Account: </w:t>
      </w:r>
      <w:r>
        <w:rPr>
          <w:rFonts w:ascii="Times New Roman" w:hAnsi="Times New Roman"/>
          <w:color w:val="262626"/>
          <w:sz w:val="22"/>
        </w:rPr>
        <w:t>Register at https://www.researchgate.net to connect with international predictive maintenance researchers and share preprints.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1F4E79"/>
          <w:sz w:val="30"/>
        </w:rPr>
        <w:t>3. PROTECTING YOUR DISCOVERY VIA PREPRINTS (TechRxiv / arXiv)</w:t>
      </w:r>
    </w:p>
    <w:p>
      <w:pPr>
        <w:spacing w:line="276" w:lineRule="auto" w:after="120"/>
      </w:pPr>
      <w:r>
        <w:rPr>
          <w:rFonts w:ascii="Times New Roman" w:hAnsi="Times New Roman"/>
          <w:sz w:val="22"/>
        </w:rPr>
        <w:t>As an independent student researcher, your biggest concern might be idea theft or someone publishing a similar paper while your manuscript is under review. The solution is uploading a preprint: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Upload to TechRxiv (IEEE's Preprint Server): </w:t>
      </w:r>
      <w:r>
        <w:rPr>
          <w:rFonts w:ascii="Times New Roman" w:hAnsi="Times New Roman"/>
          <w:color w:val="262626"/>
          <w:sz w:val="22"/>
        </w:rPr>
        <w:t>TechRxiv (https://www.techrxiv.org) is free, moderated, and assigns an official citable DOI within 48 hours. IEEE, Elsevier, and Springer explicitly permit submitting papers that have been posted to TechRxiv or arXiv.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Immediate Citation Benefit: </w:t>
      </w:r>
      <w:r>
        <w:rPr>
          <w:rFonts w:ascii="Times New Roman" w:hAnsi="Times New Roman"/>
          <w:color w:val="262626"/>
          <w:sz w:val="22"/>
        </w:rPr>
        <w:t>Once on TechRxiv, you can cite your paper on your CV, LinkedIn, and MS/PhD scholarship applications immediately—even while formal peer review is ongoing.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1F4E79"/>
          <w:sz w:val="30"/>
        </w:rPr>
        <w:t>4. TARGET VENUES: WHERE TO SUBMIT THIS PAPER</w:t>
      </w:r>
    </w:p>
    <w:p>
      <w:pPr>
        <w:spacing w:line="276" w:lineRule="auto" w:after="120"/>
      </w:pPr>
      <w:r>
        <w:rPr>
          <w:rFonts w:ascii="Times New Roman" w:hAnsi="Times New Roman"/>
          <w:sz w:val="22"/>
        </w:rPr>
        <w:t>Based on the empirical depth of your project (5 models, 4 C-MAPSS subsets, leakage-free pipeline, early warning paradox), here are the recommended publication options ranked by trajectory: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1872"/>
        <w:gridCol w:w="2160"/>
        <w:gridCol w:w="2160"/>
      </w:tblGrid>
      <w:tr>
        <w:tc>
          <w:tcPr>
            <w:tcW w:type="dxa" w:w="23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Target Venue</w:t>
            </w:r>
          </w:p>
        </w:tc>
        <w:tc>
          <w:tcPr>
            <w:tcW w:type="dxa" w:w="23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Index / Tier</w:t>
            </w:r>
          </w:p>
        </w:tc>
        <w:tc>
          <w:tcPr>
            <w:tcW w:type="dxa" w:w="23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Review Speed</w:t>
            </w:r>
          </w:p>
        </w:tc>
        <w:tc>
          <w:tcPr>
            <w:tcW w:type="dxa" w:w="23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19"/>
              </w:rPr>
              <w:t>Cost / APC</w:t>
            </w:r>
          </w:p>
        </w:tc>
      </w:tr>
      <w:tr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Discover Applied Sciences (Springer)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Scopus / ESCI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4–6 weeks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color w:val="27AE60"/>
                <w:sz w:val="18"/>
              </w:rPr>
              <w:t>$0 (Subscription) or Waiver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Internet of Things (Elsevier)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Scopus / SCIE Q1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8–12 weeks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color w:val="27AE60"/>
                <w:sz w:val="18"/>
              </w:rPr>
              <w:t>$0 (Subscription)</w:t>
            </w:r>
          </w:p>
        </w:tc>
      </w:tr>
      <w:tr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Journal of Industrial Information Integration (Elsevier)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Scopus / SCIE Q1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8–12 weeks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color w:val="27AE60"/>
                <w:sz w:val="18"/>
              </w:rPr>
              <w:t>$0 (Subscription)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IEEE Region 10 / Bangladesh Section Conferences (e.g. ICECE, TENSYMP, WIECON-ECE)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Scopus / IEEE Xplore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6–8 weeks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color w:val="27AE60"/>
                <w:sz w:val="18"/>
              </w:rPr>
              <w:t>Student Reg (~3,500-5,000 BDT)</w:t>
            </w:r>
          </w:p>
        </w:tc>
      </w:tr>
      <w:tr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IEEE Access (IEEE)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Scopus / SCIE Q1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4–6 weeks</w:t>
            </w:r>
          </w:p>
        </w:tc>
        <w:tc>
          <w:tcPr>
            <w:tcW w:type="dxa" w:w="2340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$1,950 (or waiver request)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 xml:space="preserve">💡 Top Recommendation for Rapid Success: </w:t>
            </w:r>
            <w:r>
              <w:rPr>
                <w:rFonts w:ascii="Times New Roman" w:hAnsi="Times New Roman"/>
                <w:color w:val="262626"/>
                <w:sz w:val="21"/>
              </w:rPr>
              <w:t>For your first publication, submit to either a Scopus-indexed IEEE Bangladesh Section conference (quick turnaround, presentation experience, IEEE Xplore indexing) OR a Springer Discover Applied Sciences / Elsevier journal under the $0 Subscription option.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rFonts w:ascii="Times New Roman" w:hAnsi="Times New Roman"/>
          <w:b/>
          <w:color w:val="1F4E79"/>
          <w:sz w:val="30"/>
        </w:rPr>
        <w:t>5. CHRONOLOGICAL 6-MONTH ROADMAP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E75B6"/>
          <w:sz w:val="24"/>
        </w:rPr>
        <w:t>Month 1: Final Formatting &amp; Pre-Submission Polish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Plagiarism Verification: </w:t>
      </w:r>
      <w:r>
        <w:rPr>
          <w:rFonts w:ascii="Times New Roman" w:hAnsi="Times New Roman"/>
          <w:color w:val="262626"/>
          <w:sz w:val="22"/>
        </w:rPr>
        <w:t>Run docs/research_paper.md through Turnitin or iThenticate. Aim for similarity index below 12% (excluding bibliography).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Target Template Formatting: </w:t>
      </w:r>
      <w:r>
        <w:rPr>
          <w:rFonts w:ascii="Times New Roman" w:hAnsi="Times New Roman"/>
          <w:color w:val="262626"/>
          <w:sz w:val="22"/>
        </w:rPr>
        <w:t>Download the Word or LaTeX template of your target journal/conference. If using LaTeX, our existing docs/thesis.tex has already implemented all equations and BibTeX citations.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Preprint Release: </w:t>
      </w:r>
      <w:r>
        <w:rPr>
          <w:rFonts w:ascii="Times New Roman" w:hAnsi="Times New Roman"/>
          <w:color w:val="262626"/>
          <w:sz w:val="22"/>
        </w:rPr>
        <w:t>Submit manuscript to TechRxiv or arXiv to establish discovery date and secure an immediate DOI.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E75B6"/>
          <w:sz w:val="24"/>
        </w:rPr>
        <w:t>Month 2: Submission &amp; Editorial Manager Process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Account Setup: </w:t>
      </w:r>
      <w:r>
        <w:rPr>
          <w:rFonts w:ascii="Times New Roman" w:hAnsi="Times New Roman"/>
          <w:color w:val="262626"/>
          <w:sz w:val="22"/>
        </w:rPr>
        <w:t>Create an author account on the journal's submission portal (Editorial Manager / ScholarOne / IEEE Author Portal).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Affiliation Setting: </w:t>
      </w:r>
      <w:r>
        <w:rPr>
          <w:rFonts w:ascii="Times New Roman" w:hAnsi="Times New Roman"/>
          <w:color w:val="262626"/>
          <w:sz w:val="22"/>
        </w:rPr>
        <w:t>List your affiliation as 'School of Computer Engineering, Kalinga Institute of Industrial Technology, Bhubaneswar' (or your active Bangladesh institution / Independent Researcher, Dhaka, Bangladesh).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Cover Letter Submission: </w:t>
      </w:r>
      <w:r>
        <w:rPr>
          <w:rFonts w:ascii="Times New Roman" w:hAnsi="Times New Roman"/>
          <w:color w:val="262626"/>
          <w:sz w:val="22"/>
        </w:rPr>
        <w:t>Attach a professional cover letter highlighting the research gap and industrial significance (template provided below).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Suggesting Reviewers: </w:t>
      </w:r>
      <w:r>
        <w:rPr>
          <w:rFonts w:ascii="Times New Roman" w:hAnsi="Times New Roman"/>
          <w:color w:val="262626"/>
          <w:sz w:val="22"/>
        </w:rPr>
        <w:t>Enter 3 recommended peer reviewers (researchers who have published on C-MAPSS or predictive maintenance, e.g., from your literature review).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E75B6"/>
          <w:sz w:val="24"/>
        </w:rPr>
        <w:t>Month 3–4: Navigating Peer Review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Status Tracking: </w:t>
      </w:r>
      <w:r>
        <w:rPr>
          <w:rFonts w:ascii="Times New Roman" w:hAnsi="Times New Roman"/>
          <w:color w:val="262626"/>
          <w:sz w:val="22"/>
        </w:rPr>
        <w:t>Monitor statuses: 'Under Review' → 'Reviews Completed' → 'Decision in Process'.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Understanding Decisions: </w:t>
      </w:r>
      <w:r>
        <w:rPr>
          <w:rFonts w:ascii="Times New Roman" w:hAnsi="Times New Roman"/>
          <w:color w:val="262626"/>
          <w:sz w:val="22"/>
        </w:rPr>
        <w:t>Accept without revision is rare (&lt;1%). 'Major Revision' or 'Minor Revision' is a huge victory—it means the editor wants to publish if you address comments!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E75B6"/>
          <w:sz w:val="24"/>
        </w:rPr>
        <w:t>Month 5: Responding to Reviewers (The Revision Stage)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Point-by-Point Rebuttal: </w:t>
      </w:r>
      <w:r>
        <w:rPr>
          <w:rFonts w:ascii="Times New Roman" w:hAnsi="Times New Roman"/>
          <w:color w:val="262626"/>
          <w:sz w:val="22"/>
        </w:rPr>
        <w:t>Create a response document addressing every single reviewer comment with utmost politeness and evidence.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Rerunning Code: </w:t>
      </w:r>
      <w:r>
        <w:rPr>
          <w:rFonts w:ascii="Times New Roman" w:hAnsi="Times New Roman"/>
          <w:color w:val="262626"/>
          <w:sz w:val="22"/>
        </w:rPr>
        <w:t>If reviewers ask for extra analysis, use our scripts to instantly generate new numbers, figures, or ablations.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E75B6"/>
          <w:sz w:val="24"/>
        </w:rPr>
        <w:t>Month 6: Acceptance, Proofs &amp; Indexing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Galley Proof Approval: </w:t>
      </w:r>
      <w:r>
        <w:rPr>
          <w:rFonts w:ascii="Times New Roman" w:hAnsi="Times New Roman"/>
          <w:color w:val="262626"/>
          <w:sz w:val="22"/>
        </w:rPr>
        <w:t>Check author spelling, affiliations, figures, and equation formats in the publisher proof.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Publication &amp; Scopus Indexing: </w:t>
      </w:r>
      <w:r>
        <w:rPr>
          <w:rFonts w:ascii="Times New Roman" w:hAnsi="Times New Roman"/>
          <w:color w:val="262626"/>
          <w:sz w:val="22"/>
        </w:rPr>
        <w:t>Your paper goes live online with a formal DOI and appears in Scopus / Google Scholar within 3–4 weeks.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1F4E79"/>
          <w:sz w:val="30"/>
        </w:rPr>
        <w:t>6. READY-TO-USE COVER LETTER TEMPLATE</w:t>
      </w:r>
    </w:p>
    <w:p>
      <w:pPr>
        <w:spacing w:line="276" w:lineRule="auto" w:after="80"/>
      </w:pPr>
      <w:r>
        <w:t>Copy and customize this professional cover letter when submitting through the journal portal: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262626"/>
                <w:sz w:val="20"/>
              </w:rPr>
              <w:t>Dear Editor-in-Chief,</w:t>
              <w:br/>
              <w:br/>
              <w:t>I am pleased to submit our original research manuscript titled "Unsupervised Anomaly Detection for Predictive Maintenance in Industrial IoT: A Systematic Empirical Comparison of Classical and Deep Learning Methods" for consideration for publication in [Journal Name].</w:t>
              <w:br/>
              <w:br/>
              <w:t>In this study, we address a critical challenge in Industrial IoT predictive maintenance: evaluating unsupervised anomaly detection methods under realistic conditions when labeled run-to-failure data is limited. While deep learning models (such as Autoencoders and LSTM Autoencoders) are increasingly favored in literature, their practical superiority over classical statistical baselines (such as Mean Z-Score and Isolation Forest) remains poorly characterized under leak-free evaluation.</w:t>
              <w:br/>
              <w:br/>
              <w:t>Our manuscript makes three fundamental contributions:</w:t>
              <w:br/>
              <w:t>1. We establish a leak-free evaluation framework on the NASA C-MAPSS dataset enforcing engine-level splits, train-only scaling, and validation-only thresholding.</w:t>
              <w:br/>
              <w:t>2. We empirically prove that a 38-parameter statistical z-score detector matches Isolation Forest (p = 0.86) and outperforms feedforward autoencoders on single-condition fleets.</w:t>
              <w:br/>
              <w:t>3. We uncover the 'Classification-Lead Time Paradox', demonstrating that while LSTM Autoencoders achieve lower point-wise F1, they deliver 5x earlier advance warning (50.0 cycles vs. 10.5 cycles).</w:t>
              <w:br/>
              <w:br/>
              <w:t>This manuscript has not been published elsewhere and is not currently under consideration by any other journal. The authors declare no conflicts of interest.</w:t>
              <w:br/>
              <w:br/>
              <w:t>Thank you for your consideration of our work.</w:t>
              <w:br/>
              <w:br/>
              <w:t>Sincerely,</w:t>
              <w:br/>
              <w:t>Tusher Tarafder</w:t>
              <w:br/>
              <w:t>Department of Computer Science and Engineering</w:t>
              <w:br/>
              <w:t>Email: [Your Email Address] | ORCID: [Your ORCID iD]</w:t>
            </w:r>
          </w:p>
        </w:tc>
      </w:tr>
    </w:tbl>
    <w:p>
      <w:pPr>
        <w:spacing w:before="80" w:after="120"/>
      </w:pPr>
    </w:p>
    <w:p>
      <w:pPr>
        <w:keepNext/>
        <w:spacing w:before="320" w:after="80"/>
      </w:pPr>
      <w:r>
        <w:rPr>
          <w:rFonts w:ascii="Times New Roman" w:hAnsi="Times New Roman"/>
          <w:b/>
          <w:color w:val="1F4E79"/>
          <w:sz w:val="30"/>
        </w:rPr>
        <w:t>7. HOW TO MASTER PEER REVIEW REVISIONS</w:t>
      </w:r>
    </w:p>
    <w:p>
      <w:pPr>
        <w:spacing w:line="276" w:lineRule="auto" w:after="120"/>
      </w:pPr>
      <w:r>
        <w:rPr>
          <w:rFonts w:ascii="Times New Roman" w:hAnsi="Times New Roman"/>
          <w:sz w:val="22"/>
        </w:rPr>
        <w:t>When you receive reviewer comments, follow the 3 Golden Rules of Rebuttal: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Rule 1: Always Be Grateful and Respectful: </w:t>
      </w:r>
      <w:r>
        <w:rPr>
          <w:rFonts w:ascii="Times New Roman" w:hAnsi="Times New Roman"/>
          <w:color w:val="262626"/>
          <w:sz w:val="22"/>
        </w:rPr>
        <w:t>Begin every reply with: 'We sincerely thank the reviewer for this constructive insight, which has substantially improved our manuscript.' Even if a reviewer misunderstood a point, politely clarify without being defensive.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Rule 2: Point-by-Point Itemization: </w:t>
      </w:r>
      <w:r>
        <w:rPr>
          <w:rFonts w:ascii="Times New Roman" w:hAnsi="Times New Roman"/>
          <w:color w:val="262626"/>
          <w:sz w:val="22"/>
        </w:rPr>
        <w:t>Copy every single sentence of the reviewer's comment in bold, followed immediately by your detailed response and the exact line number/page where changes were made in the revised text.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Rule 3: Show, Don't Just Tell: </w:t>
      </w:r>
      <w:r>
        <w:rPr>
          <w:rFonts w:ascii="Times New Roman" w:hAnsi="Times New Roman"/>
          <w:color w:val="262626"/>
          <w:sz w:val="22"/>
        </w:rPr>
        <w:t>Whenever a reviewer asks for clarification (e.g. 'Why did you use sequence length 10 instead of 30?'), quote the exact ablation table from our study showing that L=10 achieved higher F1 (0.558) and 63% faster training.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1F4E79"/>
          <w:sz w:val="30"/>
        </w:rPr>
        <w:t>8. CAREER &amp; HIGHER STUDY IMPACT (From Bangladesh to Global MSc/PhD)</w:t>
      </w:r>
    </w:p>
    <w:p>
      <w:pPr>
        <w:spacing w:line="276" w:lineRule="auto" w:after="120"/>
      </w:pPr>
      <w:r>
        <w:rPr>
          <w:rFonts w:ascii="Times New Roman" w:hAnsi="Times New Roman"/>
          <w:sz w:val="22"/>
        </w:rPr>
        <w:t>For a computer science student from Bangladesh aiming for international graduate scholarships (USA, Canada, Germany, Australia, UK) or high-tier AI industry roles, having a first-author Scopus/IEEE publication is the single most valuable credential on your profile: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Professor Outreach (Cold Emailing): </w:t>
      </w:r>
      <w:r>
        <w:rPr>
          <w:rFonts w:ascii="Times New Roman" w:hAnsi="Times New Roman"/>
          <w:color w:val="262626"/>
          <w:sz w:val="22"/>
        </w:rPr>
        <w:t>When emailing prospective professors in the US or Europe for Graduate Research Assistantships (GRA), leading with: 'I am the first author of a paper on leak-free unsupervised predictive maintenance published in [Venue]' increases response rates by over 400%.</w:t>
      </w:r>
    </w:p>
    <w:p>
      <w:pPr>
        <w:pStyle w:val="ListBullet"/>
        <w:spacing w:before="30" w:after="50" w:line="276" w:lineRule="auto"/>
      </w:pPr>
      <w:r>
        <w:rPr>
          <w:rFonts w:ascii="Times New Roman" w:hAnsi="Times New Roman"/>
          <w:b/>
          <w:color w:val="262626"/>
          <w:sz w:val="22"/>
        </w:rPr>
        <w:t xml:space="preserve">Visa &amp; Scholarship Strength: </w:t>
      </w:r>
      <w:r>
        <w:rPr>
          <w:rFonts w:ascii="Times New Roman" w:hAnsi="Times New Roman"/>
          <w:color w:val="262626"/>
          <w:sz w:val="22"/>
        </w:rPr>
        <w:t>Published papers provide concrete proof of research capability, making your Statement of Purpose (SOP) stand out in top percentile applicant pools.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