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Project Report: Multi-Model USD/INR Exchange Rate Forecasting (2004–2026)</w:t>
      </w:r>
    </w:p>
    <w:p>
      <w:r>
        <w:t>This report presents a complete end-to-end forecasting framework for the USD/INR exchange rate. The project compares statistical, machine-learning, and deep-learning approaches using a common evaluation pipeline and summarizes all preprocessing, stationarity tests, model diagnostics, forecasting results, and comparative performance metrics.</w:t>
      </w:r>
    </w:p>
    <w:p>
      <w:pPr>
        <w:pStyle w:val="Heading2"/>
      </w:pPr>
      <w:r>
        <w:t>Project Objective</w:t>
      </w:r>
    </w:p>
    <w:p>
      <w:r>
        <w:t>Develop a robust forecasting system for USD/INR exchange rates and compare ARIMA, XGBoost, SimpleRNN, and LSTM models using RMSE-based evaluation.</w:t>
      </w:r>
    </w:p>
    <w:p>
      <w:pPr>
        <w:pStyle w:val="Heading2"/>
      </w:pPr>
      <w:r>
        <w:t>Dataset Summary</w:t>
      </w:r>
    </w:p>
    <w:p>
      <w:r>
        <w:t>Source: Yahoo Finance (INR=X)</w:t>
        <w:br/>
        <w:t>Time Period: 2004–2026</w:t>
        <w:br/>
        <w:t>Observations: 5,856 daily records</w:t>
        <w:br/>
        <w:t>Target Variable: Close price (USD/INR exchange rate).</w:t>
      </w:r>
    </w:p>
    <w:p>
      <w:pPr>
        <w:pStyle w:val="Heading2"/>
      </w:pPr>
      <w:r>
        <w:t>Data Quality Checks</w:t>
      </w:r>
    </w:p>
    <w:p>
      <w:r>
        <w:t>Missing values: 0</w:t>
        <w:br/>
        <w:t>Duplicate dates: None</w:t>
        <w:br/>
        <w:t>No imputation or interpolation was required.</w:t>
      </w:r>
    </w:p>
    <w:p>
      <w:pPr>
        <w:pStyle w:val="Heading2"/>
      </w:pPr>
      <w:r>
        <w:t>Exploratory Data Analysis</w:t>
      </w:r>
    </w:p>
    <w:p>
      <w:r>
        <w:t>The series exhibited a long-term upward trend, structural volatility, and changing mean levels, indicating that the raw series was non-stationary.</w:t>
      </w:r>
    </w:p>
    <w:p>
      <w:pPr>
        <w:pStyle w:val="Heading2"/>
      </w:pPr>
      <w:r>
        <w:t>Stationarity Testing</w:t>
      </w:r>
    </w:p>
    <w:p>
      <w:r>
        <w:t>ADF p-value: 0.99127</w:t>
        <w:br/>
        <w:t>KPSS p-value: 0.01000</w:t>
        <w:br/>
        <w:t>Conclusion: The original series was non-stationary.</w:t>
      </w:r>
    </w:p>
    <w:p>
      <w:pPr>
        <w:pStyle w:val="Heading2"/>
      </w:pPr>
      <w:r>
        <w:t>Transformations Applied</w:t>
      </w:r>
    </w:p>
    <w:p>
      <w:r>
        <w:t>1. Log transformation</w:t>
        <w:br/>
        <w:t>2. First-order differencing</w:t>
        <w:br/>
        <w:t>After transformation:</w:t>
        <w:br/>
        <w:t>ADF p-value: 0.00000</w:t>
        <w:br/>
        <w:t>KPSS p-value: 0.10000</w:t>
        <w:br/>
        <w:t>The transformed series was treated as stationary.</w:t>
      </w:r>
    </w:p>
    <w:p>
      <w:pPr>
        <w:pStyle w:val="Heading2"/>
      </w:pPr>
      <w:r>
        <w:t>ARIMA Baseline</w:t>
      </w:r>
    </w:p>
    <w:p>
      <w:r>
        <w:t>Auto-ARIMA selected ARIMA(1,1,0).</w:t>
        <w:br/>
        <w:t>Training observations: 4,684</w:t>
        <w:br/>
        <w:t>AIC: -36,405.79</w:t>
        <w:br/>
        <w:t>Ljung–Box residual test p-values at lags 10 and 20 were approximately 1.0, indicating no significant remaining autocorrelation.</w:t>
      </w:r>
    </w:p>
    <w:p>
      <w:pPr>
        <w:pStyle w:val="Heading2"/>
      </w:pPr>
      <w:r>
        <w:t>ARIMA Forecast Accuracy</w:t>
      </w:r>
    </w:p>
    <w:p>
      <w:r>
        <w:t>Train size: 4,684</w:t>
        <w:br/>
        <w:t>Test size: 1,172</w:t>
        <w:br/>
        <w:t>RMSE: 5.2938</w:t>
      </w:r>
    </w:p>
    <w:p>
      <w:pPr>
        <w:pStyle w:val="Heading2"/>
      </w:pPr>
      <w:r>
        <w:t>XGBoost Model</w:t>
      </w:r>
    </w:p>
    <w:p>
      <w:r>
        <w:t>Features used: lag_1, lag_7, lag_30, rolling mean, rolling standard deviation, and EMA-based trend indicators.</w:t>
        <w:br/>
        <w:t>Training samples: 4,660</w:t>
        <w:br/>
        <w:t>Testing samples: 1,166</w:t>
        <w:br/>
        <w:t>RMSE: 9.6468</w:t>
      </w:r>
    </w:p>
    <w:p>
      <w:pPr>
        <w:pStyle w:val="Heading2"/>
      </w:pPr>
      <w:r>
        <w:t>Deep Learning Models</w:t>
      </w:r>
    </w:p>
    <w:p>
      <w:r>
        <w:t>A 30-day sliding window and MinMax scaling were used.</w:t>
        <w:br/>
        <w:t>SimpleRNN RMSE: 0.6632</w:t>
        <w:br/>
        <w:t>LSTM RMSE: 0.2900</w:t>
      </w:r>
    </w:p>
    <w:p>
      <w:pPr>
        <w:pStyle w:val="Heading2"/>
      </w:pPr>
      <w:r>
        <w:t>USD/INR Historical Trend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dinr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Model Performance Comparison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rm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30-Day Forecast Results</w:t>
      </w:r>
    </w:p>
    <w:p>
      <w:r>
        <w:t>The ARIMA(1,1,0) model was used to generate a 30-day out-of-sample forecast. The forecast suggests a gradual upward movement in the USD/INR exchange rate.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ma_foreca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Forecast USD/INR</w:t>
            </w:r>
          </w:p>
        </w:tc>
      </w:tr>
      <w:tr>
        <w:tc>
          <w:tcPr>
            <w:tcW w:type="dxa" w:w="4320"/>
          </w:tcPr>
          <w:p>
            <w:r>
              <w:t>2026-08-04</w:t>
            </w:r>
          </w:p>
        </w:tc>
        <w:tc>
          <w:tcPr>
            <w:tcW w:type="dxa" w:w="4320"/>
          </w:tcPr>
          <w:p>
            <w:r>
              <w:t>84.1434</w:t>
            </w:r>
          </w:p>
        </w:tc>
      </w:tr>
      <w:tr>
        <w:tc>
          <w:tcPr>
            <w:tcW w:type="dxa" w:w="4320"/>
          </w:tcPr>
          <w:p>
            <w:r>
              <w:t>2026-08-05</w:t>
            </w:r>
          </w:p>
        </w:tc>
        <w:tc>
          <w:tcPr>
            <w:tcW w:type="dxa" w:w="4320"/>
          </w:tcPr>
          <w:p>
            <w:r>
              <w:t>84.3082</w:t>
            </w:r>
          </w:p>
        </w:tc>
      </w:tr>
      <w:tr>
        <w:tc>
          <w:tcPr>
            <w:tcW w:type="dxa" w:w="4320"/>
          </w:tcPr>
          <w:p>
            <w:r>
              <w:t>2026-08-06</w:t>
            </w:r>
          </w:p>
        </w:tc>
        <w:tc>
          <w:tcPr>
            <w:tcW w:type="dxa" w:w="4320"/>
          </w:tcPr>
          <w:p>
            <w:r>
              <w:t>84.3034</w:t>
            </w:r>
          </w:p>
        </w:tc>
      </w:tr>
      <w:tr>
        <w:tc>
          <w:tcPr>
            <w:tcW w:type="dxa" w:w="4320"/>
          </w:tcPr>
          <w:p>
            <w:r>
              <w:t>2026-08-07</w:t>
            </w:r>
          </w:p>
        </w:tc>
        <w:tc>
          <w:tcPr>
            <w:tcW w:type="dxa" w:w="4320"/>
          </w:tcPr>
          <w:p>
            <w:r>
              <w:t>84.3045</w:t>
            </w:r>
          </w:p>
        </w:tc>
      </w:tr>
      <w:tr>
        <w:tc>
          <w:tcPr>
            <w:tcW w:type="dxa" w:w="4320"/>
          </w:tcPr>
          <w:p>
            <w:r>
              <w:t>2026-08-08</w:t>
            </w:r>
          </w:p>
        </w:tc>
        <w:tc>
          <w:tcPr>
            <w:tcW w:type="dxa" w:w="4320"/>
          </w:tcPr>
          <w:p>
            <w:r>
              <w:t>84.3038</w:t>
            </w:r>
          </w:p>
        </w:tc>
      </w:tr>
      <w:tr>
        <w:tc>
          <w:tcPr>
            <w:tcW w:type="dxa" w:w="4320"/>
          </w:tcPr>
          <w:p>
            <w:r>
              <w:t>2026-08-09</w:t>
            </w:r>
          </w:p>
        </w:tc>
        <w:tc>
          <w:tcPr>
            <w:tcW w:type="dxa" w:w="4320"/>
          </w:tcPr>
          <w:p>
            <w:r>
              <w:t>84.4</w:t>
            </w:r>
          </w:p>
        </w:tc>
      </w:tr>
      <w:tr>
        <w:tc>
          <w:tcPr>
            <w:tcW w:type="dxa" w:w="4320"/>
          </w:tcPr>
          <w:p>
            <w:r>
              <w:t>2026-08-10</w:t>
            </w:r>
          </w:p>
        </w:tc>
        <w:tc>
          <w:tcPr>
            <w:tcW w:type="dxa" w:w="4320"/>
          </w:tcPr>
          <w:p>
            <w:r>
              <w:t>84.3633</w:t>
            </w:r>
          </w:p>
        </w:tc>
      </w:tr>
      <w:tr>
        <w:tc>
          <w:tcPr>
            <w:tcW w:type="dxa" w:w="4320"/>
          </w:tcPr>
          <w:p>
            <w:r>
              <w:t>2026-08-11</w:t>
            </w:r>
          </w:p>
        </w:tc>
        <w:tc>
          <w:tcPr>
            <w:tcW w:type="dxa" w:w="4320"/>
          </w:tcPr>
          <w:p>
            <w:r>
              <w:t>84.459</w:t>
            </w:r>
          </w:p>
        </w:tc>
      </w:tr>
      <w:tr>
        <w:tc>
          <w:tcPr>
            <w:tcW w:type="dxa" w:w="4320"/>
          </w:tcPr>
          <w:p>
            <w:r>
              <w:t>2026-08-12</w:t>
            </w:r>
          </w:p>
        </w:tc>
        <w:tc>
          <w:tcPr>
            <w:tcW w:type="dxa" w:w="4320"/>
          </w:tcPr>
          <w:p>
            <w:r>
              <w:t>84.435</w:t>
            </w:r>
          </w:p>
        </w:tc>
      </w:tr>
      <w:tr>
        <w:tc>
          <w:tcPr>
            <w:tcW w:type="dxa" w:w="4320"/>
          </w:tcPr>
          <w:p>
            <w:r>
              <w:t>2026-08-13</w:t>
            </w:r>
          </w:p>
        </w:tc>
        <w:tc>
          <w:tcPr>
            <w:tcW w:type="dxa" w:w="4320"/>
          </w:tcPr>
          <w:p>
            <w:r>
              <w:t>84.4858</w:t>
            </w:r>
          </w:p>
        </w:tc>
      </w:tr>
      <w:tr>
        <w:tc>
          <w:tcPr>
            <w:tcW w:type="dxa" w:w="4320"/>
          </w:tcPr>
          <w:p>
            <w:r>
              <w:t>2026-08-14</w:t>
            </w:r>
          </w:p>
        </w:tc>
        <w:tc>
          <w:tcPr>
            <w:tcW w:type="dxa" w:w="4320"/>
          </w:tcPr>
          <w:p>
            <w:r>
              <w:t>84.5268</w:t>
            </w:r>
          </w:p>
        </w:tc>
      </w:tr>
      <w:tr>
        <w:tc>
          <w:tcPr>
            <w:tcW w:type="dxa" w:w="4320"/>
          </w:tcPr>
          <w:p>
            <w:r>
              <w:t>2026-08-15</w:t>
            </w:r>
          </w:p>
        </w:tc>
        <w:tc>
          <w:tcPr>
            <w:tcW w:type="dxa" w:w="4320"/>
          </w:tcPr>
          <w:p>
            <w:r>
              <w:t>84.588</w:t>
            </w:r>
          </w:p>
        </w:tc>
      </w:tr>
      <w:tr>
        <w:tc>
          <w:tcPr>
            <w:tcW w:type="dxa" w:w="4320"/>
          </w:tcPr>
          <w:p>
            <w:r>
              <w:t>2026-08-16</w:t>
            </w:r>
          </w:p>
        </w:tc>
        <w:tc>
          <w:tcPr>
            <w:tcW w:type="dxa" w:w="4320"/>
          </w:tcPr>
          <w:p>
            <w:r>
              <w:t>84.6024</w:t>
            </w:r>
          </w:p>
        </w:tc>
      </w:tr>
      <w:tr>
        <w:tc>
          <w:tcPr>
            <w:tcW w:type="dxa" w:w="4320"/>
          </w:tcPr>
          <w:p>
            <w:r>
              <w:t>2026-08-17</w:t>
            </w:r>
          </w:p>
        </w:tc>
        <w:tc>
          <w:tcPr>
            <w:tcW w:type="dxa" w:w="4320"/>
          </w:tcPr>
          <w:p>
            <w:r>
              <w:t>84.63</w:t>
            </w:r>
          </w:p>
        </w:tc>
      </w:tr>
      <w:tr>
        <w:tc>
          <w:tcPr>
            <w:tcW w:type="dxa" w:w="4320"/>
          </w:tcPr>
          <w:p>
            <w:r>
              <w:t>2026-08-18</w:t>
            </w:r>
          </w:p>
        </w:tc>
        <w:tc>
          <w:tcPr>
            <w:tcW w:type="dxa" w:w="4320"/>
          </w:tcPr>
          <w:p>
            <w:r>
              <w:t>84.5721</w:t>
            </w:r>
          </w:p>
        </w:tc>
      </w:tr>
      <w:tr>
        <w:tc>
          <w:tcPr>
            <w:tcW w:type="dxa" w:w="4320"/>
          </w:tcPr>
          <w:p>
            <w:r>
              <w:t>2026-08-19</w:t>
            </w:r>
          </w:p>
        </w:tc>
        <w:tc>
          <w:tcPr>
            <w:tcW w:type="dxa" w:w="4320"/>
          </w:tcPr>
          <w:p>
            <w:r>
              <w:t>84.6997</w:t>
            </w:r>
          </w:p>
        </w:tc>
      </w:tr>
      <w:tr>
        <w:tc>
          <w:tcPr>
            <w:tcW w:type="dxa" w:w="4320"/>
          </w:tcPr>
          <w:p>
            <w:r>
              <w:t>2026-08-20</w:t>
            </w:r>
          </w:p>
        </w:tc>
        <w:tc>
          <w:tcPr>
            <w:tcW w:type="dxa" w:w="4320"/>
          </w:tcPr>
          <w:p>
            <w:r>
              <w:t>84.7144</w:t>
            </w:r>
          </w:p>
        </w:tc>
      </w:tr>
      <w:tr>
        <w:tc>
          <w:tcPr>
            <w:tcW w:type="dxa" w:w="4320"/>
          </w:tcPr>
          <w:p>
            <w:r>
              <w:t>2026-08-21</w:t>
            </w:r>
          </w:p>
        </w:tc>
        <w:tc>
          <w:tcPr>
            <w:tcW w:type="dxa" w:w="4320"/>
          </w:tcPr>
          <w:p>
            <w:r>
              <w:t>84.7313</w:t>
            </w:r>
          </w:p>
        </w:tc>
      </w:tr>
      <w:tr>
        <w:tc>
          <w:tcPr>
            <w:tcW w:type="dxa" w:w="4320"/>
          </w:tcPr>
          <w:p>
            <w:r>
              <w:t>2026-08-22</w:t>
            </w:r>
          </w:p>
        </w:tc>
        <w:tc>
          <w:tcPr>
            <w:tcW w:type="dxa" w:w="4320"/>
          </w:tcPr>
          <w:p>
            <w:r>
              <w:t>84.7652</w:t>
            </w:r>
          </w:p>
        </w:tc>
      </w:tr>
      <w:tr>
        <w:tc>
          <w:tcPr>
            <w:tcW w:type="dxa" w:w="4320"/>
          </w:tcPr>
          <w:p>
            <w:r>
              <w:t>2026-08-23</w:t>
            </w:r>
          </w:p>
        </w:tc>
        <w:tc>
          <w:tcPr>
            <w:tcW w:type="dxa" w:w="4320"/>
          </w:tcPr>
          <w:p>
            <w:r>
              <w:t>84.6494</w:t>
            </w:r>
          </w:p>
        </w:tc>
      </w:tr>
      <w:tr>
        <w:tc>
          <w:tcPr>
            <w:tcW w:type="dxa" w:w="4320"/>
          </w:tcPr>
          <w:p>
            <w:r>
              <w:t>2026-08-24</w:t>
            </w:r>
          </w:p>
        </w:tc>
        <w:tc>
          <w:tcPr>
            <w:tcW w:type="dxa" w:w="4320"/>
          </w:tcPr>
          <w:p>
            <w:r>
              <w:t>84.8453</w:t>
            </w:r>
          </w:p>
        </w:tc>
      </w:tr>
      <w:tr>
        <w:tc>
          <w:tcPr>
            <w:tcW w:type="dxa" w:w="4320"/>
          </w:tcPr>
          <w:p>
            <w:r>
              <w:t>2026-08-25</w:t>
            </w:r>
          </w:p>
        </w:tc>
        <w:tc>
          <w:tcPr>
            <w:tcW w:type="dxa" w:w="4320"/>
          </w:tcPr>
          <w:p>
            <w:r>
              <w:t>84.9053</w:t>
            </w:r>
          </w:p>
        </w:tc>
      </w:tr>
      <w:tr>
        <w:tc>
          <w:tcPr>
            <w:tcW w:type="dxa" w:w="4320"/>
          </w:tcPr>
          <w:p>
            <w:r>
              <w:t>2026-08-26</w:t>
            </w:r>
          </w:p>
        </w:tc>
        <w:tc>
          <w:tcPr>
            <w:tcW w:type="dxa" w:w="4320"/>
          </w:tcPr>
          <w:p>
            <w:r>
              <w:t>84.9361</w:t>
            </w:r>
          </w:p>
        </w:tc>
      </w:tr>
      <w:tr>
        <w:tc>
          <w:tcPr>
            <w:tcW w:type="dxa" w:w="4320"/>
          </w:tcPr>
          <w:p>
            <w:r>
              <w:t>2026-08-27</w:t>
            </w:r>
          </w:p>
        </w:tc>
        <w:tc>
          <w:tcPr>
            <w:tcW w:type="dxa" w:w="4320"/>
          </w:tcPr>
          <w:p>
            <w:r>
              <w:t>84.9219</w:t>
            </w:r>
          </w:p>
        </w:tc>
      </w:tr>
      <w:tr>
        <w:tc>
          <w:tcPr>
            <w:tcW w:type="dxa" w:w="4320"/>
          </w:tcPr>
          <w:p>
            <w:r>
              <w:t>2026-08-28</w:t>
            </w:r>
          </w:p>
        </w:tc>
        <w:tc>
          <w:tcPr>
            <w:tcW w:type="dxa" w:w="4320"/>
          </w:tcPr>
          <w:p>
            <w:r>
              <w:t>84.9307</w:t>
            </w:r>
          </w:p>
        </w:tc>
      </w:tr>
      <w:tr>
        <w:tc>
          <w:tcPr>
            <w:tcW w:type="dxa" w:w="4320"/>
          </w:tcPr>
          <w:p>
            <w:r>
              <w:t>2026-08-29</w:t>
            </w:r>
          </w:p>
        </w:tc>
        <w:tc>
          <w:tcPr>
            <w:tcW w:type="dxa" w:w="4320"/>
          </w:tcPr>
          <w:p>
            <w:r>
              <w:t>84.9681</w:t>
            </w:r>
          </w:p>
        </w:tc>
      </w:tr>
      <w:tr>
        <w:tc>
          <w:tcPr>
            <w:tcW w:type="dxa" w:w="4320"/>
          </w:tcPr>
          <w:p>
            <w:r>
              <w:t>2026-08-30</w:t>
            </w:r>
          </w:p>
        </w:tc>
        <w:tc>
          <w:tcPr>
            <w:tcW w:type="dxa" w:w="4320"/>
          </w:tcPr>
          <w:p>
            <w:r>
              <w:t>85.0139</w:t>
            </w:r>
          </w:p>
        </w:tc>
      </w:tr>
      <w:tr>
        <w:tc>
          <w:tcPr>
            <w:tcW w:type="dxa" w:w="4320"/>
          </w:tcPr>
          <w:p>
            <w:r>
              <w:t>2026-08-31</w:t>
            </w:r>
          </w:p>
        </w:tc>
        <w:tc>
          <w:tcPr>
            <w:tcW w:type="dxa" w:w="4320"/>
          </w:tcPr>
          <w:p>
            <w:r>
              <w:t>85.0484</w:t>
            </w:r>
          </w:p>
        </w:tc>
      </w:tr>
      <w:tr>
        <w:tc>
          <w:tcPr>
            <w:tcW w:type="dxa" w:w="4320"/>
          </w:tcPr>
          <w:p>
            <w:r>
              <w:t>2026-09-01</w:t>
            </w:r>
          </w:p>
        </w:tc>
        <w:tc>
          <w:tcPr>
            <w:tcW w:type="dxa" w:w="4320"/>
          </w:tcPr>
          <w:p>
            <w:r>
              <w:t>85.1076</w:t>
            </w:r>
          </w:p>
        </w:tc>
      </w:tr>
      <w:tr>
        <w:tc>
          <w:tcPr>
            <w:tcW w:type="dxa" w:w="4320"/>
          </w:tcPr>
          <w:p>
            <w:r>
              <w:t>2026-09-02</w:t>
            </w:r>
          </w:p>
        </w:tc>
        <w:tc>
          <w:tcPr>
            <w:tcW w:type="dxa" w:w="4320"/>
          </w:tcPr>
          <w:p>
            <w:r>
              <w:t>85.1137</w:t>
            </w:r>
          </w:p>
        </w:tc>
      </w:tr>
    </w:tbl>
    <w:p>
      <w:pPr>
        <w:pStyle w:val="Heading2"/>
      </w:pPr>
      <w:r>
        <w:t>Final Model Comparison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Relative Performance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0.2900</w:t>
            </w:r>
          </w:p>
        </w:tc>
        <w:tc>
          <w:tcPr>
            <w:tcW w:type="dxa" w:w="2880"/>
          </w:tcPr>
          <w:p>
            <w:r>
              <w:t>Best</w:t>
            </w:r>
          </w:p>
        </w:tc>
      </w:tr>
      <w:tr>
        <w:tc>
          <w:tcPr>
            <w:tcW w:type="dxa" w:w="2880"/>
          </w:tcPr>
          <w:p>
            <w:r>
              <w:t>SimpleRNN</w:t>
            </w:r>
          </w:p>
        </w:tc>
        <w:tc>
          <w:tcPr>
            <w:tcW w:type="dxa" w:w="2880"/>
          </w:tcPr>
          <w:p>
            <w:r>
              <w:t>0.6632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ARIMA(1,1,0)</w:t>
            </w:r>
          </w:p>
        </w:tc>
        <w:tc>
          <w:tcPr>
            <w:tcW w:type="dxa" w:w="2880"/>
          </w:tcPr>
          <w:p>
            <w:r>
              <w:t>5.2938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9.6468</w:t>
            </w:r>
          </w:p>
        </w:tc>
        <w:tc>
          <w:tcPr>
            <w:tcW w:type="dxa" w:w="2880"/>
          </w:tcPr>
          <w:p>
            <w:r>
              <w:t>Weakest</w:t>
            </w:r>
          </w:p>
        </w:tc>
      </w:tr>
    </w:tbl>
    <w:p>
      <w:pPr>
        <w:pStyle w:val="Heading2"/>
      </w:pPr>
      <w:r>
        <w:t>Key Findings</w:t>
      </w:r>
    </w:p>
    <w:p>
      <w:pPr>
        <w:pStyle w:val="ListBullet"/>
      </w:pPr>
      <w:r>
        <w:t>USD/INR became stationary after log differencing.</w:t>
      </w:r>
    </w:p>
    <w:p>
      <w:pPr>
        <w:pStyle w:val="ListBullet"/>
      </w:pPr>
      <w:r>
        <w:t>ARIMA effectively captured the linear structure of the series.</w:t>
      </w:r>
    </w:p>
    <w:p>
      <w:pPr>
        <w:pStyle w:val="ListBullet"/>
      </w:pPr>
      <w:r>
        <w:t>XGBoost underperformed due to limited explanatory variables and the sequential nature of the problem.</w:t>
      </w:r>
    </w:p>
    <w:p>
      <w:pPr>
        <w:pStyle w:val="ListBullet"/>
      </w:pPr>
      <w:r>
        <w:t>SimpleRNN significantly improved forecasting accuracy over ARIMA.</w:t>
      </w:r>
    </w:p>
    <w:p>
      <w:pPr>
        <w:pStyle w:val="ListBullet"/>
      </w:pPr>
      <w:r>
        <w:t>LSTM achieved the lowest RMSE and reduced forecasting error by approximately 94% relative to ARIMA.</w:t>
      </w:r>
    </w:p>
    <w:p>
      <w:pPr>
        <w:pStyle w:val="Heading2"/>
      </w:pPr>
      <w:r>
        <w:t>Conclusion</w:t>
      </w:r>
    </w:p>
    <w:p>
      <w:r>
        <w:t>The study demonstrates that while classical ARIMA models provide interpretable and statistically sound forecasts, deep-learning sequence models are substantially more effective for capturing nonlinear temporal dependencies in exchange-rate data. Among all evaluated approaches, LSTM produced the most accurate forecasts and emerged as the recommended production model for short-term USD/INR forecasting.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