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Detailed Project Report: Multi-Model USD/INR Exchange Rate Forecasting</w:t>
      </w:r>
    </w:p>
    <w:p>
      <w:pPr>
        <w:pStyle w:val="Heading2"/>
      </w:pPr>
      <w:r>
        <w:t>Project Objective</w:t>
      </w:r>
    </w:p>
    <w:p>
      <w:r>
        <w:t>Build and compare statistical, machine-learning, and deep-learning models for forecasting the USD/INR exchange rate using historical Yahoo Finance data from 2004–2026.</w:t>
      </w:r>
    </w:p>
    <w:p>
      <w:pPr>
        <w:pStyle w:val="Heading2"/>
      </w:pPr>
      <w:r>
        <w:t>Dataset Summary</w:t>
      </w:r>
    </w:p>
    <w:p>
      <w:r>
        <w:t>Source: Yahoo Finance (INR=X)</w:t>
        <w:br/>
        <w:t>Observations: 5,856 daily records</w:t>
        <w:br/>
        <w:t>Features available: Open, High, Low, Close, Volume</w:t>
        <w:br/>
        <w:t>Target variable: Close price (USD/INR exchange rate).</w:t>
      </w:r>
    </w:p>
    <w:p>
      <w:pPr>
        <w:pStyle w:val="Heading2"/>
      </w:pPr>
      <w:r>
        <w:t>Data Quality Checks</w:t>
      </w:r>
    </w:p>
    <w:p>
      <w:r>
        <w:t>Missing values: 0</w:t>
        <w:br/>
        <w:t>Duplicate dates: None</w:t>
        <w:br/>
        <w:t>Data was directly usable without imputation.</w:t>
      </w:r>
    </w:p>
    <w:p>
      <w:pPr>
        <w:pStyle w:val="Heading2"/>
      </w:pPr>
      <w:r>
        <w:t>Exploratory Analysis</w:t>
      </w:r>
    </w:p>
    <w:p>
      <w:r>
        <w:t>The exchange-rate series showed a long-term upward trend and periods of elevated volatility, indicating non-stationarity and motivating transformation before ARIMA modeling.</w:t>
      </w:r>
    </w:p>
    <w:p>
      <w:pPr>
        <w:pStyle w:val="Heading2"/>
      </w:pPr>
      <w:r>
        <w:t>Stationarity Testing</w:t>
      </w:r>
    </w:p>
    <w:p>
      <w:r>
        <w:t>ADF p-value: 0.99127</w:t>
        <w:br/>
        <w:t>KPSS p-value: 0.01000</w:t>
        <w:br/>
        <w:t>Conclusion: The original series was non-stationary.</w:t>
      </w:r>
    </w:p>
    <w:p>
      <w:pPr>
        <w:pStyle w:val="Heading2"/>
      </w:pPr>
      <w:r>
        <w:t>Transformations Applied</w:t>
      </w:r>
    </w:p>
    <w:p>
      <w:r>
        <w:t>1. Log transformation to stabilize variance.</w:t>
        <w:br/>
        <w:t>2. First-order differencing to remove trend.</w:t>
        <w:br/>
        <w:t>After transformation:</w:t>
        <w:br/>
        <w:t>ADF p-value: 0.00000</w:t>
        <w:br/>
        <w:t>KPSS p-value: 0.10000</w:t>
        <w:br/>
        <w:t>The transformed series was treated as stationary.</w:t>
      </w:r>
    </w:p>
    <w:p>
      <w:pPr>
        <w:pStyle w:val="Heading2"/>
      </w:pPr>
      <w:r>
        <w:t>ARIMA Baseline</w:t>
      </w:r>
    </w:p>
    <w:p>
      <w:r>
        <w:t>Auto-ARIMA selected ARIMA(1,1,0).</w:t>
        <w:br/>
        <w:t>Training observations: 4,684</w:t>
        <w:br/>
        <w:t>AIC: -36,405.79</w:t>
        <w:br/>
        <w:t>Residual diagnostics (Ljung–Box p-values at lags 10 and 20 were approximately 1.0) suggested no significant remaining autocorrelation.</w:t>
      </w:r>
    </w:p>
    <w:p>
      <w:pPr>
        <w:pStyle w:val="Heading2"/>
      </w:pPr>
      <w:r>
        <w:t>ARIMA Forecast Accuracy</w:t>
      </w:r>
    </w:p>
    <w:p>
      <w:r>
        <w:t>Train size: 4,684</w:t>
        <w:br/>
        <w:t>Test size: 1,172</w:t>
        <w:br/>
        <w:t>RMSE: 5.2938</w:t>
      </w:r>
    </w:p>
    <w:p>
      <w:pPr>
        <w:pStyle w:val="Heading2"/>
      </w:pPr>
      <w:r>
        <w:t>XGBoost Model</w:t>
      </w:r>
    </w:p>
    <w:p>
      <w:r>
        <w:t>Lag features (1, 7, 30), rolling mean, rolling standard deviation, and EMA-based trend indicators were used.</w:t>
        <w:br/>
        <w:t>Training samples: 4,660</w:t>
        <w:br/>
        <w:t>Testing samples: 1,166</w:t>
        <w:br/>
        <w:t>RMSE: 9.6468</w:t>
      </w:r>
    </w:p>
    <w:p>
      <w:pPr>
        <w:pStyle w:val="Heading2"/>
      </w:pPr>
      <w:r>
        <w:t>Deep Learning Models</w:t>
      </w:r>
    </w:p>
    <w:p>
      <w:r>
        <w:t>A 30-day sliding window and MinMax scaling were used to create supervised sequences.</w:t>
        <w:br/>
        <w:t>SimpleRNN RMSE: 0.6632</w:t>
        <w:br/>
        <w:t>LSTM RMSE: 0.2900</w:t>
      </w:r>
    </w:p>
    <w:p>
      <w:pPr>
        <w:pStyle w:val="Heading2"/>
      </w:pPr>
      <w:r>
        <w:t>Illustrative USD/INR Trend</w:t>
      </w:r>
    </w:p>
    <w:p>
      <w:r>
        <w:drawing>
          <wp:inline xmlns:a="http://schemas.openxmlformats.org/drawingml/2006/main" xmlns:pic="http://schemas.openxmlformats.org/drawingml/2006/picture">
            <wp:extent cx="54864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dinr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Model Comparison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rms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Model</w:t>
            </w:r>
          </w:p>
        </w:tc>
        <w:tc>
          <w:tcPr>
            <w:tcW w:type="dxa" w:w="2880"/>
          </w:tcPr>
          <w:p>
            <w:r>
              <w:t>RMSE</w:t>
            </w:r>
          </w:p>
        </w:tc>
        <w:tc>
          <w:tcPr>
            <w:tcW w:type="dxa" w:w="2880"/>
          </w:tcPr>
          <w:p>
            <w:r>
              <w:t>Relative Performance</w:t>
            </w:r>
          </w:p>
        </w:tc>
      </w:tr>
      <w:tr>
        <w:tc>
          <w:tcPr>
            <w:tcW w:type="dxa" w:w="2880"/>
          </w:tcPr>
          <w:p>
            <w:r>
              <w:t>LSTM</w:t>
            </w:r>
          </w:p>
        </w:tc>
        <w:tc>
          <w:tcPr>
            <w:tcW w:type="dxa" w:w="2880"/>
          </w:tcPr>
          <w:p>
            <w:r>
              <w:t>0.2900</w:t>
            </w:r>
          </w:p>
        </w:tc>
        <w:tc>
          <w:tcPr>
            <w:tcW w:type="dxa" w:w="2880"/>
          </w:tcPr>
          <w:p>
            <w:r>
              <w:t>Best</w:t>
            </w:r>
          </w:p>
        </w:tc>
      </w:tr>
      <w:tr>
        <w:tc>
          <w:tcPr>
            <w:tcW w:type="dxa" w:w="2880"/>
          </w:tcPr>
          <w:p>
            <w:r>
              <w:t>SimpleRNN</w:t>
            </w:r>
          </w:p>
        </w:tc>
        <w:tc>
          <w:tcPr>
            <w:tcW w:type="dxa" w:w="2880"/>
          </w:tcPr>
          <w:p>
            <w:r>
              <w:t>0.6632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  <w:tr>
        <w:tc>
          <w:tcPr>
            <w:tcW w:type="dxa" w:w="2880"/>
          </w:tcPr>
          <w:p>
            <w:r>
              <w:t>ARIMA(1,1,0)</w:t>
            </w:r>
          </w:p>
        </w:tc>
        <w:tc>
          <w:tcPr>
            <w:tcW w:type="dxa" w:w="2880"/>
          </w:tcPr>
          <w:p>
            <w:r>
              <w:t>5.2938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XGBoost</w:t>
            </w:r>
          </w:p>
        </w:tc>
        <w:tc>
          <w:tcPr>
            <w:tcW w:type="dxa" w:w="2880"/>
          </w:tcPr>
          <w:p>
            <w:r>
              <w:t>9.6468</w:t>
            </w:r>
          </w:p>
        </w:tc>
        <w:tc>
          <w:tcPr>
            <w:tcW w:type="dxa" w:w="2880"/>
          </w:tcPr>
          <w:p>
            <w:r>
              <w:t>Weakest</w:t>
            </w:r>
          </w:p>
        </w:tc>
      </w:tr>
    </w:tbl>
    <w:p>
      <w:pPr>
        <w:pStyle w:val="Heading2"/>
      </w:pPr>
      <w:r>
        <w:t>Key Findings</w:t>
      </w:r>
    </w:p>
    <w:p>
      <w:pPr>
        <w:pStyle w:val="ListBullet"/>
      </w:pPr>
      <w:r>
        <w:t>USD/INR was non-stationary in levels but became stationary after log differencing.</w:t>
      </w:r>
    </w:p>
    <w:p>
      <w:pPr>
        <w:pStyle w:val="ListBullet"/>
      </w:pPr>
      <w:r>
        <w:t>ARIMA captured the linear temporal structure effectively and produced approximately white-noise residuals.</w:t>
      </w:r>
    </w:p>
    <w:p>
      <w:pPr>
        <w:pStyle w:val="ListBullet"/>
      </w:pPr>
      <w:r>
        <w:t>XGBoost underperformed because the problem was largely sequential and univariate.</w:t>
      </w:r>
    </w:p>
    <w:p>
      <w:pPr>
        <w:pStyle w:val="ListBullet"/>
      </w:pPr>
      <w:r>
        <w:t>SimpleRNN substantially reduced forecasting error compared with ARIMA.</w:t>
      </w:r>
    </w:p>
    <w:p>
      <w:pPr>
        <w:pStyle w:val="ListBullet"/>
      </w:pPr>
      <w:r>
        <w:t>LSTM achieved the lowest RMSE and delivered roughly a 94% reduction in forecasting error relative to the ARIMA baseline.</w:t>
      </w:r>
    </w:p>
    <w:p>
      <w:pPr>
        <w:pStyle w:val="Heading2"/>
      </w:pPr>
      <w:r>
        <w:t>Conclusion</w:t>
      </w:r>
    </w:p>
    <w:p>
      <w:r>
        <w:t>The project demonstrates a complete multi-model forecasting pipeline for financial time-series analysis. Classical statistical modeling provided a strong interpretable baseline, while recurrent neural networks—especially LSTM—were significantly more effective at capturing nonlinear temporal dependencies in the USD/INR exchange-rate series.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