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(1001522257)</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Being able to predict housing values is a great boon for home buyers, sellers, and investors alike. However, there are many factors that go into a house’s value.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Whether you are a student, someone dipping into the housing market or otherwise, the purchase or selling of a house is a massive financial burden. Will the house you’re selling be at its top value? Will the house you’re buying be at a low enough discount? Particularly in Boston, which currently faces a</w:t>
      </w:r>
      <w:r>
        <w:t xml:space="preserve"> </w:t>
      </w:r>
      <w:r>
        <w:t xml:space="preserve">“</w:t>
      </w:r>
      <w:r>
        <w:t xml:space="preserve">growing housing challenge</w:t>
      </w:r>
      <w:r>
        <w:t xml:space="preserve">”</w:t>
      </w:r>
      <w:r>
        <w:t xml:space="preserve"> </w:t>
      </w:r>
      <w:r>
        <w:t xml:space="preserve">(Bluestone, 2018), to be able to predict housing values is a great boon.</w:t>
      </w:r>
      <w:r>
        <w:t xml:space="preserve"> </w:t>
      </w:r>
      <w:r>
        <w:t xml:space="preserve">As such we propose the following regression model to predict housing values in Boston, given 506 observations over 13 predictor variables.</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ROOM + AGE + DIS + PT_RATIO + </w:t>
      </w:r>
      <w:r>
        <w:br w:type="textWrapping"/>
      </w:r>
      <w:r>
        <w:rPr>
          <w:rStyle w:val="VerbatimChar"/>
        </w:rPr>
        <w:t xml:space="preserve">##     B,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-9.810 -1.895 -0.407  1.657 12.441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-28.739866   3.573034  -8.044 1.40e-14 ***</w:t>
      </w:r>
      <w:r>
        <w:br w:type="textWrapping"/>
      </w:r>
      <w:r>
        <w:rPr>
          <w:rStyle w:val="VerbatimChar"/>
        </w:rPr>
        <w:t xml:space="preserve">## CRIME         0.250559   0.380749   0.658 0.510931    </w:t>
      </w:r>
      <w:r>
        <w:br w:type="textWrapping"/>
      </w:r>
      <w:r>
        <w:rPr>
          <w:rStyle w:val="VerbatimChar"/>
        </w:rPr>
        <w:t xml:space="preserve">## CHR_V         1.172626   0.656461   1.786 0.074929 .  </w:t>
      </w:r>
      <w:r>
        <w:br w:type="textWrapping"/>
      </w:r>
      <w:r>
        <w:rPr>
          <w:rStyle w:val="VerbatimChar"/>
        </w:rPr>
        <w:t xml:space="preserve">## ROOM         10.112359   0.285453  35.426  &lt; 2e-16 ***</w:t>
      </w:r>
      <w:r>
        <w:br w:type="textWrapping"/>
      </w:r>
      <w:r>
        <w:rPr>
          <w:rStyle w:val="VerbatimChar"/>
        </w:rPr>
        <w:t xml:space="preserve">## AGE          -0.063802   0.008536  -7.475 6.41e-13 ***</w:t>
      </w:r>
      <w:r>
        <w:br w:type="textWrapping"/>
      </w:r>
      <w:r>
        <w:rPr>
          <w:rStyle w:val="VerbatimChar"/>
        </w:rPr>
        <w:t xml:space="preserve">## DIS          -0.724717   0.116426  -6.225 1.40e-09 ***</w:t>
      </w:r>
      <w:r>
        <w:br w:type="textWrapping"/>
      </w:r>
      <w:r>
        <w:rPr>
          <w:rStyle w:val="VerbatimChar"/>
        </w:rPr>
        <w:t xml:space="preserve">## PT_RATIO     -0.623436   0.089051  -7.001 1.33e-11 ***</w:t>
      </w:r>
      <w:r>
        <w:br w:type="textWrapping"/>
      </w:r>
      <w:r>
        <w:rPr>
          <w:rStyle w:val="VerbatimChar"/>
        </w:rPr>
        <w:t xml:space="preserve">## B             0.018392   0.004974   3.697 0.000253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3.205 on 346 degrees of freedom</w:t>
      </w:r>
      <w:r>
        <w:br w:type="textWrapping"/>
      </w:r>
      <w:r>
        <w:rPr>
          <w:rStyle w:val="VerbatimChar"/>
        </w:rPr>
        <w:t xml:space="preserve">## Multiple R-squared:  0.8585, Adjusted R-squared:  0.8557 </w:t>
      </w:r>
      <w:r>
        <w:br w:type="textWrapping"/>
      </w:r>
      <w:r>
        <w:rPr>
          <w:rStyle w:val="VerbatimChar"/>
        </w:rPr>
        <w:t xml:space="preserve">## F-statistic:   300 on 7 and 346 DF,  p-value: &lt; 2.2e-16</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10.27365</w:t>
      </w:r>
    </w:p>
    <w:p>
      <w:pPr>
        <w:pStyle w:val="SourceCode"/>
      </w:pPr>
      <w:r>
        <w:rPr>
          <w:rStyle w:val="VerbatimChar"/>
        </w:rPr>
        <w:t xml:space="preserve">## [1] 44.31514</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Heading1"/>
      </w:pPr>
      <w:bookmarkStart w:id="41" w:name="conclusions"/>
      <w:bookmarkEnd w:id="41"/>
      <w:r>
        <w:t xml:space="preserve">Conclusions</w:t>
      </w:r>
    </w:p>
    <w:p>
      <w:pPr>
        <w:pStyle w:val="FirstParagraph"/>
      </w:pPr>
      <w:r>
        <w:t xml:space="preserve">The goal of this case study was to find and develop a model based on the dataset provided that can predict Boston housing prices so that prospective home buyers can look for an optimal time to purchase property. Our final model is MEDV ~ …. (WRITE OUT THE MODEL), which eliminates many variables with high collinearity, providing us with the lowest AIC alongside retaining a high r^2 value with the original model.</w:t>
      </w:r>
    </w:p>
    <w:p>
      <w:pPr>
        <w:pStyle w:val="BodyText"/>
      </w:pPr>
      <w:r>
        <w:t xml:space="preserve">This model does have limitations, it has a small sample size as it only contains 506 records. For reference in the month of November 2017 alone, there were 2,429 single-family homes listed on the market (Woods, E.). The model also lacks other predictor variables that affect the price of a home, such as property taxes, management fees, mortgage rates, hydro and electrical costs, access to public transit to name a few. The data also does not separate houses of different types, as the there is a price jump from Condos to Houses despite both having the same number of bedrooms. A possible area of future study may be expanding the sample size or focusing on a single property type to obtain a more accurate prediction model.</w:t>
      </w:r>
    </w:p>
    <w:p>
      <w:pPr>
        <w:pStyle w:val="Heading1"/>
      </w:pPr>
      <w:bookmarkStart w:id="42" w:name="citations"/>
      <w:bookmarkEnd w:id="42"/>
      <w:r>
        <w:t xml:space="preserve">Citations</w:t>
      </w:r>
    </w:p>
    <w:p>
      <w:pPr>
        <w:pStyle w:val="FirstParagraph"/>
      </w:pPr>
      <w:r>
        <w:t xml:space="preserve">Bluestone, B. &amp; Huessy, J. (2017). The Greater Boston Housing Report Card 2017 Ideas from the Urban Core - Responsive Development - as a Model for Regional Growth, 68</w:t>
      </w:r>
    </w:p>
    <w:p>
      <w:pPr>
        <w:pStyle w:val="BodyText"/>
      </w:pPr>
      <w:r>
        <w:t xml:space="preserve">National Library of Medicine. (2017). Nitrogen Oxides: Your Environment, Your Health | National Library of Medicine. Retrieved from</w:t>
      </w:r>
      <w:r>
        <w:t xml:space="preserve"> </w:t>
      </w:r>
      <w:hyperlink r:id="rId43">
        <w:r>
          <w:rPr>
            <w:rStyle w:val="Hyperlink"/>
          </w:rPr>
          <w:t xml:space="preserve">https://toxtown.nlm.nih.gov/chemicals-and-contaminants/nitrogen-oxides</w:t>
        </w:r>
      </w:hyperlink>
    </w:p>
    <w:p>
      <w:pPr>
        <w:pStyle w:val="BodyText"/>
      </w:pPr>
      <w:r>
        <w:t xml:space="preserve">UNESCO. (2018). Pupil-teacher ratio (PTR). Retrived from</w:t>
      </w:r>
      <w:r>
        <w:t xml:space="preserve"> </w:t>
      </w:r>
      <w:hyperlink r:id="rId44">
        <w:r>
          <w:rPr>
            <w:rStyle w:val="Hyperlink"/>
          </w:rPr>
          <w:t xml:space="preserve">http://uis.unesco.org/node/334770</w:t>
        </w:r>
      </w:hyperlink>
    </w:p>
    <w:p>
      <w:pPr>
        <w:pStyle w:val="BodyText"/>
      </w:pPr>
      <w:r>
        <w:t xml:space="preserve">Woods, E. (2018). Greater Boston saw record median home prices in November</w:t>
      </w:r>
      <w:r>
        <w:t xml:space="preserve"> </w:t>
      </w:r>
      <w:hyperlink r:id="rId45">
        <w:r>
          <w:rPr>
            <w:rStyle w:val="Hyperlink"/>
          </w:rPr>
          <w:t xml:space="preserve">http://realestate.boston.com/buying/2018/12/28/greater-boston-record-november-home-sale-prices/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2d953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45" Target="http://realestate.boston.com/buying/2018/12/28/greater-boston-record-november-home-sale-prices/" TargetMode="External" /><Relationship Type="http://schemas.openxmlformats.org/officeDocument/2006/relationships/hyperlink" Id="rId44" Target="http://uis.unesco.org/node/334770" TargetMode="External" /><Relationship Type="http://schemas.openxmlformats.org/officeDocument/2006/relationships/hyperlink" Id="rId43" Target="https://toxtown.nlm.nih.gov/chemicals-and-contaminants/nitrogen-oxides" TargetMode="External" /></Relationships>
</file>

<file path=word/_rels/footnotes.xml.rels><?xml version="1.0" encoding="UTF-8"?>
<Relationships xmlns="http://schemas.openxmlformats.org/package/2006/relationships"><Relationship Type="http://schemas.openxmlformats.org/officeDocument/2006/relationships/hyperlink" Id="rId45" Target="http://realestate.boston.com/buying/2018/12/28/greater-boston-record-november-home-sale-prices/" TargetMode="External" /><Relationship Type="http://schemas.openxmlformats.org/officeDocument/2006/relationships/hyperlink" Id="rId44" Target="http://uis.unesco.org/node/334770" TargetMode="External" /><Relationship Type="http://schemas.openxmlformats.org/officeDocument/2006/relationships/hyperlink" Id="rId43" Target="https://toxtown.nlm.nih.gov/chemicals-and-contaminants/nitrogen-oxid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(1001522257); Gopi Santhiran (1001371534); Yu Heng Wu (1003475330); Group 13</dc:creator>
  <dcterms:created xsi:type="dcterms:W3CDTF">2019-04-05T00:05:26Z</dcterms:created>
  <dcterms:modified xsi:type="dcterms:W3CDTF">2019-04-05T00:05:26Z</dcterms:modified>
</cp:coreProperties>
</file>