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3A5C"/>
          <w:sz w:val="28"/>
          <w:szCs w:val="28"/>
        </w:rPr>
        <w:t xml:space="preserve">SecureFinX Pvt. Ltd.</w:t>
      </w:r>
    </w:p>
    <w:p>
      <w:pPr>
        <w:spacing w:after="40" w:before="0"/>
        <w:jc w:val="center"/>
      </w:pPr>
      <w:r>
        <w:rPr>
          <w:rFonts w:ascii="Arial" w:cs="Arial" w:eastAsia="Arial" w:hAnsi="Arial"/>
          <w:b/>
          <w:bCs/>
          <w:color w:val="1C1C1C"/>
          <w:sz w:val="36"/>
          <w:szCs w:val="36"/>
        </w:rPr>
        <w:t xml:space="preserve">Acceptable Use Policy (AUP)</w:t>
      </w:r>
    </w:p>
    <w:p>
      <w:pPr>
        <w:spacing w:after="160" w:before="0"/>
        <w:jc w:val="center"/>
      </w:pPr>
      <w:r>
        <w:rPr>
          <w:rFonts w:ascii="Arial" w:cs="Arial" w:eastAsia="Arial" w:hAnsi="Arial"/>
          <w:i/>
          <w:iCs/>
          <w:color w:val="555555"/>
          <w:sz w:val="18"/>
          <w:szCs w:val="18"/>
        </w:rPr>
        <w:t xml:space="preserve">Version 1.0  |  Effective: May 2025  |  Owner: Chief Information Security Officer</w:t>
      </w:r>
    </w:p>
    <w:p>
      <w:pPr>
        <w:pBdr>
          <w:bottom w:val="single" w:color="1A3A5C" w:sz="6" w:space="1"/>
        </w:pBd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Document ID</w:t>
            </w:r>
          </w:p>
        </w:tc>
        <w:tc>
          <w:tcPr>
            <w:tcW w:type="dxa" w:w="68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color w:val="1C1C1C"/>
                <w:sz w:val="18"/>
                <w:szCs w:val="18"/>
              </w:rPr>
              <w:t xml:space="preserve">SEC-POL-001</w:t>
            </w:r>
          </w:p>
        </w:tc>
      </w:tr>
      <w:tr>
        <w:tc>
          <w:tcPr>
            <w:tcW w:type="dxa" w:w="25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Classification</w:t>
            </w:r>
          </w:p>
        </w:tc>
        <w:tc>
          <w:tcPr>
            <w:tcW w:type="dxa" w:w="68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color w:val="1C1C1C"/>
                <w:sz w:val="18"/>
                <w:szCs w:val="18"/>
              </w:rPr>
              <w:t xml:space="preserve">Internal</w:t>
            </w:r>
          </w:p>
        </w:tc>
      </w:tr>
      <w:tr>
        <w:tc>
          <w:tcPr>
            <w:tcW w:type="dxa" w:w="25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Review Cycle</w:t>
            </w:r>
          </w:p>
        </w:tc>
        <w:tc>
          <w:tcPr>
            <w:tcW w:type="dxa" w:w="68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color w:val="1C1C1C"/>
                <w:sz w:val="18"/>
                <w:szCs w:val="18"/>
              </w:rPr>
              <w:t xml:space="preserve">Annual</w:t>
            </w:r>
          </w:p>
        </w:tc>
      </w:tr>
      <w:tr>
        <w:tc>
          <w:tcPr>
            <w:tcW w:type="dxa" w:w="25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Approved By</w:t>
            </w:r>
          </w:p>
        </w:tc>
        <w:tc>
          <w:tcPr>
            <w:tcW w:type="dxa" w:w="68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color w:val="1C1C1C"/>
                <w:sz w:val="18"/>
                <w:szCs w:val="18"/>
              </w:rPr>
              <w:t xml:space="preserve">CISO — SecureFinX Pvt. Ltd.</w:t>
            </w:r>
          </w:p>
        </w:tc>
      </w:tr>
      <w:tr>
        <w:tc>
          <w:tcPr>
            <w:tcW w:type="dxa" w:w="25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ISO 27001 Ref</w:t>
            </w:r>
          </w:p>
        </w:tc>
        <w:tc>
          <w:tcPr>
            <w:tcW w:type="dxa" w:w="68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color w:val="1C1C1C"/>
                <w:sz w:val="18"/>
                <w:szCs w:val="18"/>
              </w:rPr>
              <w:t xml:space="preserve">A.5.10, A.6.2, A.8.1, A.8.19</w:t>
            </w:r>
          </w:p>
        </w:tc>
      </w:tr>
      <w:tr>
        <w:tc>
          <w:tcPr>
            <w:tcW w:type="dxa" w:w="25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Next Review</w:t>
            </w:r>
          </w:p>
        </w:tc>
        <w:tc>
          <w:tcPr>
            <w:tcW w:type="dxa" w:w="68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rFonts w:ascii="Arial" w:cs="Arial" w:eastAsia="Arial" w:hAnsi="Arial"/>
                <w:color w:val="1C1C1C"/>
                <w:sz w:val="18"/>
                <w:szCs w:val="18"/>
              </w:rPr>
              <w:t xml:space="preserve">May 2026</w:t>
            </w:r>
          </w:p>
        </w:tc>
      </w:tr>
    </w:tbl>
    <w:p>
      <w:pPr>
        <w:spacing w:after="80" w:before="80"/>
      </w:pPr>
    </w:p>
    <w:p>
      <w:pPr>
        <w:pStyle w:val="Heading1"/>
      </w:pPr>
      <w:r>
        <w:rPr>
          <w:rFonts w:ascii="Arial" w:cs="Arial" w:eastAsia="Arial" w:hAnsi="Arial"/>
          <w:b/>
          <w:bCs/>
          <w:color w:val="1A3A5C"/>
          <w:sz w:val="28"/>
          <w:szCs w:val="28"/>
        </w:rPr>
        <w:t xml:space="preserve">1. Purpose</w:t>
      </w:r>
    </w:p>
    <w:p>
      <w:pPr>
        <w:spacing w:after="60" w:before="60"/>
      </w:pPr>
      <w:r>
        <w:rPr>
          <w:rFonts w:ascii="Arial" w:cs="Arial" w:eastAsia="Arial" w:hAnsi="Arial"/>
          <w:color w:val="1C1C1C"/>
          <w:sz w:val="20"/>
          <w:szCs w:val="20"/>
        </w:rPr>
        <w:t xml:space="preserve">This Acceptable Use Policy (AUP) defines the rules for the appropriate use of SecureFinX Pvt. Ltd.'s information assets, technology systems, and network resources. It exists to protect both the organisation and its employees from risks arising from inappropriate use.</w:t>
      </w:r>
    </w:p>
    <w:p>
      <w:pPr>
        <w:spacing w:after="60" w:before="60"/>
      </w:pPr>
      <w:r>
        <w:rPr>
          <w:rFonts w:ascii="Arial" w:cs="Arial" w:eastAsia="Arial" w:hAnsi="Arial"/>
          <w:color w:val="1C1C1C"/>
          <w:sz w:val="20"/>
          <w:szCs w:val="20"/>
        </w:rPr>
        <w:t xml:space="preserve">All employees, contractors, consultants, and third parties with access to SecureFinX systems are required to read, understand, and comply with this policy.</w:t>
      </w:r>
    </w:p>
    <w:p>
      <w:pPr>
        <w:pStyle w:val="Heading1"/>
      </w:pPr>
      <w:r>
        <w:rPr>
          <w:rFonts w:ascii="Arial" w:cs="Arial" w:eastAsia="Arial" w:hAnsi="Arial"/>
          <w:b/>
          <w:bCs/>
          <w:color w:val="1A3A5C"/>
          <w:sz w:val="28"/>
          <w:szCs w:val="28"/>
        </w:rPr>
        <w:t xml:space="preserve">2. Scope</w:t>
      </w:r>
    </w:p>
    <w:p>
      <w:pPr>
        <w:spacing w:after="60" w:before="60"/>
      </w:pPr>
      <w:r>
        <w:rPr>
          <w:rFonts w:ascii="Arial" w:cs="Arial" w:eastAsia="Arial" w:hAnsi="Arial"/>
          <w:color w:val="1C1C1C"/>
          <w:sz w:val="20"/>
          <w:szCs w:val="20"/>
        </w:rPr>
        <w:t xml:space="preserve">This policy applies to:</w:t>
      </w:r>
    </w:p>
    <w:p>
      <w:pPr>
        <w:pStyle w:val="ListParagraph"/>
        <w:numPr>
          <w:ilvl w:val="0"/>
          <w:numId w:val="2"/>
        </w:numPr>
        <w:spacing w:after="40" w:before="40"/>
      </w:pPr>
      <w:r>
        <w:rPr>
          <w:rFonts w:ascii="Arial" w:cs="Arial" w:eastAsia="Arial" w:hAnsi="Arial"/>
          <w:color w:val="1C1C1C"/>
          <w:sz w:val="20"/>
          <w:szCs w:val="20"/>
        </w:rPr>
        <w:t xml:space="preserve">All SecureFinX employees, permanent and temporary</w:t>
      </w:r>
    </w:p>
    <w:p>
      <w:pPr>
        <w:pStyle w:val="ListParagraph"/>
        <w:numPr>
          <w:ilvl w:val="0"/>
          <w:numId w:val="2"/>
        </w:numPr>
        <w:spacing w:after="40" w:before="40"/>
      </w:pPr>
      <w:r>
        <w:rPr>
          <w:rFonts w:ascii="Arial" w:cs="Arial" w:eastAsia="Arial" w:hAnsi="Arial"/>
          <w:color w:val="1C1C1C"/>
          <w:sz w:val="20"/>
          <w:szCs w:val="20"/>
        </w:rPr>
        <w:t xml:space="preserve">All contractors, consultants, and third-party vendors with system access</w:t>
      </w:r>
    </w:p>
    <w:p>
      <w:pPr>
        <w:pStyle w:val="ListParagraph"/>
        <w:numPr>
          <w:ilvl w:val="0"/>
          <w:numId w:val="2"/>
        </w:numPr>
        <w:spacing w:after="40" w:before="40"/>
      </w:pPr>
      <w:r>
        <w:rPr>
          <w:rFonts w:ascii="Arial" w:cs="Arial" w:eastAsia="Arial" w:hAnsi="Arial"/>
          <w:color w:val="1C1C1C"/>
          <w:sz w:val="20"/>
          <w:szCs w:val="20"/>
        </w:rPr>
        <w:t xml:space="preserve">All information assets — computers, mobile devices, cloud systems, applications, data, email, and internet access</w:t>
      </w:r>
    </w:p>
    <w:p>
      <w:pPr>
        <w:pStyle w:val="ListParagraph"/>
        <w:numPr>
          <w:ilvl w:val="0"/>
          <w:numId w:val="2"/>
        </w:numPr>
        <w:spacing w:after="40" w:before="40"/>
      </w:pPr>
      <w:r>
        <w:rPr>
          <w:rFonts w:ascii="Arial" w:cs="Arial" w:eastAsia="Arial" w:hAnsi="Arial"/>
          <w:color w:val="1C1C1C"/>
          <w:sz w:val="20"/>
          <w:szCs w:val="20"/>
        </w:rPr>
        <w:t xml:space="preserve">All SecureFinX-owned and personal devices used to access company systems (BYOD)</w:t>
      </w:r>
    </w:p>
    <w:p>
      <w:pPr>
        <w:pStyle w:val="Heading1"/>
      </w:pPr>
      <w:r>
        <w:rPr>
          <w:rFonts w:ascii="Arial" w:cs="Arial" w:eastAsia="Arial" w:hAnsi="Arial"/>
          <w:b/>
          <w:bCs/>
          <w:color w:val="1A3A5C"/>
          <w:sz w:val="28"/>
          <w:szCs w:val="28"/>
        </w:rPr>
        <w:t xml:space="preserve">3. Permitted Use</w:t>
      </w:r>
    </w:p>
    <w:p>
      <w:pPr>
        <w:spacing w:after="60" w:before="60"/>
      </w:pPr>
      <w:r>
        <w:rPr>
          <w:rFonts w:ascii="Arial" w:cs="Arial" w:eastAsia="Arial" w:hAnsi="Arial"/>
          <w:color w:val="1C1C1C"/>
          <w:sz w:val="20"/>
          <w:szCs w:val="20"/>
        </w:rPr>
        <w:t xml:space="preserve">SecureFinX systems and resources are provided for business purposes. Permitted uses include:</w:t>
      </w:r>
    </w:p>
    <w:p>
      <w:pPr>
        <w:pStyle w:val="ListParagraph"/>
        <w:numPr>
          <w:ilvl w:val="0"/>
          <w:numId w:val="2"/>
        </w:numPr>
        <w:spacing w:after="40" w:before="40"/>
      </w:pPr>
      <w:r>
        <w:rPr>
          <w:rFonts w:ascii="Arial" w:cs="Arial" w:eastAsia="Arial" w:hAnsi="Arial"/>
          <w:color w:val="1C1C1C"/>
          <w:sz w:val="20"/>
          <w:szCs w:val="20"/>
        </w:rPr>
        <w:t xml:space="preserve">Performing job-related tasks and responsibilities</w:t>
      </w:r>
    </w:p>
    <w:p>
      <w:pPr>
        <w:pStyle w:val="ListParagraph"/>
        <w:numPr>
          <w:ilvl w:val="0"/>
          <w:numId w:val="2"/>
        </w:numPr>
        <w:spacing w:after="40" w:before="40"/>
      </w:pPr>
      <w:r>
        <w:rPr>
          <w:rFonts w:ascii="Arial" w:cs="Arial" w:eastAsia="Arial" w:hAnsi="Arial"/>
          <w:color w:val="1C1C1C"/>
          <w:sz w:val="20"/>
          <w:szCs w:val="20"/>
        </w:rPr>
        <w:t xml:space="preserve">Accessing business applications, data, and communications systems required for work</w:t>
      </w:r>
    </w:p>
    <w:p>
      <w:pPr>
        <w:pStyle w:val="ListParagraph"/>
        <w:numPr>
          <w:ilvl w:val="0"/>
          <w:numId w:val="2"/>
        </w:numPr>
        <w:spacing w:after="40" w:before="40"/>
      </w:pPr>
      <w:r>
        <w:rPr>
          <w:rFonts w:ascii="Arial" w:cs="Arial" w:eastAsia="Arial" w:hAnsi="Arial"/>
          <w:color w:val="1C1C1C"/>
          <w:sz w:val="20"/>
          <w:szCs w:val="20"/>
        </w:rPr>
        <w:t xml:space="preserve">Reasonable personal use that does not interfere with productivity or violate this policy</w:t>
      </w:r>
    </w:p>
    <w:p>
      <w:pPr>
        <w:pStyle w:val="ListParagraph"/>
        <w:numPr>
          <w:ilvl w:val="0"/>
          <w:numId w:val="2"/>
        </w:numPr>
        <w:spacing w:after="40" w:before="40"/>
      </w:pPr>
      <w:r>
        <w:rPr>
          <w:rFonts w:ascii="Arial" w:cs="Arial" w:eastAsia="Arial" w:hAnsi="Arial"/>
          <w:color w:val="1C1C1C"/>
          <w:sz w:val="20"/>
          <w:szCs w:val="20"/>
        </w:rPr>
        <w:t xml:space="preserve">Participating in approved training, professional development, and learning activities</w:t>
      </w:r>
    </w:p>
    <w:p>
      <w:pPr>
        <w:pStyle w:val="Heading1"/>
      </w:pPr>
      <w:r>
        <w:rPr>
          <w:rFonts w:ascii="Arial" w:cs="Arial" w:eastAsia="Arial" w:hAnsi="Arial"/>
          <w:b/>
          <w:bCs/>
          <w:color w:val="1A3A5C"/>
          <w:sz w:val="28"/>
          <w:szCs w:val="28"/>
        </w:rPr>
        <w:t xml:space="preserve">4. Prohibited Activities</w:t>
      </w:r>
    </w:p>
    <w:p>
      <w:pPr>
        <w:spacing w:after="60" w:before="60"/>
      </w:pPr>
      <w:r>
        <w:rPr>
          <w:rFonts w:ascii="Arial" w:cs="Arial" w:eastAsia="Arial" w:hAnsi="Arial"/>
          <w:color w:val="1C1C1C"/>
          <w:sz w:val="20"/>
          <w:szCs w:val="20"/>
        </w:rPr>
        <w:t xml:space="preserve">The following activities are strictly prohibited on all SecureFinX systems:</w:t>
      </w:r>
    </w:p>
    <w:p>
      <w:pPr>
        <w:pStyle w:val="Heading2"/>
      </w:pPr>
      <w:r>
        <w:rPr>
          <w:rFonts w:ascii="Arial" w:cs="Arial" w:eastAsia="Arial" w:hAnsi="Arial"/>
          <w:b/>
          <w:bCs/>
          <w:color w:val="1A3A5C"/>
          <w:sz w:val="22"/>
          <w:szCs w:val="22"/>
        </w:rPr>
        <w:t xml:space="preserve">4.1 Data &amp; Privacy Violations</w:t>
      </w:r>
    </w:p>
    <w:p>
      <w:pPr>
        <w:pStyle w:val="ListParagraph"/>
        <w:numPr>
          <w:ilvl w:val="0"/>
          <w:numId w:val="2"/>
        </w:numPr>
        <w:spacing w:after="40" w:before="40"/>
      </w:pPr>
      <w:r>
        <w:rPr>
          <w:rFonts w:ascii="Arial" w:cs="Arial" w:eastAsia="Arial" w:hAnsi="Arial"/>
          <w:color w:val="1C1C1C"/>
          <w:sz w:val="20"/>
          <w:szCs w:val="20"/>
        </w:rPr>
        <w:t xml:space="preserve">Accessing, copying, or sharing customer data beyond what is required for your role</w:t>
      </w:r>
    </w:p>
    <w:p>
      <w:pPr>
        <w:pStyle w:val="ListParagraph"/>
        <w:numPr>
          <w:ilvl w:val="0"/>
          <w:numId w:val="2"/>
        </w:numPr>
        <w:spacing w:after="40" w:before="40"/>
      </w:pPr>
      <w:r>
        <w:rPr>
          <w:rFonts w:ascii="Arial" w:cs="Arial" w:eastAsia="Arial" w:hAnsi="Arial"/>
          <w:color w:val="1C1C1C"/>
          <w:sz w:val="20"/>
          <w:szCs w:val="20"/>
        </w:rPr>
        <w:t xml:space="preserve">Sending customer PII (Aadhaar, PAN, payment data) via unencrypted email or personal accounts</w:t>
      </w:r>
    </w:p>
    <w:p>
      <w:pPr>
        <w:pStyle w:val="ListParagraph"/>
        <w:numPr>
          <w:ilvl w:val="0"/>
          <w:numId w:val="2"/>
        </w:numPr>
        <w:spacing w:after="40" w:before="40"/>
      </w:pPr>
      <w:r>
        <w:rPr>
          <w:rFonts w:ascii="Arial" w:cs="Arial" w:eastAsia="Arial" w:hAnsi="Arial"/>
          <w:color w:val="1C1C1C"/>
          <w:sz w:val="20"/>
          <w:szCs w:val="20"/>
        </w:rPr>
        <w:t xml:space="preserve">Storing sensitive business or customer data on personal cloud services (Google Drive personal, Dropbox, etc.)</w:t>
      </w:r>
    </w:p>
    <w:p>
      <w:pPr>
        <w:pStyle w:val="ListParagraph"/>
        <w:numPr>
          <w:ilvl w:val="0"/>
          <w:numId w:val="2"/>
        </w:numPr>
        <w:spacing w:after="40" w:before="40"/>
      </w:pPr>
      <w:r>
        <w:rPr>
          <w:rFonts w:ascii="Arial" w:cs="Arial" w:eastAsia="Arial" w:hAnsi="Arial"/>
          <w:color w:val="1C1C1C"/>
          <w:sz w:val="20"/>
          <w:szCs w:val="20"/>
        </w:rPr>
        <w:t xml:space="preserve">Attempting to access data or systems you are not authorised to access</w:t>
      </w:r>
    </w:p>
    <w:p>
      <w:pPr>
        <w:pStyle w:val="Heading2"/>
      </w:pPr>
      <w:r>
        <w:rPr>
          <w:rFonts w:ascii="Arial" w:cs="Arial" w:eastAsia="Arial" w:hAnsi="Arial"/>
          <w:b/>
          <w:bCs/>
          <w:color w:val="1A3A5C"/>
          <w:sz w:val="22"/>
          <w:szCs w:val="22"/>
        </w:rPr>
        <w:t xml:space="preserve">4.2 Security Violations</w:t>
      </w:r>
    </w:p>
    <w:p>
      <w:pPr>
        <w:pStyle w:val="ListParagraph"/>
        <w:numPr>
          <w:ilvl w:val="0"/>
          <w:numId w:val="2"/>
        </w:numPr>
        <w:spacing w:after="40" w:before="40"/>
      </w:pPr>
      <w:r>
        <w:rPr>
          <w:rFonts w:ascii="Arial" w:cs="Arial" w:eastAsia="Arial" w:hAnsi="Arial"/>
          <w:color w:val="1C1C1C"/>
          <w:sz w:val="20"/>
          <w:szCs w:val="20"/>
        </w:rPr>
        <w:t xml:space="preserve">Installing unapproved software on company or BYOD devices used for work</w:t>
      </w:r>
    </w:p>
    <w:p>
      <w:pPr>
        <w:pStyle w:val="ListParagraph"/>
        <w:numPr>
          <w:ilvl w:val="0"/>
          <w:numId w:val="2"/>
        </w:numPr>
        <w:spacing w:after="40" w:before="40"/>
      </w:pPr>
      <w:r>
        <w:rPr>
          <w:rFonts w:ascii="Arial" w:cs="Arial" w:eastAsia="Arial" w:hAnsi="Arial"/>
          <w:color w:val="1C1C1C"/>
          <w:sz w:val="20"/>
          <w:szCs w:val="20"/>
        </w:rPr>
        <w:t xml:space="preserve">Sharing your login credentials with any other person — including colleagues</w:t>
      </w:r>
    </w:p>
    <w:p>
      <w:pPr>
        <w:pStyle w:val="ListParagraph"/>
        <w:numPr>
          <w:ilvl w:val="0"/>
          <w:numId w:val="2"/>
        </w:numPr>
        <w:spacing w:after="40" w:before="40"/>
      </w:pPr>
      <w:r>
        <w:rPr>
          <w:rFonts w:ascii="Arial" w:cs="Arial" w:eastAsia="Arial" w:hAnsi="Arial"/>
          <w:color w:val="1C1C1C"/>
          <w:sz w:val="20"/>
          <w:szCs w:val="20"/>
        </w:rPr>
        <w:t xml:space="preserve">Disabling or bypassing security controls such as antivirus, firewall, or MDM</w:t>
      </w:r>
    </w:p>
    <w:p>
      <w:pPr>
        <w:pStyle w:val="ListParagraph"/>
        <w:numPr>
          <w:ilvl w:val="0"/>
          <w:numId w:val="2"/>
        </w:numPr>
        <w:spacing w:after="40" w:before="40"/>
      </w:pPr>
      <w:r>
        <w:rPr>
          <w:rFonts w:ascii="Arial" w:cs="Arial" w:eastAsia="Arial" w:hAnsi="Arial"/>
          <w:color w:val="1C1C1C"/>
          <w:sz w:val="20"/>
          <w:szCs w:val="20"/>
        </w:rPr>
        <w:t xml:space="preserve">Connecting to public Wi-Fi for work activities without using the approved VPN</w:t>
      </w:r>
    </w:p>
    <w:p>
      <w:pPr>
        <w:pStyle w:val="ListParagraph"/>
        <w:numPr>
          <w:ilvl w:val="0"/>
          <w:numId w:val="2"/>
        </w:numPr>
        <w:spacing w:after="40" w:before="40"/>
      </w:pPr>
      <w:r>
        <w:rPr>
          <w:rFonts w:ascii="Arial" w:cs="Arial" w:eastAsia="Arial" w:hAnsi="Arial"/>
          <w:color w:val="1C1C1C"/>
          <w:sz w:val="20"/>
          <w:szCs w:val="20"/>
        </w:rPr>
        <w:t xml:space="preserve">Attempting to circumvent content filtering or access controls</w:t>
      </w:r>
    </w:p>
    <w:p>
      <w:pPr>
        <w:pStyle w:val="Heading2"/>
      </w:pPr>
      <w:r>
        <w:rPr>
          <w:rFonts w:ascii="Arial" w:cs="Arial" w:eastAsia="Arial" w:hAnsi="Arial"/>
          <w:b/>
          <w:bCs/>
          <w:color w:val="1A3A5C"/>
          <w:sz w:val="22"/>
          <w:szCs w:val="22"/>
        </w:rPr>
        <w:t xml:space="preserve">4.3 Legal &amp; Ethical Violations</w:t>
      </w:r>
    </w:p>
    <w:p>
      <w:pPr>
        <w:pStyle w:val="ListParagraph"/>
        <w:numPr>
          <w:ilvl w:val="0"/>
          <w:numId w:val="2"/>
        </w:numPr>
        <w:spacing w:after="40" w:before="40"/>
      </w:pPr>
      <w:r>
        <w:rPr>
          <w:rFonts w:ascii="Arial" w:cs="Arial" w:eastAsia="Arial" w:hAnsi="Arial"/>
          <w:color w:val="1C1C1C"/>
          <w:sz w:val="20"/>
          <w:szCs w:val="20"/>
        </w:rPr>
        <w:t xml:space="preserve">Downloading, distributing, or storing copyrighted material without authorisation</w:t>
      </w:r>
    </w:p>
    <w:p>
      <w:pPr>
        <w:pStyle w:val="ListParagraph"/>
        <w:numPr>
          <w:ilvl w:val="0"/>
          <w:numId w:val="2"/>
        </w:numPr>
        <w:spacing w:after="40" w:before="40"/>
      </w:pPr>
      <w:r>
        <w:rPr>
          <w:rFonts w:ascii="Arial" w:cs="Arial" w:eastAsia="Arial" w:hAnsi="Arial"/>
          <w:color w:val="1C1C1C"/>
          <w:sz w:val="20"/>
          <w:szCs w:val="20"/>
        </w:rPr>
        <w:t xml:space="preserve">Accessing, viewing, or distributing offensive, harassing, or illegal content</w:t>
      </w:r>
    </w:p>
    <w:p>
      <w:pPr>
        <w:pStyle w:val="ListParagraph"/>
        <w:numPr>
          <w:ilvl w:val="0"/>
          <w:numId w:val="2"/>
        </w:numPr>
        <w:spacing w:after="40" w:before="40"/>
      </w:pPr>
      <w:r>
        <w:rPr>
          <w:rFonts w:ascii="Arial" w:cs="Arial" w:eastAsia="Arial" w:hAnsi="Arial"/>
          <w:color w:val="1C1C1C"/>
          <w:sz w:val="20"/>
          <w:szCs w:val="20"/>
        </w:rPr>
        <w:t xml:space="preserve">Using company systems for personal financial gain or outside business activities</w:t>
      </w:r>
    </w:p>
    <w:p>
      <w:pPr>
        <w:pStyle w:val="ListParagraph"/>
        <w:numPr>
          <w:ilvl w:val="0"/>
          <w:numId w:val="2"/>
        </w:numPr>
        <w:spacing w:after="40" w:before="40"/>
      </w:pPr>
      <w:r>
        <w:rPr>
          <w:rFonts w:ascii="Arial" w:cs="Arial" w:eastAsia="Arial" w:hAnsi="Arial"/>
          <w:color w:val="1C1C1C"/>
          <w:sz w:val="20"/>
          <w:szCs w:val="20"/>
        </w:rPr>
        <w:t xml:space="preserve">Engaging in any activity that violates India's IT Act 2000, DPDP Act 2023, or applicable law</w:t>
      </w:r>
    </w:p>
    <w:p>
      <w:pPr>
        <w:pStyle w:val="Heading1"/>
      </w:pPr>
      <w:r>
        <w:rPr>
          <w:rFonts w:ascii="Arial" w:cs="Arial" w:eastAsia="Arial" w:hAnsi="Arial"/>
          <w:b/>
          <w:bCs/>
          <w:color w:val="1A3A5C"/>
          <w:sz w:val="28"/>
          <w:szCs w:val="28"/>
        </w:rPr>
        <w:t xml:space="preserve">5. Email &amp; Communication</w:t>
      </w:r>
    </w:p>
    <w:p>
      <w:pPr>
        <w:pStyle w:val="ListParagraph"/>
        <w:numPr>
          <w:ilvl w:val="0"/>
          <w:numId w:val="2"/>
        </w:numPr>
        <w:spacing w:after="40" w:before="40"/>
      </w:pPr>
      <w:r>
        <w:rPr>
          <w:rFonts w:ascii="Arial" w:cs="Arial" w:eastAsia="Arial" w:hAnsi="Arial"/>
          <w:color w:val="1C1C1C"/>
          <w:sz w:val="20"/>
          <w:szCs w:val="20"/>
        </w:rPr>
        <w:t xml:space="preserve">Email is a business communication tool — treat all communications as professional</w:t>
      </w:r>
    </w:p>
    <w:p>
      <w:pPr>
        <w:pStyle w:val="ListParagraph"/>
        <w:numPr>
          <w:ilvl w:val="0"/>
          <w:numId w:val="2"/>
        </w:numPr>
        <w:spacing w:after="40" w:before="40"/>
      </w:pPr>
      <w:r>
        <w:rPr>
          <w:rFonts w:ascii="Arial" w:cs="Arial" w:eastAsia="Arial" w:hAnsi="Arial"/>
          <w:color w:val="1C1C1C"/>
          <w:sz w:val="20"/>
          <w:szCs w:val="20"/>
        </w:rPr>
        <w:t xml:space="preserve">Do not open attachments or click links from unknown or suspicious senders</w:t>
      </w:r>
    </w:p>
    <w:p>
      <w:pPr>
        <w:pStyle w:val="ListParagraph"/>
        <w:numPr>
          <w:ilvl w:val="0"/>
          <w:numId w:val="2"/>
        </w:numPr>
        <w:spacing w:after="40" w:before="40"/>
      </w:pPr>
      <w:r>
        <w:rPr>
          <w:rFonts w:ascii="Arial" w:cs="Arial" w:eastAsia="Arial" w:hAnsi="Arial"/>
          <w:color w:val="1C1C1C"/>
          <w:sz w:val="20"/>
          <w:szCs w:val="20"/>
        </w:rPr>
        <w:t xml:space="preserve">Do not forward confidential business information to personal email accounts</w:t>
      </w:r>
    </w:p>
    <w:p>
      <w:pPr>
        <w:pStyle w:val="ListParagraph"/>
        <w:numPr>
          <w:ilvl w:val="0"/>
          <w:numId w:val="2"/>
        </w:numPr>
        <w:spacing w:after="40" w:before="40"/>
      </w:pPr>
      <w:r>
        <w:rPr>
          <w:rFonts w:ascii="Arial" w:cs="Arial" w:eastAsia="Arial" w:hAnsi="Arial"/>
          <w:color w:val="1C1C1C"/>
          <w:sz w:val="20"/>
          <w:szCs w:val="20"/>
        </w:rPr>
        <w:t xml:space="preserve">All business email communications may be monitored by SecureFinX for security purposes</w:t>
      </w:r>
    </w:p>
    <w:p>
      <w:pPr>
        <w:pStyle w:val="Heading1"/>
      </w:pPr>
      <w:r>
        <w:rPr>
          <w:rFonts w:ascii="Arial" w:cs="Arial" w:eastAsia="Arial" w:hAnsi="Arial"/>
          <w:b/>
          <w:bCs/>
          <w:color w:val="1A3A5C"/>
          <w:sz w:val="28"/>
          <w:szCs w:val="28"/>
        </w:rPr>
        <w:t xml:space="preserve">6. Internet Use</w:t>
      </w:r>
    </w:p>
    <w:p>
      <w:pPr>
        <w:pStyle w:val="ListParagraph"/>
        <w:numPr>
          <w:ilvl w:val="0"/>
          <w:numId w:val="2"/>
        </w:numPr>
        <w:spacing w:after="40" w:before="40"/>
      </w:pPr>
      <w:r>
        <w:rPr>
          <w:rFonts w:ascii="Arial" w:cs="Arial" w:eastAsia="Arial" w:hAnsi="Arial"/>
          <w:color w:val="1C1C1C"/>
          <w:sz w:val="20"/>
          <w:szCs w:val="20"/>
        </w:rPr>
        <w:t xml:space="preserve">Internet access is provided for business use — personal use must be incidental and reasonable</w:t>
      </w:r>
    </w:p>
    <w:p>
      <w:pPr>
        <w:pStyle w:val="ListParagraph"/>
        <w:numPr>
          <w:ilvl w:val="0"/>
          <w:numId w:val="2"/>
        </w:numPr>
        <w:spacing w:after="40" w:before="40"/>
      </w:pPr>
      <w:r>
        <w:rPr>
          <w:rFonts w:ascii="Arial" w:cs="Arial" w:eastAsia="Arial" w:hAnsi="Arial"/>
          <w:color w:val="1C1C1C"/>
          <w:sz w:val="20"/>
          <w:szCs w:val="20"/>
        </w:rPr>
        <w:t xml:space="preserve">SecureFinX monitors internet usage — all web traffic on corporate networks is logged</w:t>
      </w:r>
    </w:p>
    <w:p>
      <w:pPr>
        <w:pStyle w:val="ListParagraph"/>
        <w:numPr>
          <w:ilvl w:val="0"/>
          <w:numId w:val="2"/>
        </w:numPr>
        <w:spacing w:after="40" w:before="40"/>
      </w:pPr>
      <w:r>
        <w:rPr>
          <w:rFonts w:ascii="Arial" w:cs="Arial" w:eastAsia="Arial" w:hAnsi="Arial"/>
          <w:color w:val="1C1C1C"/>
          <w:sz w:val="20"/>
          <w:szCs w:val="20"/>
        </w:rPr>
        <w:t xml:space="preserve">Accessing social media for personal use during working hours should be kept to a minimum</w:t>
      </w:r>
    </w:p>
    <w:p>
      <w:pPr>
        <w:pStyle w:val="ListParagraph"/>
        <w:numPr>
          <w:ilvl w:val="0"/>
          <w:numId w:val="2"/>
        </w:numPr>
        <w:spacing w:after="40" w:before="40"/>
      </w:pPr>
      <w:r>
        <w:rPr>
          <w:rFonts w:ascii="Arial" w:cs="Arial" w:eastAsia="Arial" w:hAnsi="Arial"/>
          <w:color w:val="1C1C1C"/>
          <w:sz w:val="20"/>
          <w:szCs w:val="20"/>
        </w:rPr>
        <w:t xml:space="preserve">Downloading software, files, or media from the internet requires IT approval</w:t>
      </w:r>
    </w:p>
    <w:p>
      <w:pPr>
        <w:pStyle w:val="Heading1"/>
      </w:pPr>
      <w:r>
        <w:rPr>
          <w:rFonts w:ascii="Arial" w:cs="Arial" w:eastAsia="Arial" w:hAnsi="Arial"/>
          <w:b/>
          <w:bCs/>
          <w:color w:val="1A3A5C"/>
          <w:sz w:val="28"/>
          <w:szCs w:val="28"/>
        </w:rPr>
        <w:t xml:space="preserve">7. Mobile Devices &amp; Remote Working</w:t>
      </w:r>
    </w:p>
    <w:p>
      <w:pPr>
        <w:pStyle w:val="ListParagraph"/>
        <w:numPr>
          <w:ilvl w:val="0"/>
          <w:numId w:val="2"/>
        </w:numPr>
        <w:spacing w:after="40" w:before="40"/>
      </w:pPr>
      <w:r>
        <w:rPr>
          <w:rFonts w:ascii="Arial" w:cs="Arial" w:eastAsia="Arial" w:hAnsi="Arial"/>
          <w:color w:val="1C1C1C"/>
          <w:sz w:val="20"/>
          <w:szCs w:val="20"/>
        </w:rPr>
        <w:t xml:space="preserve">All devices used to access SecureFinX systems must have a screen lock enabled (max 5-minute timeout)</w:t>
      </w:r>
    </w:p>
    <w:p>
      <w:pPr>
        <w:pStyle w:val="ListParagraph"/>
        <w:numPr>
          <w:ilvl w:val="0"/>
          <w:numId w:val="2"/>
        </w:numPr>
        <w:spacing w:after="40" w:before="40"/>
      </w:pPr>
      <w:r>
        <w:rPr>
          <w:rFonts w:ascii="Arial" w:cs="Arial" w:eastAsia="Arial" w:hAnsi="Arial"/>
          <w:color w:val="1C1C1C"/>
          <w:sz w:val="20"/>
          <w:szCs w:val="20"/>
        </w:rPr>
        <w:t xml:space="preserve">Company data must not be stored on personal devices unless MDM-enrolled</w:t>
      </w:r>
    </w:p>
    <w:p>
      <w:pPr>
        <w:pStyle w:val="ListParagraph"/>
        <w:numPr>
          <w:ilvl w:val="0"/>
          <w:numId w:val="2"/>
        </w:numPr>
        <w:spacing w:after="40" w:before="40"/>
      </w:pPr>
      <w:r>
        <w:rPr>
          <w:rFonts w:ascii="Arial" w:cs="Arial" w:eastAsia="Arial" w:hAnsi="Arial"/>
          <w:color w:val="1C1C1C"/>
          <w:sz w:val="20"/>
          <w:szCs w:val="20"/>
        </w:rPr>
        <w:t xml:space="preserve">Lost or stolen devices must be reported to IT within 2 hours of discovery</w:t>
      </w:r>
    </w:p>
    <w:p>
      <w:pPr>
        <w:pStyle w:val="ListParagraph"/>
        <w:numPr>
          <w:ilvl w:val="0"/>
          <w:numId w:val="2"/>
        </w:numPr>
        <w:spacing w:after="40" w:before="40"/>
      </w:pPr>
      <w:r>
        <w:rPr>
          <w:rFonts w:ascii="Arial" w:cs="Arial" w:eastAsia="Arial" w:hAnsi="Arial"/>
          <w:color w:val="1C1C1C"/>
          <w:sz w:val="20"/>
          <w:szCs w:val="20"/>
        </w:rPr>
        <w:t xml:space="preserve">Remote access to SecureFinX systems must use the approved VPN at all times</w:t>
      </w:r>
    </w:p>
    <w:p>
      <w:pPr>
        <w:pStyle w:val="Heading1"/>
      </w:pPr>
      <w:r>
        <w:rPr>
          <w:rFonts w:ascii="Arial" w:cs="Arial" w:eastAsia="Arial" w:hAnsi="Arial"/>
          <w:b/>
          <w:bCs/>
          <w:color w:val="1A3A5C"/>
          <w:sz w:val="28"/>
          <w:szCs w:val="28"/>
        </w:rPr>
        <w:t xml:space="preserve">8. Monitoring &amp; Privacy</w:t>
      </w:r>
    </w:p>
    <w:p>
      <w:pPr>
        <w:spacing w:after="60" w:before="60"/>
      </w:pPr>
      <w:r>
        <w:rPr>
          <w:rFonts w:ascii="Arial" w:cs="Arial" w:eastAsia="Arial" w:hAnsi="Arial"/>
          <w:color w:val="1C1C1C"/>
          <w:sz w:val="20"/>
          <w:szCs w:val="20"/>
        </w:rPr>
        <w:t xml:space="preserve">Users should have no expectation of privacy when using SecureFinX information systems. The company reserves the right to monitor, log, and audit all activity on its systems for security and compliance purposes. This includes email, web browsing, file access, and application usage.</w:t>
      </w:r>
    </w:p>
    <w:p>
      <w:pPr>
        <w:pStyle w:val="Heading1"/>
      </w:pPr>
      <w:r>
        <w:rPr>
          <w:rFonts w:ascii="Arial" w:cs="Arial" w:eastAsia="Arial" w:hAnsi="Arial"/>
          <w:b/>
          <w:bCs/>
          <w:color w:val="1A3A5C"/>
          <w:sz w:val="28"/>
          <w:szCs w:val="28"/>
        </w:rPr>
        <w:t xml:space="preserve">9. Reporting Violations</w:t>
      </w:r>
    </w:p>
    <w:p>
      <w:pPr>
        <w:spacing w:after="60" w:before="60"/>
      </w:pPr>
      <w:r>
        <w:rPr>
          <w:rFonts w:ascii="Arial" w:cs="Arial" w:eastAsia="Arial" w:hAnsi="Arial"/>
          <w:color w:val="1C1C1C"/>
          <w:sz w:val="20"/>
          <w:szCs w:val="20"/>
        </w:rPr>
        <w:t xml:space="preserve">Any employee who suspects a policy violation, security incident, or inappropriate use must report it immediately to:</w:t>
      </w:r>
    </w:p>
    <w:p>
      <w:pPr>
        <w:pStyle w:val="ListParagraph"/>
        <w:numPr>
          <w:ilvl w:val="0"/>
          <w:numId w:val="2"/>
        </w:numPr>
        <w:spacing w:after="40" w:before="40"/>
      </w:pPr>
      <w:r>
        <w:rPr>
          <w:rFonts w:ascii="Arial" w:cs="Arial" w:eastAsia="Arial" w:hAnsi="Arial"/>
          <w:color w:val="1C1C1C"/>
          <w:sz w:val="20"/>
          <w:szCs w:val="20"/>
        </w:rPr>
        <w:t xml:space="preserve">Email: security@securefinx.in</w:t>
      </w:r>
    </w:p>
    <w:p>
      <w:pPr>
        <w:pStyle w:val="ListParagraph"/>
        <w:numPr>
          <w:ilvl w:val="0"/>
          <w:numId w:val="2"/>
        </w:numPr>
        <w:spacing w:after="40" w:before="40"/>
      </w:pPr>
      <w:r>
        <w:rPr>
          <w:rFonts w:ascii="Arial" w:cs="Arial" w:eastAsia="Arial" w:hAnsi="Arial"/>
          <w:color w:val="1C1C1C"/>
          <w:sz w:val="20"/>
          <w:szCs w:val="20"/>
        </w:rPr>
        <w:t xml:space="preserve">Internal IT helpdesk: ext. 200</w:t>
      </w:r>
    </w:p>
    <w:p>
      <w:pPr>
        <w:pStyle w:val="ListParagraph"/>
        <w:numPr>
          <w:ilvl w:val="0"/>
          <w:numId w:val="2"/>
        </w:numPr>
        <w:spacing w:after="40" w:before="40"/>
      </w:pPr>
      <w:r>
        <w:rPr>
          <w:rFonts w:ascii="Arial" w:cs="Arial" w:eastAsia="Arial" w:hAnsi="Arial"/>
          <w:color w:val="1C1C1C"/>
          <w:sz w:val="20"/>
          <w:szCs w:val="20"/>
        </w:rPr>
        <w:t xml:space="preserve">CISO direct line: available in the company directory</w:t>
      </w:r>
    </w:p>
    <w:p>
      <w:pPr>
        <w:spacing w:after="60" w:before="60"/>
      </w:pPr>
      <w:r>
        <w:rPr>
          <w:rFonts w:ascii="Arial" w:cs="Arial" w:eastAsia="Arial" w:hAnsi="Arial"/>
          <w:color w:val="1C1C1C"/>
          <w:sz w:val="20"/>
          <w:szCs w:val="20"/>
        </w:rPr>
        <w:t xml:space="preserve">Employees who report in good faith will be protected from retaliation.</w:t>
      </w:r>
    </w:p>
    <w:p>
      <w:pPr>
        <w:pStyle w:val="Heading1"/>
      </w:pPr>
      <w:r>
        <w:rPr>
          <w:rFonts w:ascii="Arial" w:cs="Arial" w:eastAsia="Arial" w:hAnsi="Arial"/>
          <w:b/>
          <w:bCs/>
          <w:color w:val="1A3A5C"/>
          <w:sz w:val="28"/>
          <w:szCs w:val="28"/>
        </w:rPr>
        <w:t xml:space="preserve">10. Consequences of Violation</w:t>
      </w:r>
    </w:p>
    <w:p>
      <w:pPr>
        <w:spacing w:after="60" w:before="60"/>
      </w:pPr>
      <w:r>
        <w:rPr>
          <w:rFonts w:ascii="Arial" w:cs="Arial" w:eastAsia="Arial" w:hAnsi="Arial"/>
          <w:color w:val="1C1C1C"/>
          <w:sz w:val="20"/>
          <w:szCs w:val="20"/>
        </w:rPr>
        <w:t xml:space="preserve">Violations of this policy may result in:</w:t>
      </w:r>
    </w:p>
    <w:p>
      <w:pPr>
        <w:pStyle w:val="ListParagraph"/>
        <w:numPr>
          <w:ilvl w:val="0"/>
          <w:numId w:val="2"/>
        </w:numPr>
        <w:spacing w:after="40" w:before="40"/>
      </w:pPr>
      <w:r>
        <w:rPr>
          <w:rFonts w:ascii="Arial" w:cs="Arial" w:eastAsia="Arial" w:hAnsi="Arial"/>
          <w:color w:val="1C1C1C"/>
          <w:sz w:val="20"/>
          <w:szCs w:val="20"/>
        </w:rPr>
        <w:t xml:space="preserve">Formal written warning</w:t>
      </w:r>
    </w:p>
    <w:p>
      <w:pPr>
        <w:pStyle w:val="ListParagraph"/>
        <w:numPr>
          <w:ilvl w:val="0"/>
          <w:numId w:val="2"/>
        </w:numPr>
        <w:spacing w:after="40" w:before="40"/>
      </w:pPr>
      <w:r>
        <w:rPr>
          <w:rFonts w:ascii="Arial" w:cs="Arial" w:eastAsia="Arial" w:hAnsi="Arial"/>
          <w:color w:val="1C1C1C"/>
          <w:sz w:val="20"/>
          <w:szCs w:val="20"/>
        </w:rPr>
        <w:t xml:space="preserve">Suspension of system access privileges</w:t>
      </w:r>
    </w:p>
    <w:p>
      <w:pPr>
        <w:pStyle w:val="ListParagraph"/>
        <w:numPr>
          <w:ilvl w:val="0"/>
          <w:numId w:val="2"/>
        </w:numPr>
        <w:spacing w:after="40" w:before="40"/>
      </w:pPr>
      <w:r>
        <w:rPr>
          <w:rFonts w:ascii="Arial" w:cs="Arial" w:eastAsia="Arial" w:hAnsi="Arial"/>
          <w:color w:val="1C1C1C"/>
          <w:sz w:val="20"/>
          <w:szCs w:val="20"/>
        </w:rPr>
        <w:t xml:space="preserve">Disciplinary action up to and including termination of employment</w:t>
      </w:r>
    </w:p>
    <w:p>
      <w:pPr>
        <w:pStyle w:val="ListParagraph"/>
        <w:numPr>
          <w:ilvl w:val="0"/>
          <w:numId w:val="2"/>
        </w:numPr>
        <w:spacing w:after="40" w:before="40"/>
      </w:pPr>
      <w:r>
        <w:rPr>
          <w:rFonts w:ascii="Arial" w:cs="Arial" w:eastAsia="Arial" w:hAnsi="Arial"/>
          <w:color w:val="1C1C1C"/>
          <w:sz w:val="20"/>
          <w:szCs w:val="20"/>
        </w:rPr>
        <w:t xml:space="preserve">Legal action where violations constitute a criminal offence under Indian law</w:t>
      </w:r>
    </w:p>
    <w:p>
      <w:pPr>
        <w:pStyle w:val="Heading1"/>
      </w:pPr>
      <w:r>
        <w:rPr>
          <w:rFonts w:ascii="Arial" w:cs="Arial" w:eastAsia="Arial" w:hAnsi="Arial"/>
          <w:b/>
          <w:bCs/>
          <w:color w:val="1A3A5C"/>
          <w:sz w:val="28"/>
          <w:szCs w:val="28"/>
        </w:rPr>
        <w:t xml:space="preserve">11. Acknowledgement</w:t>
      </w:r>
    </w:p>
    <w:p>
      <w:pPr>
        <w:spacing w:after="60" w:before="60"/>
      </w:pPr>
      <w:r>
        <w:rPr>
          <w:rFonts w:ascii="Arial" w:cs="Arial" w:eastAsia="Arial" w:hAnsi="Arial"/>
          <w:color w:val="1C1C1C"/>
          <w:sz w:val="20"/>
          <w:szCs w:val="20"/>
        </w:rPr>
        <w:t xml:space="preserve">All employees and contractors must sign an acknowledgement confirming they have read, understood, and agree to comply with this policy. Acknowledgement forms are maintained by the HR department and reviewed annually.</w:t>
      </w:r>
    </w:p>
    <w:p>
      <w:pPr>
        <w:pBdr>
          <w:bottom w:val="single" w:color="1A3A5C" w:sz="6" w:space="1"/>
        </w:pBdr>
        <w:spacing w:after="80" w:before="160"/>
      </w:pPr>
    </w:p>
    <w:p>
      <w:pPr>
        <w:spacing w:after="60" w:before="60"/>
      </w:pPr>
      <w:r>
        <w:rPr>
          <w:rFonts w:ascii="Arial" w:cs="Arial" w:eastAsia="Arial" w:hAnsi="Arial"/>
          <w:i/>
          <w:iCs/>
          <w:color w:val="555555"/>
          <w:sz w:val="20"/>
          <w:szCs w:val="20"/>
        </w:rPr>
        <w:t xml:space="preserve">Document Owner: Chief Information Security Officer  |  SecureFinX Pvt. Ltd.</w:t>
      </w:r>
    </w:p>
    <w:p>
      <w:pPr>
        <w:spacing w:after="60" w:before="60"/>
      </w:pPr>
      <w:r>
        <w:rPr>
          <w:rFonts w:ascii="Arial" w:cs="Arial" w:eastAsia="Arial" w:hAnsi="Arial"/>
          <w:i/>
          <w:iCs/>
          <w:color w:val="555555"/>
          <w:sz w:val="20"/>
          <w:szCs w:val="20"/>
        </w:rPr>
        <w:t xml:space="preserve">This document is classified as INTERNAL. Do not distribute outside the organisation.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A3A5C"/>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2026-05-09T10:08:29.563Z</dcterms:created>
  <dcterms:modified xsi:type="dcterms:W3CDTF">2026-05-09T10:08:29.563Z</dcterms:modified>
</cp:coreProperties>
</file>

<file path=docProps/custom.xml><?xml version="1.0" encoding="utf-8"?>
<Properties xmlns="http://schemas.openxmlformats.org/officeDocument/2006/custom-properties" xmlns:vt="http://schemas.openxmlformats.org/officeDocument/2006/docPropsVTypes"/>
</file>