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5C"/>
          <w:sz w:val="28"/>
          <w:szCs w:val="28"/>
        </w:rPr>
        <w:t xml:space="preserve">SecureFinX Pvt. Ltd.</w:t>
      </w:r>
    </w:p>
    <w:p>
      <w:pPr>
        <w:spacing w:after="40" w:before="0"/>
        <w:jc w:val="center"/>
      </w:pPr>
      <w:r>
        <w:rPr>
          <w:rFonts w:ascii="Arial" w:cs="Arial" w:eastAsia="Arial" w:hAnsi="Arial"/>
          <w:b/>
          <w:bCs/>
          <w:color w:val="1C1C1C"/>
          <w:sz w:val="36"/>
          <w:szCs w:val="36"/>
        </w:rPr>
        <w:t xml:space="preserve">Incident Response Policy</w:t>
      </w:r>
    </w:p>
    <w:p>
      <w:pPr>
        <w:spacing w:after="160" w:before="0"/>
        <w:jc w:val="center"/>
      </w:pPr>
      <w:r>
        <w:rPr>
          <w:rFonts w:ascii="Arial" w:cs="Arial" w:eastAsia="Arial" w:hAnsi="Arial"/>
          <w:i/>
          <w:iCs/>
          <w:color w:val="555555"/>
          <w:sz w:val="18"/>
          <w:szCs w:val="18"/>
        </w:rPr>
        <w:t xml:space="preserve">Version 1.0  |  Effective: May 2025  |  Owner: Chief Information Security Officer</w:t>
      </w:r>
    </w:p>
    <w:p>
      <w:pPr>
        <w:pBdr>
          <w:bottom w:val="single" w:color="1A3A5C" w:sz="6" w:space="1"/>
        </w:pBd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Document ID</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SEC-POL-003</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Classification</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Internal — Restricted</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Review Cycle</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Annual + Post-Incident</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Approved By</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CISO — SecureFinX Pvt. Ltd.</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ISO 27001 Ref</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A.5.5, A.5.26, A.5.27, A.6.8, A.8.15, A.8.16</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Next Review</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May 2026</w:t>
            </w:r>
          </w:p>
        </w:tc>
      </w:tr>
    </w:tbl>
    <w:p>
      <w:pPr>
        <w:spacing w:after="80" w:before="80"/>
      </w:pPr>
    </w:p>
    <w:p>
      <w:pPr>
        <w:pStyle w:val="Heading1"/>
      </w:pPr>
      <w:r>
        <w:rPr>
          <w:rFonts w:ascii="Arial" w:cs="Arial" w:eastAsia="Arial" w:hAnsi="Arial"/>
          <w:b/>
          <w:bCs/>
          <w:color w:val="1A3A5C"/>
          <w:sz w:val="28"/>
          <w:szCs w:val="28"/>
        </w:rPr>
        <w:t xml:space="preserve">1. Purpose</w:t>
      </w:r>
    </w:p>
    <w:p>
      <w:pPr>
        <w:spacing w:after="60" w:before="60"/>
      </w:pPr>
      <w:r>
        <w:rPr>
          <w:rFonts w:ascii="Arial" w:cs="Arial" w:eastAsia="Arial" w:hAnsi="Arial"/>
          <w:color w:val="1C1C1C"/>
          <w:sz w:val="20"/>
          <w:szCs w:val="20"/>
        </w:rPr>
        <w:t xml:space="preserve">This Incident Response Policy defines SecureFinX's approach to identifying, managing, and recovering from information security incidents. The policy ensures that incidents are handled consistently, damage is minimised, evidence is preserved, regulatory obligations are met, and lessons are captured to prevent recurrence.</w:t>
      </w:r>
    </w:p>
    <w:p>
      <w:pPr>
        <w:pStyle w:val="Heading1"/>
      </w:pPr>
      <w:r>
        <w:rPr>
          <w:rFonts w:ascii="Arial" w:cs="Arial" w:eastAsia="Arial" w:hAnsi="Arial"/>
          <w:b/>
          <w:bCs/>
          <w:color w:val="1A3A5C"/>
          <w:sz w:val="28"/>
          <w:szCs w:val="28"/>
        </w:rPr>
        <w:t xml:space="preserve">2. Incident Classification</w:t>
      </w:r>
    </w:p>
    <w:p>
      <w:pPr>
        <w:spacing w:after="60" w:before="60"/>
      </w:pPr>
      <w:r>
        <w:rPr>
          <w:rFonts w:ascii="Arial" w:cs="Arial" w:eastAsia="Arial" w:hAnsi="Arial"/>
          <w:color w:val="1C1C1C"/>
          <w:sz w:val="20"/>
          <w:szCs w:val="20"/>
        </w:rPr>
        <w:t xml:space="preserve">All incidents are classified by severity to ensure proportionate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6"/>
              <w:left w:val="single" w:color="CCCCCC" w:sz="6"/>
              <w:bottom w:val="single" w:color="CCCCCC" w:sz="6"/>
              <w:right w:val="single" w:color="CCCCCC" w:sz="6"/>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500"/>
            <w:tcBorders>
              <w:top w:val="single" w:color="CCCCCC" w:sz="6"/>
              <w:left w:val="single" w:color="CCCCCC" w:sz="6"/>
              <w:bottom w:val="single" w:color="CCCCCC" w:sz="6"/>
              <w:right w:val="single" w:color="CCCCCC" w:sz="6"/>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5360"/>
            <w:tcBorders>
              <w:top w:val="single" w:color="CCCCCC" w:sz="6"/>
              <w:left w:val="single" w:color="CCCCCC" w:sz="6"/>
              <w:bottom w:val="single" w:color="CCCCCC" w:sz="6"/>
              <w:right w:val="single" w:color="CCCCCC" w:sz="6"/>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1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sz w:val="18"/>
                <w:szCs w:val="18"/>
              </w:rPr>
              <w:t xml:space="preserve">P1 — Critical</w:t>
            </w:r>
          </w:p>
        </w:tc>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sz w:val="18"/>
                <w:szCs w:val="18"/>
              </w:rPr>
              <w:t xml:space="preserve">Immediate existential threat</w:t>
            </w:r>
          </w:p>
        </w:tc>
        <w:tc>
          <w:tcPr>
            <w:tcW w:type="dxa" w:w="536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sz w:val="18"/>
                <w:szCs w:val="18"/>
              </w:rPr>
              <w:t xml:space="preserve">Active data breach, ransomware, full system compromise, regulatory breach</w:t>
            </w:r>
          </w:p>
        </w:tc>
      </w:tr>
      <w:tr>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sz w:val="18"/>
                <w:szCs w:val="18"/>
              </w:rPr>
              <w:t xml:space="preserve">P2 — High</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sz w:val="18"/>
                <w:szCs w:val="18"/>
              </w:rPr>
              <w:t xml:space="preserve">Significant operational impact</w:t>
            </w:r>
          </w:p>
        </w:tc>
        <w:tc>
          <w:tcPr>
            <w:tcW w:type="dxa" w:w="5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sz w:val="18"/>
                <w:szCs w:val="18"/>
              </w:rPr>
              <w:t xml:space="preserve">Malware infection, DDoS attack, credential compromise of admin account</w:t>
            </w:r>
          </w:p>
        </w:tc>
      </w:tr>
      <w:tr>
        <w:tc>
          <w:tcPr>
            <w:tcW w:type="dxa" w:w="1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sz w:val="18"/>
                <w:szCs w:val="18"/>
              </w:rPr>
              <w:t xml:space="preserve">P3 — Medium</w:t>
            </w:r>
          </w:p>
        </w:tc>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sz w:val="18"/>
                <w:szCs w:val="18"/>
              </w:rPr>
              <w:t xml:space="preserve">Moderate impact, contained</w:t>
            </w:r>
          </w:p>
        </w:tc>
        <w:tc>
          <w:tcPr>
            <w:tcW w:type="dxa" w:w="536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sz w:val="18"/>
                <w:szCs w:val="18"/>
              </w:rPr>
              <w:t xml:space="preserve">Phishing attempt (unsuccessful), policy violation, suspicious activity</w:t>
            </w:r>
          </w:p>
        </w:tc>
      </w:tr>
      <w:tr>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sz w:val="18"/>
                <w:szCs w:val="18"/>
              </w:rPr>
              <w:t xml:space="preserve">P4 — Low</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sz w:val="18"/>
                <w:szCs w:val="18"/>
              </w:rPr>
              <w:t xml:space="preserve">Minimal impact</w:t>
            </w:r>
          </w:p>
        </w:tc>
        <w:tc>
          <w:tcPr>
            <w:tcW w:type="dxa" w:w="5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sz w:val="18"/>
                <w:szCs w:val="18"/>
              </w:rPr>
              <w:t xml:space="preserve">Spam, failed login attempts within normal parameters, minor misuse</w:t>
            </w:r>
          </w:p>
        </w:tc>
      </w:tr>
    </w:tbl>
    <w:p>
      <w:pPr>
        <w:spacing w:after="80" w:before="80"/>
      </w:pPr>
    </w:p>
    <w:p>
      <w:pPr>
        <w:pStyle w:val="Heading1"/>
      </w:pPr>
      <w:r>
        <w:rPr>
          <w:rFonts w:ascii="Arial" w:cs="Arial" w:eastAsia="Arial" w:hAnsi="Arial"/>
          <w:b/>
          <w:bCs/>
          <w:color w:val="1A3A5C"/>
          <w:sz w:val="28"/>
          <w:szCs w:val="28"/>
        </w:rPr>
        <w:t xml:space="preserve">3. Incident Response Phases</w:t>
      </w:r>
    </w:p>
    <w:p>
      <w:pPr>
        <w:pStyle w:val="Heading2"/>
      </w:pPr>
      <w:r>
        <w:rPr>
          <w:rFonts w:ascii="Arial" w:cs="Arial" w:eastAsia="Arial" w:hAnsi="Arial"/>
          <w:b/>
          <w:bCs/>
          <w:color w:val="1A3A5C"/>
          <w:sz w:val="22"/>
          <w:szCs w:val="22"/>
        </w:rPr>
        <w:t xml:space="preserve">Phase 1 — Preparation</w:t>
      </w:r>
    </w:p>
    <w:p>
      <w:pPr>
        <w:pStyle w:val="ListParagraph"/>
        <w:numPr>
          <w:ilvl w:val="0"/>
          <w:numId w:val="2"/>
        </w:numPr>
        <w:spacing w:after="40" w:before="40"/>
      </w:pPr>
      <w:r>
        <w:rPr>
          <w:rFonts w:ascii="Arial" w:cs="Arial" w:eastAsia="Arial" w:hAnsi="Arial"/>
          <w:color w:val="1C1C1C"/>
          <w:sz w:val="20"/>
          <w:szCs w:val="20"/>
        </w:rPr>
        <w:t xml:space="preserve">Maintain and test this Incident Response Plan quarterly</w:t>
      </w:r>
    </w:p>
    <w:p>
      <w:pPr>
        <w:pStyle w:val="ListParagraph"/>
        <w:numPr>
          <w:ilvl w:val="0"/>
          <w:numId w:val="2"/>
        </w:numPr>
        <w:spacing w:after="40" w:before="40"/>
      </w:pPr>
      <w:r>
        <w:rPr>
          <w:rFonts w:ascii="Arial" w:cs="Arial" w:eastAsia="Arial" w:hAnsi="Arial"/>
          <w:color w:val="1C1C1C"/>
          <w:sz w:val="20"/>
          <w:szCs w:val="20"/>
        </w:rPr>
        <w:t xml:space="preserve">Ensure all staff complete annual incident reporting training</w:t>
      </w:r>
    </w:p>
    <w:p>
      <w:pPr>
        <w:pStyle w:val="ListParagraph"/>
        <w:numPr>
          <w:ilvl w:val="0"/>
          <w:numId w:val="2"/>
        </w:numPr>
        <w:spacing w:after="40" w:before="40"/>
      </w:pPr>
      <w:r>
        <w:rPr>
          <w:rFonts w:ascii="Arial" w:cs="Arial" w:eastAsia="Arial" w:hAnsi="Arial"/>
          <w:color w:val="1C1C1C"/>
          <w:sz w:val="20"/>
          <w:szCs w:val="20"/>
        </w:rPr>
        <w:t xml:space="preserve">Maintain up-to-date contact list for the Incident Response Team (IRT)</w:t>
      </w:r>
    </w:p>
    <w:p>
      <w:pPr>
        <w:pStyle w:val="ListParagraph"/>
        <w:numPr>
          <w:ilvl w:val="0"/>
          <w:numId w:val="2"/>
        </w:numPr>
        <w:spacing w:after="40" w:before="40"/>
      </w:pPr>
      <w:r>
        <w:rPr>
          <w:rFonts w:ascii="Arial" w:cs="Arial" w:eastAsia="Arial" w:hAnsi="Arial"/>
          <w:color w:val="1C1C1C"/>
          <w:sz w:val="20"/>
          <w:szCs w:val="20"/>
        </w:rPr>
        <w:t xml:space="preserve">Ensure logging, monitoring, and alerting systems are operational</w:t>
      </w:r>
    </w:p>
    <w:p>
      <w:pPr>
        <w:pStyle w:val="ListParagraph"/>
        <w:numPr>
          <w:ilvl w:val="0"/>
          <w:numId w:val="2"/>
        </w:numPr>
        <w:spacing w:after="40" w:before="40"/>
      </w:pPr>
      <w:r>
        <w:rPr>
          <w:rFonts w:ascii="Arial" w:cs="Arial" w:eastAsia="Arial" w:hAnsi="Arial"/>
          <w:color w:val="1C1C1C"/>
          <w:sz w:val="20"/>
          <w:szCs w:val="20"/>
        </w:rPr>
        <w:t xml:space="preserve">Maintain tested backup and recovery systems</w:t>
      </w:r>
    </w:p>
    <w:p>
      <w:pPr>
        <w:pStyle w:val="Heading2"/>
      </w:pPr>
      <w:r>
        <w:rPr>
          <w:rFonts w:ascii="Arial" w:cs="Arial" w:eastAsia="Arial" w:hAnsi="Arial"/>
          <w:b/>
          <w:bCs/>
          <w:color w:val="1A3A5C"/>
          <w:sz w:val="22"/>
          <w:szCs w:val="22"/>
        </w:rPr>
        <w:t xml:space="preserve">Phase 2 — Identification</w:t>
      </w:r>
    </w:p>
    <w:p>
      <w:pPr>
        <w:pStyle w:val="ListParagraph"/>
        <w:numPr>
          <w:ilvl w:val="0"/>
          <w:numId w:val="2"/>
        </w:numPr>
        <w:spacing w:after="40" w:before="40"/>
      </w:pPr>
      <w:r>
        <w:rPr>
          <w:rFonts w:ascii="Arial" w:cs="Arial" w:eastAsia="Arial" w:hAnsi="Arial"/>
          <w:color w:val="1C1C1C"/>
          <w:sz w:val="20"/>
          <w:szCs w:val="20"/>
        </w:rPr>
        <w:t xml:space="preserve">Any employee who suspects an incident must report it immediately via security@securefinx.in or ext. 200</w:t>
      </w:r>
    </w:p>
    <w:p>
      <w:pPr>
        <w:pStyle w:val="ListParagraph"/>
        <w:numPr>
          <w:ilvl w:val="0"/>
          <w:numId w:val="2"/>
        </w:numPr>
        <w:spacing w:after="40" w:before="40"/>
      </w:pPr>
      <w:r>
        <w:rPr>
          <w:rFonts w:ascii="Arial" w:cs="Arial" w:eastAsia="Arial" w:hAnsi="Arial"/>
          <w:color w:val="1C1C1C"/>
          <w:sz w:val="20"/>
          <w:szCs w:val="20"/>
        </w:rPr>
        <w:t xml:space="preserve">The IT team triages the report within 1 hour and classifies severity (P1–P4)</w:t>
      </w:r>
    </w:p>
    <w:p>
      <w:pPr>
        <w:pStyle w:val="ListParagraph"/>
        <w:numPr>
          <w:ilvl w:val="0"/>
          <w:numId w:val="2"/>
        </w:numPr>
        <w:spacing w:after="40" w:before="40"/>
      </w:pPr>
      <w:r>
        <w:rPr>
          <w:rFonts w:ascii="Arial" w:cs="Arial" w:eastAsia="Arial" w:hAnsi="Arial"/>
          <w:color w:val="1C1C1C"/>
          <w:sz w:val="20"/>
          <w:szCs w:val="20"/>
        </w:rPr>
        <w:t xml:space="preserve">The CISO is notified immediately for P1 and P2 incidents</w:t>
      </w:r>
    </w:p>
    <w:p>
      <w:pPr>
        <w:pStyle w:val="ListParagraph"/>
        <w:numPr>
          <w:ilvl w:val="0"/>
          <w:numId w:val="2"/>
        </w:numPr>
        <w:spacing w:after="40" w:before="40"/>
      </w:pPr>
      <w:r>
        <w:rPr>
          <w:rFonts w:ascii="Arial" w:cs="Arial" w:eastAsia="Arial" w:hAnsi="Arial"/>
          <w:color w:val="1C1C1C"/>
          <w:sz w:val="20"/>
          <w:szCs w:val="20"/>
        </w:rPr>
        <w:t xml:space="preserve">An incident ticket is opened in the tracking system — assigned a unique Incident ID</w:t>
      </w:r>
    </w:p>
    <w:p>
      <w:pPr>
        <w:pStyle w:val="ListParagraph"/>
        <w:numPr>
          <w:ilvl w:val="0"/>
          <w:numId w:val="2"/>
        </w:numPr>
        <w:spacing w:after="40" w:before="40"/>
      </w:pPr>
      <w:r>
        <w:rPr>
          <w:rFonts w:ascii="Arial" w:cs="Arial" w:eastAsia="Arial" w:hAnsi="Arial"/>
          <w:color w:val="1C1C1C"/>
          <w:sz w:val="20"/>
          <w:szCs w:val="20"/>
        </w:rPr>
        <w:t xml:space="preserve">Initial evidence preservation begins immediately — do not power off affected systems without CISO approval</w:t>
      </w:r>
    </w:p>
    <w:p>
      <w:pPr>
        <w:pStyle w:val="Heading2"/>
      </w:pPr>
      <w:r>
        <w:rPr>
          <w:rFonts w:ascii="Arial" w:cs="Arial" w:eastAsia="Arial" w:hAnsi="Arial"/>
          <w:b/>
          <w:bCs/>
          <w:color w:val="1A3A5C"/>
          <w:sz w:val="22"/>
          <w:szCs w:val="22"/>
        </w:rPr>
        <w:t xml:space="preserve">Phase 3 — Containment</w:t>
      </w:r>
    </w:p>
    <w:p>
      <w:pPr>
        <w:pStyle w:val="ListParagraph"/>
        <w:numPr>
          <w:ilvl w:val="0"/>
          <w:numId w:val="2"/>
        </w:numPr>
        <w:spacing w:after="40" w:before="40"/>
      </w:pPr>
      <w:r>
        <w:rPr>
          <w:rFonts w:ascii="Arial" w:cs="Arial" w:eastAsia="Arial" w:hAnsi="Arial"/>
          <w:color w:val="1C1C1C"/>
          <w:sz w:val="20"/>
          <w:szCs w:val="20"/>
        </w:rPr>
        <w:t xml:space="preserve">Short-term containment: Isolate affected systems from the network to prevent spread</w:t>
      </w:r>
    </w:p>
    <w:p>
      <w:pPr>
        <w:pStyle w:val="ListParagraph"/>
        <w:numPr>
          <w:ilvl w:val="0"/>
          <w:numId w:val="2"/>
        </w:numPr>
        <w:spacing w:after="40" w:before="40"/>
      </w:pPr>
      <w:r>
        <w:rPr>
          <w:rFonts w:ascii="Arial" w:cs="Arial" w:eastAsia="Arial" w:hAnsi="Arial"/>
          <w:color w:val="1C1C1C"/>
          <w:sz w:val="20"/>
          <w:szCs w:val="20"/>
        </w:rPr>
        <w:t xml:space="preserve">Evidence preservation: Take disk images and memory dumps before any remediation</w:t>
      </w:r>
    </w:p>
    <w:p>
      <w:pPr>
        <w:pStyle w:val="ListParagraph"/>
        <w:numPr>
          <w:ilvl w:val="0"/>
          <w:numId w:val="2"/>
        </w:numPr>
        <w:spacing w:after="40" w:before="40"/>
      </w:pPr>
      <w:r>
        <w:rPr>
          <w:rFonts w:ascii="Arial" w:cs="Arial" w:eastAsia="Arial" w:hAnsi="Arial"/>
          <w:color w:val="1C1C1C"/>
          <w:sz w:val="20"/>
          <w:szCs w:val="20"/>
        </w:rPr>
        <w:t xml:space="preserve">Communication control: Incident details shared only on a need-to-know basis — no public disclosure without CISO approval</w:t>
      </w:r>
    </w:p>
    <w:p>
      <w:pPr>
        <w:pStyle w:val="ListParagraph"/>
        <w:numPr>
          <w:ilvl w:val="0"/>
          <w:numId w:val="2"/>
        </w:numPr>
        <w:spacing w:after="40" w:before="40"/>
      </w:pPr>
      <w:r>
        <w:rPr>
          <w:rFonts w:ascii="Arial" w:cs="Arial" w:eastAsia="Arial" w:hAnsi="Arial"/>
          <w:color w:val="1C1C1C"/>
          <w:sz w:val="20"/>
          <w:szCs w:val="20"/>
        </w:rPr>
        <w:t xml:space="preserve">For P1 incidents: Engage external Incident Response retainer within 4 hours</w:t>
      </w:r>
    </w:p>
    <w:p>
      <w:pPr>
        <w:pStyle w:val="ListParagraph"/>
        <w:numPr>
          <w:ilvl w:val="0"/>
          <w:numId w:val="2"/>
        </w:numPr>
        <w:spacing w:after="40" w:before="40"/>
      </w:pPr>
      <w:r>
        <w:rPr>
          <w:rFonts w:ascii="Arial" w:cs="Arial" w:eastAsia="Arial" w:hAnsi="Arial"/>
          <w:color w:val="1C1C1C"/>
          <w:sz w:val="20"/>
          <w:szCs w:val="20"/>
        </w:rPr>
        <w:t xml:space="preserve">Document all containment actions with timestamps</w:t>
      </w:r>
    </w:p>
    <w:p>
      <w:pPr>
        <w:pStyle w:val="Heading2"/>
      </w:pPr>
      <w:r>
        <w:rPr>
          <w:rFonts w:ascii="Arial" w:cs="Arial" w:eastAsia="Arial" w:hAnsi="Arial"/>
          <w:b/>
          <w:bCs/>
          <w:color w:val="1A3A5C"/>
          <w:sz w:val="22"/>
          <w:szCs w:val="22"/>
        </w:rPr>
        <w:t xml:space="preserve">Phase 4 — Eradication</w:t>
      </w:r>
    </w:p>
    <w:p>
      <w:pPr>
        <w:pStyle w:val="ListParagraph"/>
        <w:numPr>
          <w:ilvl w:val="0"/>
          <w:numId w:val="2"/>
        </w:numPr>
        <w:spacing w:after="40" w:before="40"/>
      </w:pPr>
      <w:r>
        <w:rPr>
          <w:rFonts w:ascii="Arial" w:cs="Arial" w:eastAsia="Arial" w:hAnsi="Arial"/>
          <w:color w:val="1C1C1C"/>
          <w:sz w:val="20"/>
          <w:szCs w:val="20"/>
        </w:rPr>
        <w:t xml:space="preserve">Identify and remove the root cause — malware, compromised credentials, misconfiguration</w:t>
      </w:r>
    </w:p>
    <w:p>
      <w:pPr>
        <w:pStyle w:val="ListParagraph"/>
        <w:numPr>
          <w:ilvl w:val="0"/>
          <w:numId w:val="2"/>
        </w:numPr>
        <w:spacing w:after="40" w:before="40"/>
      </w:pPr>
      <w:r>
        <w:rPr>
          <w:rFonts w:ascii="Arial" w:cs="Arial" w:eastAsia="Arial" w:hAnsi="Arial"/>
          <w:color w:val="1C1C1C"/>
          <w:sz w:val="20"/>
          <w:szCs w:val="20"/>
        </w:rPr>
        <w:t xml:space="preserve">Patch or remediate the vulnerability that was exploited</w:t>
      </w:r>
    </w:p>
    <w:p>
      <w:pPr>
        <w:pStyle w:val="ListParagraph"/>
        <w:numPr>
          <w:ilvl w:val="0"/>
          <w:numId w:val="2"/>
        </w:numPr>
        <w:spacing w:after="40" w:before="40"/>
      </w:pPr>
      <w:r>
        <w:rPr>
          <w:rFonts w:ascii="Arial" w:cs="Arial" w:eastAsia="Arial" w:hAnsi="Arial"/>
          <w:color w:val="1C1C1C"/>
          <w:sz w:val="20"/>
          <w:szCs w:val="20"/>
        </w:rPr>
        <w:t xml:space="preserve">Reset all potentially compromised credentials</w:t>
      </w:r>
    </w:p>
    <w:p>
      <w:pPr>
        <w:pStyle w:val="ListParagraph"/>
        <w:numPr>
          <w:ilvl w:val="0"/>
          <w:numId w:val="2"/>
        </w:numPr>
        <w:spacing w:after="40" w:before="40"/>
      </w:pPr>
      <w:r>
        <w:rPr>
          <w:rFonts w:ascii="Arial" w:cs="Arial" w:eastAsia="Arial" w:hAnsi="Arial"/>
          <w:color w:val="1C1C1C"/>
          <w:sz w:val="20"/>
          <w:szCs w:val="20"/>
        </w:rPr>
        <w:t xml:space="preserve">Conduct forensic analysis to confirm the threat has been fully removed</w:t>
      </w:r>
    </w:p>
    <w:p>
      <w:pPr>
        <w:pStyle w:val="ListParagraph"/>
        <w:numPr>
          <w:ilvl w:val="0"/>
          <w:numId w:val="2"/>
        </w:numPr>
        <w:spacing w:after="40" w:before="40"/>
      </w:pPr>
      <w:r>
        <w:rPr>
          <w:rFonts w:ascii="Arial" w:cs="Arial" w:eastAsia="Arial" w:hAnsi="Arial"/>
          <w:color w:val="1C1C1C"/>
          <w:sz w:val="20"/>
          <w:szCs w:val="20"/>
        </w:rPr>
        <w:t xml:space="preserve">Verify system integrity before moving to recovery</w:t>
      </w:r>
    </w:p>
    <w:p>
      <w:pPr>
        <w:pStyle w:val="Heading2"/>
      </w:pPr>
      <w:r>
        <w:rPr>
          <w:rFonts w:ascii="Arial" w:cs="Arial" w:eastAsia="Arial" w:hAnsi="Arial"/>
          <w:b/>
          <w:bCs/>
          <w:color w:val="1A3A5C"/>
          <w:sz w:val="22"/>
          <w:szCs w:val="22"/>
        </w:rPr>
        <w:t xml:space="preserve">Phase 5 — Recovery</w:t>
      </w:r>
    </w:p>
    <w:p>
      <w:pPr>
        <w:pStyle w:val="ListParagraph"/>
        <w:numPr>
          <w:ilvl w:val="0"/>
          <w:numId w:val="2"/>
        </w:numPr>
        <w:spacing w:after="40" w:before="40"/>
      </w:pPr>
      <w:r>
        <w:rPr>
          <w:rFonts w:ascii="Arial" w:cs="Arial" w:eastAsia="Arial" w:hAnsi="Arial"/>
          <w:color w:val="1C1C1C"/>
          <w:sz w:val="20"/>
          <w:szCs w:val="20"/>
        </w:rPr>
        <w:t xml:space="preserve">Restore systems from clean, verified backups</w:t>
      </w:r>
    </w:p>
    <w:p>
      <w:pPr>
        <w:pStyle w:val="ListParagraph"/>
        <w:numPr>
          <w:ilvl w:val="0"/>
          <w:numId w:val="2"/>
        </w:numPr>
        <w:spacing w:after="40" w:before="40"/>
      </w:pPr>
      <w:r>
        <w:rPr>
          <w:rFonts w:ascii="Arial" w:cs="Arial" w:eastAsia="Arial" w:hAnsi="Arial"/>
          <w:color w:val="1C1C1C"/>
          <w:sz w:val="20"/>
          <w:szCs w:val="20"/>
        </w:rPr>
        <w:t xml:space="preserve">Restore services in a controlled manner — monitor closely for 72 hours post-recovery</w:t>
      </w:r>
    </w:p>
    <w:p>
      <w:pPr>
        <w:pStyle w:val="ListParagraph"/>
        <w:numPr>
          <w:ilvl w:val="0"/>
          <w:numId w:val="2"/>
        </w:numPr>
        <w:spacing w:after="40" w:before="40"/>
      </w:pPr>
      <w:r>
        <w:rPr>
          <w:rFonts w:ascii="Arial" w:cs="Arial" w:eastAsia="Arial" w:hAnsi="Arial"/>
          <w:color w:val="1C1C1C"/>
          <w:sz w:val="20"/>
          <w:szCs w:val="20"/>
        </w:rPr>
        <w:t xml:space="preserve">Conduct vulnerability scan post-recovery to verify clean state</w:t>
      </w:r>
    </w:p>
    <w:p>
      <w:pPr>
        <w:pStyle w:val="ListParagraph"/>
        <w:numPr>
          <w:ilvl w:val="0"/>
          <w:numId w:val="2"/>
        </w:numPr>
        <w:spacing w:after="40" w:before="40"/>
      </w:pPr>
      <w:r>
        <w:rPr>
          <w:rFonts w:ascii="Arial" w:cs="Arial" w:eastAsia="Arial" w:hAnsi="Arial"/>
          <w:color w:val="1C1C1C"/>
          <w:sz w:val="20"/>
          <w:szCs w:val="20"/>
        </w:rPr>
        <w:t xml:space="preserve">Confirm all security controls are operational before returning to normal operations</w:t>
      </w:r>
    </w:p>
    <w:p>
      <w:pPr>
        <w:pStyle w:val="Heading2"/>
      </w:pPr>
      <w:r>
        <w:rPr>
          <w:rFonts w:ascii="Arial" w:cs="Arial" w:eastAsia="Arial" w:hAnsi="Arial"/>
          <w:b/>
          <w:bCs/>
          <w:color w:val="1A3A5C"/>
          <w:sz w:val="22"/>
          <w:szCs w:val="22"/>
        </w:rPr>
        <w:t xml:space="preserve">Phase 6 — Lessons Learned</w:t>
      </w:r>
    </w:p>
    <w:p>
      <w:pPr>
        <w:pStyle w:val="ListParagraph"/>
        <w:numPr>
          <w:ilvl w:val="0"/>
          <w:numId w:val="2"/>
        </w:numPr>
        <w:spacing w:after="40" w:before="40"/>
      </w:pPr>
      <w:r>
        <w:rPr>
          <w:rFonts w:ascii="Arial" w:cs="Arial" w:eastAsia="Arial" w:hAnsi="Arial"/>
          <w:color w:val="1C1C1C"/>
          <w:sz w:val="20"/>
          <w:szCs w:val="20"/>
        </w:rPr>
        <w:t xml:space="preserve">Conduct a formal Post-Incident Review (PIR) within 5 business days of resolution</w:t>
      </w:r>
    </w:p>
    <w:p>
      <w:pPr>
        <w:pStyle w:val="ListParagraph"/>
        <w:numPr>
          <w:ilvl w:val="0"/>
          <w:numId w:val="2"/>
        </w:numPr>
        <w:spacing w:after="40" w:before="40"/>
      </w:pPr>
      <w:r>
        <w:rPr>
          <w:rFonts w:ascii="Arial" w:cs="Arial" w:eastAsia="Arial" w:hAnsi="Arial"/>
          <w:color w:val="1C1C1C"/>
          <w:sz w:val="20"/>
          <w:szCs w:val="20"/>
        </w:rPr>
        <w:t xml:space="preserve">Document: timeline, root cause, impact, response effectiveness, and improvement actions</w:t>
      </w:r>
    </w:p>
    <w:p>
      <w:pPr>
        <w:pStyle w:val="ListParagraph"/>
        <w:numPr>
          <w:ilvl w:val="0"/>
          <w:numId w:val="2"/>
        </w:numPr>
        <w:spacing w:after="40" w:before="40"/>
      </w:pPr>
      <w:r>
        <w:rPr>
          <w:rFonts w:ascii="Arial" w:cs="Arial" w:eastAsia="Arial" w:hAnsi="Arial"/>
          <w:color w:val="1C1C1C"/>
          <w:sz w:val="20"/>
          <w:szCs w:val="20"/>
        </w:rPr>
        <w:t xml:space="preserve">Update this policy and related procedures based on findings</w:t>
      </w:r>
    </w:p>
    <w:p>
      <w:pPr>
        <w:pStyle w:val="ListParagraph"/>
        <w:numPr>
          <w:ilvl w:val="0"/>
          <w:numId w:val="2"/>
        </w:numPr>
        <w:spacing w:after="40" w:before="40"/>
      </w:pPr>
      <w:r>
        <w:rPr>
          <w:rFonts w:ascii="Arial" w:cs="Arial" w:eastAsia="Arial" w:hAnsi="Arial"/>
          <w:color w:val="1C1C1C"/>
          <w:sz w:val="20"/>
          <w:szCs w:val="20"/>
        </w:rPr>
        <w:t xml:space="preserve">Share anonymised lessons learned with the wider team</w:t>
      </w:r>
    </w:p>
    <w:p>
      <w:pPr>
        <w:pStyle w:val="Heading1"/>
      </w:pPr>
      <w:r>
        <w:rPr>
          <w:rFonts w:ascii="Arial" w:cs="Arial" w:eastAsia="Arial" w:hAnsi="Arial"/>
          <w:b/>
          <w:bCs/>
          <w:color w:val="1A3A5C"/>
          <w:sz w:val="28"/>
          <w:szCs w:val="28"/>
        </w:rPr>
        <w:t xml:space="preserve">4. Notification &amp; Reporting Obligations</w:t>
      </w:r>
    </w:p>
    <w:p>
      <w:pPr>
        <w:spacing w:after="60" w:before="60"/>
      </w:pPr>
      <w:r>
        <w:rPr>
          <w:rFonts w:ascii="Arial" w:cs="Arial" w:eastAsia="Arial" w:hAnsi="Arial"/>
          <w:color w:val="1C1C1C"/>
          <w:sz w:val="20"/>
          <w:szCs w:val="20"/>
        </w:rPr>
        <w:t xml:space="preserve">SecureFinX has legal obligations to notify regulators and affected parties within defined timeframes:</w:t>
      </w:r>
    </w:p>
    <w:p>
      <w:pPr>
        <w:pStyle w:val="ListParagraph"/>
        <w:numPr>
          <w:ilvl w:val="0"/>
          <w:numId w:val="2"/>
        </w:numPr>
        <w:spacing w:after="40" w:before="40"/>
      </w:pPr>
      <w:r>
        <w:rPr>
          <w:rFonts w:ascii="Arial" w:cs="Arial" w:eastAsia="Arial" w:hAnsi="Arial"/>
          <w:color w:val="1C1C1C"/>
          <w:sz w:val="20"/>
          <w:szCs w:val="20"/>
        </w:rPr>
        <w:t xml:space="preserve">CERT-In: Notify within 6 hours of discovery of any cyber incident (CERT-In Directions 2022)</w:t>
      </w:r>
    </w:p>
    <w:p>
      <w:pPr>
        <w:pStyle w:val="ListParagraph"/>
        <w:numPr>
          <w:ilvl w:val="0"/>
          <w:numId w:val="2"/>
        </w:numPr>
        <w:spacing w:after="40" w:before="40"/>
      </w:pPr>
      <w:r>
        <w:rPr>
          <w:rFonts w:ascii="Arial" w:cs="Arial" w:eastAsia="Arial" w:hAnsi="Arial"/>
          <w:color w:val="1C1C1C"/>
          <w:sz w:val="20"/>
          <w:szCs w:val="20"/>
        </w:rPr>
        <w:t xml:space="preserve">RBI: Notify within 2–6 hours for incidents affecting payment systems (RBI Cyber Security Framework)</w:t>
      </w:r>
    </w:p>
    <w:p>
      <w:pPr>
        <w:pStyle w:val="ListParagraph"/>
        <w:numPr>
          <w:ilvl w:val="0"/>
          <w:numId w:val="2"/>
        </w:numPr>
        <w:spacing w:after="40" w:before="40"/>
      </w:pPr>
      <w:r>
        <w:rPr>
          <w:rFonts w:ascii="Arial" w:cs="Arial" w:eastAsia="Arial" w:hAnsi="Arial"/>
          <w:color w:val="1C1C1C"/>
          <w:sz w:val="20"/>
          <w:szCs w:val="20"/>
        </w:rPr>
        <w:t xml:space="preserve">DPDP Act: Notify the Data Protection Board and affected data principals for personal data breaches</w:t>
      </w:r>
    </w:p>
    <w:p>
      <w:pPr>
        <w:pStyle w:val="ListParagraph"/>
        <w:numPr>
          <w:ilvl w:val="0"/>
          <w:numId w:val="2"/>
        </w:numPr>
        <w:spacing w:after="40" w:before="40"/>
      </w:pPr>
      <w:r>
        <w:rPr>
          <w:rFonts w:ascii="Arial" w:cs="Arial" w:eastAsia="Arial" w:hAnsi="Arial"/>
          <w:color w:val="1C1C1C"/>
          <w:sz w:val="20"/>
          <w:szCs w:val="20"/>
        </w:rPr>
        <w:t xml:space="preserve">Affected customers: Notify within the timeframe specified by the relevant regulation — CISO to approve all external communications</w:t>
      </w:r>
    </w:p>
    <w:p>
      <w:pPr>
        <w:spacing w:after="60" w:before="60"/>
      </w:pPr>
      <w:r>
        <w:rPr>
          <w:rFonts w:ascii="Arial" w:cs="Arial" w:eastAsia="Arial" w:hAnsi="Arial"/>
          <w:color w:val="1C1C1C"/>
          <w:sz w:val="20"/>
          <w:szCs w:val="20"/>
        </w:rPr>
        <w:t xml:space="preserve">All regulatory notifications must be approved by the CISO and documented with timestamps.</w:t>
      </w:r>
    </w:p>
    <w:p>
      <w:pPr>
        <w:pStyle w:val="Heading1"/>
      </w:pPr>
      <w:r>
        <w:rPr>
          <w:rFonts w:ascii="Arial" w:cs="Arial" w:eastAsia="Arial" w:hAnsi="Arial"/>
          <w:b/>
          <w:bCs/>
          <w:color w:val="1A3A5C"/>
          <w:sz w:val="28"/>
          <w:szCs w:val="28"/>
        </w:rPr>
        <w:t xml:space="preserve">5. Incident Response Team</w:t>
      </w:r>
    </w:p>
    <w:p>
      <w:pPr>
        <w:pStyle w:val="ListParagraph"/>
        <w:numPr>
          <w:ilvl w:val="0"/>
          <w:numId w:val="2"/>
        </w:numPr>
        <w:spacing w:after="40" w:before="40"/>
      </w:pPr>
      <w:r>
        <w:rPr>
          <w:rFonts w:ascii="Arial" w:cs="Arial" w:eastAsia="Arial" w:hAnsi="Arial"/>
          <w:color w:val="1C1C1C"/>
          <w:sz w:val="20"/>
          <w:szCs w:val="20"/>
        </w:rPr>
        <w:t xml:space="preserve">CISO — Incident Commander for P1/P2 incidents</w:t>
      </w:r>
    </w:p>
    <w:p>
      <w:pPr>
        <w:pStyle w:val="ListParagraph"/>
        <w:numPr>
          <w:ilvl w:val="0"/>
          <w:numId w:val="2"/>
        </w:numPr>
        <w:spacing w:after="40" w:before="40"/>
      </w:pPr>
      <w:r>
        <w:rPr>
          <w:rFonts w:ascii="Arial" w:cs="Arial" w:eastAsia="Arial" w:hAnsi="Arial"/>
          <w:color w:val="1C1C1C"/>
          <w:sz w:val="20"/>
          <w:szCs w:val="20"/>
        </w:rPr>
        <w:t xml:space="preserve">IT Manager — Technical Lead</w:t>
      </w:r>
    </w:p>
    <w:p>
      <w:pPr>
        <w:pStyle w:val="ListParagraph"/>
        <w:numPr>
          <w:ilvl w:val="0"/>
          <w:numId w:val="2"/>
        </w:numPr>
        <w:spacing w:after="40" w:before="40"/>
      </w:pPr>
      <w:r>
        <w:rPr>
          <w:rFonts w:ascii="Arial" w:cs="Arial" w:eastAsia="Arial" w:hAnsi="Arial"/>
          <w:color w:val="1C1C1C"/>
          <w:sz w:val="20"/>
          <w:szCs w:val="20"/>
        </w:rPr>
        <w:t xml:space="preserve">Head of Operations — Business Continuity coordination</w:t>
      </w:r>
    </w:p>
    <w:p>
      <w:pPr>
        <w:pStyle w:val="ListParagraph"/>
        <w:numPr>
          <w:ilvl w:val="0"/>
          <w:numId w:val="2"/>
        </w:numPr>
        <w:spacing w:after="40" w:before="40"/>
      </w:pPr>
      <w:r>
        <w:rPr>
          <w:rFonts w:ascii="Arial" w:cs="Arial" w:eastAsia="Arial" w:hAnsi="Arial"/>
          <w:color w:val="1C1C1C"/>
          <w:sz w:val="20"/>
          <w:szCs w:val="20"/>
        </w:rPr>
        <w:t xml:space="preserve">Legal Counsel — Regulatory notification and legal exposure assessment</w:t>
      </w:r>
    </w:p>
    <w:p>
      <w:pPr>
        <w:pStyle w:val="ListParagraph"/>
        <w:numPr>
          <w:ilvl w:val="0"/>
          <w:numId w:val="2"/>
        </w:numPr>
        <w:spacing w:after="40" w:before="40"/>
      </w:pPr>
      <w:r>
        <w:rPr>
          <w:rFonts w:ascii="Arial" w:cs="Arial" w:eastAsia="Arial" w:hAnsi="Arial"/>
          <w:color w:val="1C1C1C"/>
          <w:sz w:val="20"/>
          <w:szCs w:val="20"/>
        </w:rPr>
        <w:t xml:space="preserve">Head of HR — Internal communications and personnel matters</w:t>
      </w:r>
    </w:p>
    <w:p>
      <w:pPr>
        <w:pStyle w:val="ListParagraph"/>
        <w:numPr>
          <w:ilvl w:val="0"/>
          <w:numId w:val="2"/>
        </w:numPr>
        <w:spacing w:after="40" w:before="40"/>
      </w:pPr>
      <w:r>
        <w:rPr>
          <w:rFonts w:ascii="Arial" w:cs="Arial" w:eastAsia="Arial" w:hAnsi="Arial"/>
          <w:color w:val="1C1C1C"/>
          <w:sz w:val="20"/>
          <w:szCs w:val="20"/>
        </w:rPr>
        <w:t xml:space="preserve">External IR Retainer — Engaged for P1 incidents requiring specialist forensics</w:t>
      </w:r>
    </w:p>
    <w:p>
      <w:pPr>
        <w:pStyle w:val="Heading1"/>
      </w:pPr>
      <w:r>
        <w:rPr>
          <w:rFonts w:ascii="Arial" w:cs="Arial" w:eastAsia="Arial" w:hAnsi="Arial"/>
          <w:b/>
          <w:bCs/>
          <w:color w:val="1A3A5C"/>
          <w:sz w:val="28"/>
          <w:szCs w:val="28"/>
        </w:rPr>
        <w:t xml:space="preserve">6. Evidence Handling</w:t>
      </w:r>
    </w:p>
    <w:p>
      <w:pPr>
        <w:spacing w:after="60" w:before="60"/>
      </w:pPr>
      <w:r>
        <w:rPr>
          <w:rFonts w:ascii="Arial" w:cs="Arial" w:eastAsia="Arial" w:hAnsi="Arial"/>
          <w:color w:val="1C1C1C"/>
          <w:sz w:val="20"/>
          <w:szCs w:val="20"/>
        </w:rPr>
        <w:t xml:space="preserve">All evidence collected during an incident must be handled in a manner that maintains its integrity for potential legal proceedings:</w:t>
      </w:r>
    </w:p>
    <w:p>
      <w:pPr>
        <w:pStyle w:val="ListParagraph"/>
        <w:numPr>
          <w:ilvl w:val="0"/>
          <w:numId w:val="2"/>
        </w:numPr>
        <w:spacing w:after="40" w:before="40"/>
      </w:pPr>
      <w:r>
        <w:rPr>
          <w:rFonts w:ascii="Arial" w:cs="Arial" w:eastAsia="Arial" w:hAnsi="Arial"/>
          <w:color w:val="1C1C1C"/>
          <w:sz w:val="20"/>
          <w:szCs w:val="20"/>
        </w:rPr>
        <w:t xml:space="preserve">Create forensic copies of all evidence — never work on original media</w:t>
      </w:r>
    </w:p>
    <w:p>
      <w:pPr>
        <w:pStyle w:val="ListParagraph"/>
        <w:numPr>
          <w:ilvl w:val="0"/>
          <w:numId w:val="2"/>
        </w:numPr>
        <w:spacing w:after="40" w:before="40"/>
      </w:pPr>
      <w:r>
        <w:rPr>
          <w:rFonts w:ascii="Arial" w:cs="Arial" w:eastAsia="Arial" w:hAnsi="Arial"/>
          <w:color w:val="1C1C1C"/>
          <w:sz w:val="20"/>
          <w:szCs w:val="20"/>
        </w:rPr>
        <w:t xml:space="preserve">Maintain chain of custody documentation for all evidence</w:t>
      </w:r>
    </w:p>
    <w:p>
      <w:pPr>
        <w:pStyle w:val="ListParagraph"/>
        <w:numPr>
          <w:ilvl w:val="0"/>
          <w:numId w:val="2"/>
        </w:numPr>
        <w:spacing w:after="40" w:before="40"/>
      </w:pPr>
      <w:r>
        <w:rPr>
          <w:rFonts w:ascii="Arial" w:cs="Arial" w:eastAsia="Arial" w:hAnsi="Arial"/>
          <w:color w:val="1C1C1C"/>
          <w:sz w:val="20"/>
          <w:szCs w:val="20"/>
        </w:rPr>
        <w:t xml:space="preserve">Store evidence securely — access restricted to authorised IRT members only</w:t>
      </w:r>
    </w:p>
    <w:p>
      <w:pPr>
        <w:pStyle w:val="ListParagraph"/>
        <w:numPr>
          <w:ilvl w:val="0"/>
          <w:numId w:val="2"/>
        </w:numPr>
        <w:spacing w:after="40" w:before="40"/>
      </w:pPr>
      <w:r>
        <w:rPr>
          <w:rFonts w:ascii="Arial" w:cs="Arial" w:eastAsia="Arial" w:hAnsi="Arial"/>
          <w:color w:val="1C1C1C"/>
          <w:sz w:val="20"/>
          <w:szCs w:val="20"/>
        </w:rPr>
        <w:t xml:space="preserve">Retain evidence for a minimum of 3 years or as directed by legal counsel</w:t>
      </w:r>
    </w:p>
    <w:p>
      <w:pPr>
        <w:pBdr>
          <w:bottom w:val="single" w:color="1A3A5C" w:sz="6" w:space="1"/>
        </w:pBdr>
        <w:spacing w:after="80" w:before="160"/>
      </w:pPr>
    </w:p>
    <w:p>
      <w:pPr>
        <w:spacing w:after="60" w:before="60"/>
      </w:pPr>
      <w:r>
        <w:rPr>
          <w:rFonts w:ascii="Arial" w:cs="Arial" w:eastAsia="Arial" w:hAnsi="Arial"/>
          <w:i/>
          <w:iCs/>
          <w:color w:val="555555"/>
          <w:sz w:val="20"/>
          <w:szCs w:val="20"/>
        </w:rPr>
        <w:t xml:space="preserve">Document Owner: Chief Information Security Officer  |  SecureFinX Pvt. Ltd.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2026-05-09T10:08:29.580Z</dcterms:created>
  <dcterms:modified xsi:type="dcterms:W3CDTF">2026-05-09T10:08:29.580Z</dcterms:modified>
</cp:coreProperties>
</file>

<file path=docProps/custom.xml><?xml version="1.0" encoding="utf-8"?>
<Properties xmlns="http://schemas.openxmlformats.org/officeDocument/2006/custom-properties" xmlns:vt="http://schemas.openxmlformats.org/officeDocument/2006/docPropsVTypes"/>
</file>