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3A5C"/>
          <w:sz w:val="28"/>
          <w:szCs w:val="28"/>
        </w:rPr>
        <w:t xml:space="preserve">SecureFinX Pvt. Ltd.</w:t>
      </w:r>
    </w:p>
    <w:p>
      <w:pPr>
        <w:spacing w:after="40" w:before="0"/>
        <w:jc w:val="center"/>
      </w:pPr>
      <w:r>
        <w:rPr>
          <w:rFonts w:ascii="Arial" w:cs="Arial" w:eastAsia="Arial" w:hAnsi="Arial"/>
          <w:b/>
          <w:bCs/>
          <w:color w:val="1C1C1C"/>
          <w:sz w:val="36"/>
          <w:szCs w:val="36"/>
        </w:rPr>
        <w:t xml:space="preserve">Data Classification Policy</w:t>
      </w:r>
    </w:p>
    <w:p>
      <w:pPr>
        <w:spacing w:after="160" w:before="0"/>
        <w:jc w:val="center"/>
      </w:pPr>
      <w:r>
        <w:rPr>
          <w:rFonts w:ascii="Arial" w:cs="Arial" w:eastAsia="Arial" w:hAnsi="Arial"/>
          <w:i/>
          <w:iCs/>
          <w:color w:val="555555"/>
          <w:sz w:val="18"/>
          <w:szCs w:val="18"/>
        </w:rPr>
        <w:t xml:space="preserve">Version 1.0  |  Effective: May 2025  |  Owner: Chief Privacy Officer</w:t>
      </w:r>
    </w:p>
    <w:p>
      <w:pPr>
        <w:pBdr>
          <w:bottom w:val="single" w:color="1A3A5C" w:sz="6" w:space="1"/>
        </w:pBd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Document ID</w:t>
            </w:r>
          </w:p>
        </w:tc>
        <w:tc>
          <w:tcPr>
            <w:tcW w:type="dxa" w:w="68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color w:val="1C1C1C"/>
                <w:sz w:val="18"/>
                <w:szCs w:val="18"/>
              </w:rPr>
              <w:t xml:space="preserve">SEC-POL-004</w:t>
            </w:r>
          </w:p>
        </w:tc>
      </w:tr>
      <w:tr>
        <w:tc>
          <w:tcPr>
            <w:tcW w:type="dxa" w:w="25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Classification</w:t>
            </w:r>
          </w:p>
        </w:tc>
        <w:tc>
          <w:tcPr>
            <w:tcW w:type="dxa" w:w="68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color w:val="1C1C1C"/>
                <w:sz w:val="18"/>
                <w:szCs w:val="18"/>
              </w:rPr>
              <w:t xml:space="preserve">Internal</w:t>
            </w:r>
          </w:p>
        </w:tc>
      </w:tr>
      <w:tr>
        <w:tc>
          <w:tcPr>
            <w:tcW w:type="dxa" w:w="25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Review Cycle</w:t>
            </w:r>
          </w:p>
        </w:tc>
        <w:tc>
          <w:tcPr>
            <w:tcW w:type="dxa" w:w="68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color w:val="1C1C1C"/>
                <w:sz w:val="18"/>
                <w:szCs w:val="18"/>
              </w:rPr>
              <w:t xml:space="preserve">Annual</w:t>
            </w:r>
          </w:p>
        </w:tc>
      </w:tr>
      <w:tr>
        <w:tc>
          <w:tcPr>
            <w:tcW w:type="dxa" w:w="25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Approved By</w:t>
            </w:r>
          </w:p>
        </w:tc>
        <w:tc>
          <w:tcPr>
            <w:tcW w:type="dxa" w:w="68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color w:val="1C1C1C"/>
                <w:sz w:val="18"/>
                <w:szCs w:val="18"/>
              </w:rPr>
              <w:t xml:space="preserve">CISO — SecureFinX Pvt. Ltd.</w:t>
            </w:r>
          </w:p>
        </w:tc>
      </w:tr>
      <w:tr>
        <w:tc>
          <w:tcPr>
            <w:tcW w:type="dxa" w:w="25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ISO 27001 Ref</w:t>
            </w:r>
          </w:p>
        </w:tc>
        <w:tc>
          <w:tcPr>
            <w:tcW w:type="dxa" w:w="68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color w:val="1C1C1C"/>
                <w:sz w:val="18"/>
                <w:szCs w:val="18"/>
              </w:rPr>
              <w:t xml:space="preserve">A.5.12, A.5.13, A.5.14, A.8.10, A.8.11</w:t>
            </w:r>
          </w:p>
        </w:tc>
      </w:tr>
      <w:tr>
        <w:tc>
          <w:tcPr>
            <w:tcW w:type="dxa" w:w="25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Regulation Ref</w:t>
            </w:r>
          </w:p>
        </w:tc>
        <w:tc>
          <w:tcPr>
            <w:tcW w:type="dxa" w:w="68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color w:val="1C1C1C"/>
                <w:sz w:val="18"/>
                <w:szCs w:val="18"/>
              </w:rPr>
              <w:t xml:space="preserve">DPDP Act 2023, RBI PA Guidelines, PCI-DSS v4.0</w:t>
            </w:r>
          </w:p>
        </w:tc>
      </w:tr>
      <w:tr>
        <w:tc>
          <w:tcPr>
            <w:tcW w:type="dxa" w:w="25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Next Review</w:t>
            </w:r>
          </w:p>
        </w:tc>
        <w:tc>
          <w:tcPr>
            <w:tcW w:type="dxa" w:w="68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color w:val="1C1C1C"/>
                <w:sz w:val="18"/>
                <w:szCs w:val="18"/>
              </w:rPr>
              <w:t xml:space="preserve">May 2026</w:t>
            </w:r>
          </w:p>
        </w:tc>
      </w:tr>
    </w:tbl>
    <w:p>
      <w:pPr>
        <w:spacing w:after="80" w:before="80"/>
      </w:pPr>
    </w:p>
    <w:p>
      <w:pPr>
        <w:pStyle w:val="Heading1"/>
      </w:pPr>
      <w:r>
        <w:rPr>
          <w:rFonts w:ascii="Arial" w:cs="Arial" w:eastAsia="Arial" w:hAnsi="Arial"/>
          <w:b/>
          <w:bCs/>
          <w:color w:val="1A3A5C"/>
          <w:sz w:val="28"/>
          <w:szCs w:val="28"/>
        </w:rPr>
        <w:t xml:space="preserve">1. Purpose</w:t>
      </w:r>
    </w:p>
    <w:p>
      <w:pPr>
        <w:spacing w:after="60" w:before="60"/>
      </w:pPr>
      <w:r>
        <w:rPr>
          <w:rFonts w:ascii="Arial" w:cs="Arial" w:eastAsia="Arial" w:hAnsi="Arial"/>
          <w:color w:val="1C1C1C"/>
          <w:sz w:val="20"/>
          <w:szCs w:val="20"/>
        </w:rPr>
        <w:t xml:space="preserve">This Data Classification Policy defines how SecureFinX categorises its information assets based on sensitivity and business value. Proper classification ensures that appropriate security controls are applied consistently — protecting customer data, ensuring regulatory compliance, and enabling proportionate security investment.</w:t>
      </w:r>
    </w:p>
    <w:p>
      <w:pPr>
        <w:pStyle w:val="Heading1"/>
      </w:pPr>
      <w:r>
        <w:rPr>
          <w:rFonts w:ascii="Arial" w:cs="Arial" w:eastAsia="Arial" w:hAnsi="Arial"/>
          <w:b/>
          <w:bCs/>
          <w:color w:val="1A3A5C"/>
          <w:sz w:val="28"/>
          <w:szCs w:val="28"/>
        </w:rPr>
        <w:t xml:space="preserve">2. Classification Tiers</w:t>
      </w:r>
    </w:p>
    <w:p>
      <w:pPr>
        <w:spacing w:after="60" w:before="60"/>
      </w:pPr>
      <w:r>
        <w:rPr>
          <w:rFonts w:ascii="Arial" w:cs="Arial" w:eastAsia="Arial" w:hAnsi="Arial"/>
          <w:color w:val="1C1C1C"/>
          <w:sz w:val="20"/>
          <w:szCs w:val="20"/>
        </w:rPr>
        <w:t xml:space="preserve">SecureFinX uses a 4-tier classification system:</w:t>
      </w:r>
    </w:p>
    <w:p>
      <w:pPr>
        <w:pStyle w:val="Heading2"/>
      </w:pPr>
      <w:r>
        <w:rPr>
          <w:rFonts w:ascii="Arial" w:cs="Arial" w:eastAsia="Arial" w:hAnsi="Arial"/>
          <w:b/>
          <w:bCs/>
          <w:color w:val="1A3A5C"/>
          <w:sz w:val="22"/>
          <w:szCs w:val="22"/>
        </w:rPr>
        <w:t xml:space="preserve">Tier 1 —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6"/>
              <w:left w:val="single" w:color="CCCCCC" w:sz="6"/>
              <w:bottom w:val="single" w:color="CCCCCC" w:sz="6"/>
              <w:right w:val="single" w:color="CCCCCC" w:sz="6"/>
            </w:tcBorders>
            <w:shd w:fill="D4EFDF" w:val="clear"/>
            <w:tcMar>
              <w:top w:type="dxa" w:w="80"/>
              <w:left w:type="dxa" w:w="120"/>
              <w:bottom w:type="dxa" w:w="80"/>
              <w:right w:type="dxa" w:w="120"/>
            </w:tcMar>
          </w:tcPr>
          <w:p>
            <w:r>
              <w:rPr>
                <w:rFonts w:ascii="Arial" w:cs="Arial" w:eastAsia="Arial" w:hAnsi="Arial"/>
                <w:b/>
                <w:bCs/>
                <w:sz w:val="18"/>
                <w:szCs w:val="18"/>
              </w:rPr>
              <w:t xml:space="preserve">Definition</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18"/>
                <w:szCs w:val="18"/>
              </w:rPr>
              <w:t xml:space="preserve">Information approved for public release — no harm if disclosed</w:t>
            </w:r>
          </w:p>
        </w:tc>
      </w:tr>
      <w:tr>
        <w:tc>
          <w:tcPr>
            <w:tcW w:type="dxa" w:w="2000"/>
            <w:tcBorders>
              <w:top w:val="single" w:color="CCCCCC" w:sz="6"/>
              <w:left w:val="single" w:color="CCCCCC" w:sz="6"/>
              <w:bottom w:val="single" w:color="CCCCCC" w:sz="6"/>
              <w:right w:val="single" w:color="CCCCCC" w:sz="6"/>
            </w:tcBorders>
            <w:shd w:fill="D4EFDF" w:val="clear"/>
            <w:tcMar>
              <w:top w:type="dxa" w:w="80"/>
              <w:left w:type="dxa" w:w="120"/>
              <w:bottom w:type="dxa" w:w="80"/>
              <w:right w:type="dxa" w:w="120"/>
            </w:tcMar>
          </w:tcPr>
          <w:p>
            <w:r>
              <w:rPr>
                <w:rFonts w:ascii="Arial" w:cs="Arial" w:eastAsia="Arial" w:hAnsi="Arial"/>
                <w:b/>
                <w:bCs/>
                <w:sz w:val="18"/>
                <w:szCs w:val="18"/>
              </w:rPr>
              <w:t xml:space="preserve">Examples</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18"/>
                <w:szCs w:val="18"/>
              </w:rPr>
              <w:t xml:space="preserve">Marketing materials, public website content, published press releases, job postings</w:t>
            </w:r>
          </w:p>
        </w:tc>
      </w:tr>
      <w:tr>
        <w:tc>
          <w:tcPr>
            <w:tcW w:type="dxa" w:w="2000"/>
            <w:tcBorders>
              <w:top w:val="single" w:color="CCCCCC" w:sz="6"/>
              <w:left w:val="single" w:color="CCCCCC" w:sz="6"/>
              <w:bottom w:val="single" w:color="CCCCCC" w:sz="6"/>
              <w:right w:val="single" w:color="CCCCCC" w:sz="6"/>
            </w:tcBorders>
            <w:shd w:fill="D4EFDF" w:val="clear"/>
            <w:tcMar>
              <w:top w:type="dxa" w:w="80"/>
              <w:left w:type="dxa" w:w="120"/>
              <w:bottom w:type="dxa" w:w="80"/>
              <w:right w:type="dxa" w:w="120"/>
            </w:tcMar>
          </w:tcPr>
          <w:p>
            <w:r>
              <w:rPr>
                <w:rFonts w:ascii="Arial" w:cs="Arial" w:eastAsia="Arial" w:hAnsi="Arial"/>
                <w:b/>
                <w:bCs/>
                <w:sz w:val="18"/>
                <w:szCs w:val="18"/>
              </w:rPr>
              <w:t xml:space="preserve">Handling</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18"/>
                <w:szCs w:val="18"/>
              </w:rPr>
              <w:t xml:space="preserve">No special controls required. May be freely shared externally.</w:t>
            </w:r>
          </w:p>
        </w:tc>
      </w:tr>
    </w:tbl>
    <w:p>
      <w:pPr>
        <w:spacing w:after="80" w:before="80"/>
      </w:pPr>
    </w:p>
    <w:p>
      <w:pPr>
        <w:pStyle w:val="Heading2"/>
      </w:pPr>
      <w:r>
        <w:rPr>
          <w:rFonts w:ascii="Arial" w:cs="Arial" w:eastAsia="Arial" w:hAnsi="Arial"/>
          <w:b/>
          <w:bCs/>
          <w:color w:val="1A3A5C"/>
          <w:sz w:val="22"/>
          <w:szCs w:val="22"/>
        </w:rPr>
        <w:t xml:space="preserve">Tier 2 —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6"/>
              <w:left w:val="single" w:color="CCCCCC" w:sz="6"/>
              <w:bottom w:val="single" w:color="CCCCCC" w:sz="6"/>
              <w:right w:val="single" w:color="CCCCCC" w:sz="6"/>
            </w:tcBorders>
            <w:shd w:fill="D6EAF8" w:val="clear"/>
            <w:tcMar>
              <w:top w:type="dxa" w:w="80"/>
              <w:left w:type="dxa" w:w="120"/>
              <w:bottom w:type="dxa" w:w="80"/>
              <w:right w:type="dxa" w:w="120"/>
            </w:tcMar>
          </w:tcPr>
          <w:p>
            <w:r>
              <w:rPr>
                <w:rFonts w:ascii="Arial" w:cs="Arial" w:eastAsia="Arial" w:hAnsi="Arial"/>
                <w:b/>
                <w:bCs/>
                <w:sz w:val="18"/>
                <w:szCs w:val="18"/>
              </w:rPr>
              <w:t xml:space="preserve">Definition</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18"/>
                <w:szCs w:val="18"/>
              </w:rPr>
              <w:t xml:space="preserve">Information intended for internal use — limited business impact if disclosed</w:t>
            </w:r>
          </w:p>
        </w:tc>
      </w:tr>
      <w:tr>
        <w:tc>
          <w:tcPr>
            <w:tcW w:type="dxa" w:w="2000"/>
            <w:tcBorders>
              <w:top w:val="single" w:color="CCCCCC" w:sz="6"/>
              <w:left w:val="single" w:color="CCCCCC" w:sz="6"/>
              <w:bottom w:val="single" w:color="CCCCCC" w:sz="6"/>
              <w:right w:val="single" w:color="CCCCCC" w:sz="6"/>
            </w:tcBorders>
            <w:shd w:fill="D6EAF8" w:val="clear"/>
            <w:tcMar>
              <w:top w:type="dxa" w:w="80"/>
              <w:left w:type="dxa" w:w="120"/>
              <w:bottom w:type="dxa" w:w="80"/>
              <w:right w:type="dxa" w:w="120"/>
            </w:tcMar>
          </w:tcPr>
          <w:p>
            <w:r>
              <w:rPr>
                <w:rFonts w:ascii="Arial" w:cs="Arial" w:eastAsia="Arial" w:hAnsi="Arial"/>
                <w:b/>
                <w:bCs/>
                <w:sz w:val="18"/>
                <w:szCs w:val="18"/>
              </w:rPr>
              <w:t xml:space="preserve">Examples</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18"/>
                <w:szCs w:val="18"/>
              </w:rPr>
              <w:t xml:space="preserve">Internal policies, meeting minutes, project plans, staff announcements</w:t>
            </w:r>
          </w:p>
        </w:tc>
      </w:tr>
      <w:tr>
        <w:tc>
          <w:tcPr>
            <w:tcW w:type="dxa" w:w="2000"/>
            <w:tcBorders>
              <w:top w:val="single" w:color="CCCCCC" w:sz="6"/>
              <w:left w:val="single" w:color="CCCCCC" w:sz="6"/>
              <w:bottom w:val="single" w:color="CCCCCC" w:sz="6"/>
              <w:right w:val="single" w:color="CCCCCC" w:sz="6"/>
            </w:tcBorders>
            <w:shd w:fill="D6EAF8" w:val="clear"/>
            <w:tcMar>
              <w:top w:type="dxa" w:w="80"/>
              <w:left w:type="dxa" w:w="120"/>
              <w:bottom w:type="dxa" w:w="80"/>
              <w:right w:type="dxa" w:w="120"/>
            </w:tcMar>
          </w:tcPr>
          <w:p>
            <w:r>
              <w:rPr>
                <w:rFonts w:ascii="Arial" w:cs="Arial" w:eastAsia="Arial" w:hAnsi="Arial"/>
                <w:b/>
                <w:bCs/>
                <w:sz w:val="18"/>
                <w:szCs w:val="18"/>
              </w:rPr>
              <w:t xml:space="preserve">Handling</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18"/>
                <w:szCs w:val="18"/>
              </w:rPr>
              <w:t xml:space="preserve">Share only with SecureFinX employees. Do not send to personal email. Store on approved company systems only.</w:t>
            </w:r>
          </w:p>
        </w:tc>
      </w:tr>
    </w:tbl>
    <w:p>
      <w:pPr>
        <w:spacing w:after="80" w:before="80"/>
      </w:pPr>
    </w:p>
    <w:p>
      <w:pPr>
        <w:pStyle w:val="Heading2"/>
      </w:pPr>
      <w:r>
        <w:rPr>
          <w:rFonts w:ascii="Arial" w:cs="Arial" w:eastAsia="Arial" w:hAnsi="Arial"/>
          <w:b/>
          <w:bCs/>
          <w:color w:val="1A3A5C"/>
          <w:sz w:val="22"/>
          <w:szCs w:val="22"/>
        </w:rPr>
        <w:t xml:space="preserve">Tier 3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6"/>
              <w:left w:val="single" w:color="CCCCCC" w:sz="6"/>
              <w:bottom w:val="single" w:color="CCCCCC" w:sz="6"/>
              <w:right w:val="single" w:color="CCCCCC" w:sz="6"/>
            </w:tcBorders>
            <w:shd w:fill="FAD7A0" w:val="clear"/>
            <w:tcMar>
              <w:top w:type="dxa" w:w="80"/>
              <w:left w:type="dxa" w:w="120"/>
              <w:bottom w:type="dxa" w:w="80"/>
              <w:right w:type="dxa" w:w="120"/>
            </w:tcMar>
          </w:tcPr>
          <w:p>
            <w:r>
              <w:rPr>
                <w:rFonts w:ascii="Arial" w:cs="Arial" w:eastAsia="Arial" w:hAnsi="Arial"/>
                <w:b/>
                <w:bCs/>
                <w:sz w:val="18"/>
                <w:szCs w:val="18"/>
              </w:rPr>
              <w:t xml:space="preserve">Definition</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18"/>
                <w:szCs w:val="18"/>
              </w:rPr>
              <w:t xml:space="preserve">Sensitive business information — significant harm if disclosed without authorisation</w:t>
            </w:r>
          </w:p>
        </w:tc>
      </w:tr>
      <w:tr>
        <w:tc>
          <w:tcPr>
            <w:tcW w:type="dxa" w:w="2000"/>
            <w:tcBorders>
              <w:top w:val="single" w:color="CCCCCC" w:sz="6"/>
              <w:left w:val="single" w:color="CCCCCC" w:sz="6"/>
              <w:bottom w:val="single" w:color="CCCCCC" w:sz="6"/>
              <w:right w:val="single" w:color="CCCCCC" w:sz="6"/>
            </w:tcBorders>
            <w:shd w:fill="FAD7A0" w:val="clear"/>
            <w:tcMar>
              <w:top w:type="dxa" w:w="80"/>
              <w:left w:type="dxa" w:w="120"/>
              <w:bottom w:type="dxa" w:w="80"/>
              <w:right w:type="dxa" w:w="120"/>
            </w:tcMar>
          </w:tcPr>
          <w:p>
            <w:r>
              <w:rPr>
                <w:rFonts w:ascii="Arial" w:cs="Arial" w:eastAsia="Arial" w:hAnsi="Arial"/>
                <w:b/>
                <w:bCs/>
                <w:sz w:val="18"/>
                <w:szCs w:val="18"/>
              </w:rPr>
              <w:t xml:space="preserve">Examples</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18"/>
                <w:szCs w:val="18"/>
              </w:rPr>
              <w:t xml:space="preserve">Financial reports, business strategy, investor data, employee PII, vendor contracts, system architecture documents</w:t>
            </w:r>
          </w:p>
        </w:tc>
      </w:tr>
      <w:tr>
        <w:tc>
          <w:tcPr>
            <w:tcW w:type="dxa" w:w="2000"/>
            <w:tcBorders>
              <w:top w:val="single" w:color="CCCCCC" w:sz="6"/>
              <w:left w:val="single" w:color="CCCCCC" w:sz="6"/>
              <w:bottom w:val="single" w:color="CCCCCC" w:sz="6"/>
              <w:right w:val="single" w:color="CCCCCC" w:sz="6"/>
            </w:tcBorders>
            <w:shd w:fill="FAD7A0" w:val="clear"/>
            <w:tcMar>
              <w:top w:type="dxa" w:w="80"/>
              <w:left w:type="dxa" w:w="120"/>
              <w:bottom w:type="dxa" w:w="80"/>
              <w:right w:type="dxa" w:w="120"/>
            </w:tcMar>
          </w:tcPr>
          <w:p>
            <w:r>
              <w:rPr>
                <w:rFonts w:ascii="Arial" w:cs="Arial" w:eastAsia="Arial" w:hAnsi="Arial"/>
                <w:b/>
                <w:bCs/>
                <w:sz w:val="18"/>
                <w:szCs w:val="18"/>
              </w:rPr>
              <w:t xml:space="preserve">Handling</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18"/>
                <w:szCs w:val="18"/>
              </w:rPr>
              <w:t xml:space="preserve">Encrypt in transit and at rest. Share only with authorised individuals on a need-to-know basis. Log all access. Label documents as CONFIDENTIAL.</w:t>
            </w:r>
          </w:p>
        </w:tc>
      </w:tr>
    </w:tbl>
    <w:p>
      <w:pPr>
        <w:spacing w:after="80" w:before="80"/>
      </w:pPr>
    </w:p>
    <w:p>
      <w:pPr>
        <w:pStyle w:val="Heading2"/>
      </w:pPr>
      <w:r>
        <w:rPr>
          <w:rFonts w:ascii="Arial" w:cs="Arial" w:eastAsia="Arial" w:hAnsi="Arial"/>
          <w:b/>
          <w:bCs/>
          <w:color w:val="1A3A5C"/>
          <w:sz w:val="22"/>
          <w:szCs w:val="22"/>
        </w:rPr>
        <w:t xml:space="preserve">Tier 4 — RESTRICTED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6"/>
              <w:left w:val="single" w:color="CCCCCC" w:sz="6"/>
              <w:bottom w:val="single" w:color="CCCCCC" w:sz="6"/>
              <w:right w:val="single" w:color="CCCCCC" w:sz="6"/>
            </w:tcBorders>
            <w:shd w:fill="FADBD8" w:val="clear"/>
            <w:tcMar>
              <w:top w:type="dxa" w:w="80"/>
              <w:left w:type="dxa" w:w="120"/>
              <w:bottom w:type="dxa" w:w="80"/>
              <w:right w:type="dxa" w:w="120"/>
            </w:tcMar>
          </w:tcPr>
          <w:p>
            <w:r>
              <w:rPr>
                <w:rFonts w:ascii="Arial" w:cs="Arial" w:eastAsia="Arial" w:hAnsi="Arial"/>
                <w:b/>
                <w:bCs/>
                <w:sz w:val="18"/>
                <w:szCs w:val="18"/>
              </w:rPr>
              <w:t xml:space="preserve">Definition</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18"/>
                <w:szCs w:val="18"/>
              </w:rPr>
              <w:t xml:space="preserve">Highest sensitivity — catastrophic impact if disclosed. Regulatory obligations apply.</w:t>
            </w:r>
          </w:p>
        </w:tc>
      </w:tr>
      <w:tr>
        <w:tc>
          <w:tcPr>
            <w:tcW w:type="dxa" w:w="2000"/>
            <w:tcBorders>
              <w:top w:val="single" w:color="CCCCCC" w:sz="6"/>
              <w:left w:val="single" w:color="CCCCCC" w:sz="6"/>
              <w:bottom w:val="single" w:color="CCCCCC" w:sz="6"/>
              <w:right w:val="single" w:color="CCCCCC" w:sz="6"/>
            </w:tcBorders>
            <w:shd w:fill="FADBD8" w:val="clear"/>
            <w:tcMar>
              <w:top w:type="dxa" w:w="80"/>
              <w:left w:type="dxa" w:w="120"/>
              <w:bottom w:type="dxa" w:w="80"/>
              <w:right w:type="dxa" w:w="120"/>
            </w:tcMar>
          </w:tcPr>
          <w:p>
            <w:r>
              <w:rPr>
                <w:rFonts w:ascii="Arial" w:cs="Arial" w:eastAsia="Arial" w:hAnsi="Arial"/>
                <w:b/>
                <w:bCs/>
                <w:sz w:val="18"/>
                <w:szCs w:val="18"/>
              </w:rPr>
              <w:t xml:space="preserve">Examples</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18"/>
                <w:szCs w:val="18"/>
              </w:rPr>
              <w:t xml:space="preserve">Customer Aadhaar numbers, PAN, payment card data, bank account details, authentication credentials, encryption keys, audit reports, incident reports</w:t>
            </w:r>
          </w:p>
        </w:tc>
      </w:tr>
      <w:tr>
        <w:tc>
          <w:tcPr>
            <w:tcW w:type="dxa" w:w="2000"/>
            <w:tcBorders>
              <w:top w:val="single" w:color="CCCCCC" w:sz="6"/>
              <w:left w:val="single" w:color="CCCCCC" w:sz="6"/>
              <w:bottom w:val="single" w:color="CCCCCC" w:sz="6"/>
              <w:right w:val="single" w:color="CCCCCC" w:sz="6"/>
            </w:tcBorders>
            <w:shd w:fill="FADBD8" w:val="clear"/>
            <w:tcMar>
              <w:top w:type="dxa" w:w="80"/>
              <w:left w:type="dxa" w:w="120"/>
              <w:bottom w:type="dxa" w:w="80"/>
              <w:right w:type="dxa" w:w="120"/>
            </w:tcMar>
          </w:tcPr>
          <w:p>
            <w:r>
              <w:rPr>
                <w:rFonts w:ascii="Arial" w:cs="Arial" w:eastAsia="Arial" w:hAnsi="Arial"/>
                <w:b/>
                <w:bCs/>
                <w:sz w:val="18"/>
                <w:szCs w:val="18"/>
              </w:rPr>
              <w:t xml:space="preserve">Handling</w:t>
            </w:r>
          </w:p>
        </w:tc>
        <w:tc>
          <w:tcPr>
            <w:tcW w:type="dxa" w:w="73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sz w:val="18"/>
                <w:szCs w:val="18"/>
              </w:rPr>
              <w:t xml:space="preserve">AES-256 encryption mandatory. Access logged and reviewed. MFA required. Strict need-to-know. Secure disposal only (cryptographic erasure or physical destruction). Never store on personal devices.</w:t>
            </w:r>
          </w:p>
        </w:tc>
      </w:tr>
    </w:tbl>
    <w:p>
      <w:pPr>
        <w:spacing w:after="80" w:before="80"/>
      </w:pPr>
    </w:p>
    <w:p>
      <w:pPr>
        <w:pStyle w:val="Heading1"/>
      </w:pPr>
      <w:r>
        <w:rPr>
          <w:rFonts w:ascii="Arial" w:cs="Arial" w:eastAsia="Arial" w:hAnsi="Arial"/>
          <w:b/>
          <w:bCs/>
          <w:color w:val="1A3A5C"/>
          <w:sz w:val="28"/>
          <w:szCs w:val="28"/>
        </w:rPr>
        <w:t xml:space="preserve">3. Data Retention</w:t>
      </w:r>
    </w:p>
    <w:p>
      <w:pPr>
        <w:pStyle w:val="ListParagraph"/>
        <w:numPr>
          <w:ilvl w:val="0"/>
          <w:numId w:val="2"/>
        </w:numPr>
        <w:spacing w:after="40" w:before="40"/>
      </w:pPr>
      <w:r>
        <w:rPr>
          <w:rFonts w:ascii="Arial" w:cs="Arial" w:eastAsia="Arial" w:hAnsi="Arial"/>
          <w:color w:val="1C1C1C"/>
          <w:sz w:val="20"/>
          <w:szCs w:val="20"/>
        </w:rPr>
        <w:t xml:space="preserve">Customer KYC data: Retained for the duration of the customer relationship + 5 years (RBI requirement)</w:t>
      </w:r>
    </w:p>
    <w:p>
      <w:pPr>
        <w:pStyle w:val="ListParagraph"/>
        <w:numPr>
          <w:ilvl w:val="0"/>
          <w:numId w:val="2"/>
        </w:numPr>
        <w:spacing w:after="40" w:before="40"/>
      </w:pPr>
      <w:r>
        <w:rPr>
          <w:rFonts w:ascii="Arial" w:cs="Arial" w:eastAsia="Arial" w:hAnsi="Arial"/>
          <w:color w:val="1C1C1C"/>
          <w:sz w:val="20"/>
          <w:szCs w:val="20"/>
        </w:rPr>
        <w:t xml:space="preserve">Transaction records: 10 years per RBI guidelines</w:t>
      </w:r>
    </w:p>
    <w:p>
      <w:pPr>
        <w:pStyle w:val="ListParagraph"/>
        <w:numPr>
          <w:ilvl w:val="0"/>
          <w:numId w:val="2"/>
        </w:numPr>
        <w:spacing w:after="40" w:before="40"/>
      </w:pPr>
      <w:r>
        <w:rPr>
          <w:rFonts w:ascii="Arial" w:cs="Arial" w:eastAsia="Arial" w:hAnsi="Arial"/>
          <w:color w:val="1C1C1C"/>
          <w:sz w:val="20"/>
          <w:szCs w:val="20"/>
        </w:rPr>
        <w:t xml:space="preserve">Employee records: 7 years post-termination</w:t>
      </w:r>
    </w:p>
    <w:p>
      <w:pPr>
        <w:pStyle w:val="ListParagraph"/>
        <w:numPr>
          <w:ilvl w:val="0"/>
          <w:numId w:val="2"/>
        </w:numPr>
        <w:spacing w:after="40" w:before="40"/>
      </w:pPr>
      <w:r>
        <w:rPr>
          <w:rFonts w:ascii="Arial" w:cs="Arial" w:eastAsia="Arial" w:hAnsi="Arial"/>
          <w:color w:val="1C1C1C"/>
          <w:sz w:val="20"/>
          <w:szCs w:val="20"/>
        </w:rPr>
        <w:t xml:space="preserve">Security logs: Minimum 12 months, audit logs 3 years</w:t>
      </w:r>
    </w:p>
    <w:p>
      <w:pPr>
        <w:pStyle w:val="ListParagraph"/>
        <w:numPr>
          <w:ilvl w:val="0"/>
          <w:numId w:val="2"/>
        </w:numPr>
        <w:spacing w:after="40" w:before="40"/>
      </w:pPr>
      <w:r>
        <w:rPr>
          <w:rFonts w:ascii="Arial" w:cs="Arial" w:eastAsia="Arial" w:hAnsi="Arial"/>
          <w:color w:val="1C1C1C"/>
          <w:sz w:val="20"/>
          <w:szCs w:val="20"/>
        </w:rPr>
        <w:t xml:space="preserve">Data beyond its retention period must be securely deleted — documented in the disposal log</w:t>
      </w:r>
    </w:p>
    <w:p>
      <w:pPr>
        <w:pStyle w:val="Heading1"/>
      </w:pPr>
      <w:r>
        <w:rPr>
          <w:rFonts w:ascii="Arial" w:cs="Arial" w:eastAsia="Arial" w:hAnsi="Arial"/>
          <w:b/>
          <w:bCs/>
          <w:color w:val="1A3A5C"/>
          <w:sz w:val="28"/>
          <w:szCs w:val="28"/>
        </w:rPr>
        <w:t xml:space="preserve">4. Data Handling by Location</w:t>
      </w:r>
    </w:p>
    <w:p>
      <w:pPr>
        <w:pStyle w:val="ListParagraph"/>
        <w:numPr>
          <w:ilvl w:val="0"/>
          <w:numId w:val="2"/>
        </w:numPr>
        <w:spacing w:after="40" w:before="40"/>
      </w:pPr>
      <w:r>
        <w:rPr>
          <w:rFonts w:ascii="Arial" w:cs="Arial" w:eastAsia="Arial" w:hAnsi="Arial"/>
          <w:color w:val="1C1C1C"/>
          <w:sz w:val="20"/>
          <w:szCs w:val="20"/>
        </w:rPr>
        <w:t xml:space="preserve">At rest: All Restricted and Confidential data encrypted with AES-256</w:t>
      </w:r>
    </w:p>
    <w:p>
      <w:pPr>
        <w:pStyle w:val="ListParagraph"/>
        <w:numPr>
          <w:ilvl w:val="0"/>
          <w:numId w:val="2"/>
        </w:numPr>
        <w:spacing w:after="40" w:before="40"/>
      </w:pPr>
      <w:r>
        <w:rPr>
          <w:rFonts w:ascii="Arial" w:cs="Arial" w:eastAsia="Arial" w:hAnsi="Arial"/>
          <w:color w:val="1C1C1C"/>
          <w:sz w:val="20"/>
          <w:szCs w:val="20"/>
        </w:rPr>
        <w:t xml:space="preserve">In transit: All data encrypted using TLS 1.2 minimum (TLS 1.3 preferred)</w:t>
      </w:r>
    </w:p>
    <w:p>
      <w:pPr>
        <w:pStyle w:val="ListParagraph"/>
        <w:numPr>
          <w:ilvl w:val="0"/>
          <w:numId w:val="2"/>
        </w:numPr>
        <w:spacing w:after="40" w:before="40"/>
      </w:pPr>
      <w:r>
        <w:rPr>
          <w:rFonts w:ascii="Arial" w:cs="Arial" w:eastAsia="Arial" w:hAnsi="Arial"/>
          <w:color w:val="1C1C1C"/>
          <w:sz w:val="20"/>
          <w:szCs w:val="20"/>
        </w:rPr>
        <w:t xml:space="preserve">On devices: Full disk encryption mandatory on all devices accessing Confidential or Restricted data</w:t>
      </w:r>
    </w:p>
    <w:p>
      <w:pPr>
        <w:pStyle w:val="ListParagraph"/>
        <w:numPr>
          <w:ilvl w:val="0"/>
          <w:numId w:val="2"/>
        </w:numPr>
        <w:spacing w:after="40" w:before="40"/>
      </w:pPr>
      <w:r>
        <w:rPr>
          <w:rFonts w:ascii="Arial" w:cs="Arial" w:eastAsia="Arial" w:hAnsi="Arial"/>
          <w:color w:val="1C1C1C"/>
          <w:sz w:val="20"/>
          <w:szCs w:val="20"/>
        </w:rPr>
        <w:t xml:space="preserve">In cloud: Data residency in India for customer PII — AWS Mumbai region only</w:t>
      </w:r>
    </w:p>
    <w:p>
      <w:pPr>
        <w:pStyle w:val="ListParagraph"/>
        <w:numPr>
          <w:ilvl w:val="0"/>
          <w:numId w:val="2"/>
        </w:numPr>
        <w:spacing w:after="40" w:before="40"/>
      </w:pPr>
      <w:r>
        <w:rPr>
          <w:rFonts w:ascii="Arial" w:cs="Arial" w:eastAsia="Arial" w:hAnsi="Arial"/>
          <w:color w:val="1C1C1C"/>
          <w:sz w:val="20"/>
          <w:szCs w:val="20"/>
        </w:rPr>
        <w:t xml:space="preserve">For disposal: Cryptographic erasure for digital media, cross-cut shredding for physical documents</w:t>
      </w:r>
    </w:p>
    <w:p>
      <w:pPr>
        <w:pStyle w:val="Heading1"/>
      </w:pPr>
      <w:r>
        <w:rPr>
          <w:rFonts w:ascii="Arial" w:cs="Arial" w:eastAsia="Arial" w:hAnsi="Arial"/>
          <w:b/>
          <w:bCs/>
          <w:color w:val="1A3A5C"/>
          <w:sz w:val="28"/>
          <w:szCs w:val="28"/>
        </w:rPr>
        <w:t xml:space="preserve">5. Classification Responsibility</w:t>
      </w:r>
    </w:p>
    <w:p>
      <w:pPr>
        <w:spacing w:after="60" w:before="60"/>
      </w:pPr>
      <w:r>
        <w:rPr>
          <w:rFonts w:ascii="Arial" w:cs="Arial" w:eastAsia="Arial" w:hAnsi="Arial"/>
          <w:color w:val="1C1C1C"/>
          <w:sz w:val="20"/>
          <w:szCs w:val="20"/>
        </w:rPr>
        <w:t xml:space="preserve">The data creator is responsible for applying the correct classification label at the time of creation. Managers are responsible for ensuring their teams apply this policy consistently. The CISO is responsible for this policy and conducts annual compliance reviews.</w:t>
      </w:r>
    </w:p>
    <w:p>
      <w:pPr>
        <w:pBdr>
          <w:bottom w:val="single" w:color="1A3A5C" w:sz="6" w:space="1"/>
        </w:pBdr>
        <w:spacing w:after="80" w:before="160"/>
      </w:pPr>
    </w:p>
    <w:p>
      <w:pPr>
        <w:spacing w:after="60" w:before="60"/>
      </w:pPr>
      <w:r>
        <w:rPr>
          <w:rFonts w:ascii="Arial" w:cs="Arial" w:eastAsia="Arial" w:hAnsi="Arial"/>
          <w:i/>
          <w:iCs/>
          <w:color w:val="555555"/>
          <w:sz w:val="20"/>
          <w:szCs w:val="20"/>
        </w:rPr>
        <w:t xml:space="preserve">Document Owner: Chief Privacy Officer  |  SecureFinX Pvt. Ltd.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3A5C"/>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2026-05-09T10:08:29.594Z</dcterms:created>
  <dcterms:modified xsi:type="dcterms:W3CDTF">2026-05-09T10:08:29.594Z</dcterms:modified>
</cp:coreProperties>
</file>

<file path=docProps/custom.xml><?xml version="1.0" encoding="utf-8"?>
<Properties xmlns="http://schemas.openxmlformats.org/officeDocument/2006/custom-properties" xmlns:vt="http://schemas.openxmlformats.org/officeDocument/2006/docPropsVTypes"/>
</file>