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A5C"/>
          <w:sz w:val="28"/>
          <w:szCs w:val="28"/>
        </w:rPr>
        <w:t xml:space="preserve">SecureFinX Pvt. Ltd.</w:t>
      </w:r>
    </w:p>
    <w:p>
      <w:pPr>
        <w:spacing w:after="40" w:before="0"/>
        <w:jc w:val="center"/>
      </w:pPr>
      <w:r>
        <w:rPr>
          <w:rFonts w:ascii="Arial" w:cs="Arial" w:eastAsia="Arial" w:hAnsi="Arial"/>
          <w:b/>
          <w:bCs/>
          <w:color w:val="1C1C1C"/>
          <w:sz w:val="36"/>
          <w:szCs w:val="36"/>
        </w:rPr>
        <w:t xml:space="preserve">Bring Your Own Device (BYOD) Security Policy</w:t>
      </w:r>
    </w:p>
    <w:p>
      <w:pPr>
        <w:spacing w:after="160" w:before="0"/>
        <w:jc w:val="center"/>
      </w:pPr>
      <w:r>
        <w:rPr>
          <w:rFonts w:ascii="Arial" w:cs="Arial" w:eastAsia="Arial" w:hAnsi="Arial"/>
          <w:i/>
          <w:iCs/>
          <w:color w:val="555555"/>
          <w:sz w:val="18"/>
          <w:szCs w:val="18"/>
        </w:rPr>
        <w:t xml:space="preserve">Version 1.0  |  Effective: May 2025  |  Owner: Chief Information Security Officer</w:t>
      </w:r>
    </w:p>
    <w:p>
      <w:pPr>
        <w:pBdr>
          <w:bottom w:val="single" w:color="1A3A5C" w:sz="6" w:space="1"/>
        </w:pBd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Document ID</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SEC-POL-005</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Classification</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Internal</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Review Cycle</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Annual</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Approved By</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CISO — SecureFinX Pvt. Ltd.</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ISO 27001 Ref</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A.5.10, A.6.7, A.7.9, A.8.1, A.8.5</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Next Review</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May 2026</w:t>
            </w:r>
          </w:p>
        </w:tc>
      </w:tr>
    </w:tbl>
    <w:p>
      <w:pPr>
        <w:spacing w:after="80" w:before="80"/>
      </w:pPr>
    </w:p>
    <w:p>
      <w:pPr>
        <w:pStyle w:val="Heading1"/>
      </w:pPr>
      <w:r>
        <w:rPr>
          <w:rFonts w:ascii="Arial" w:cs="Arial" w:eastAsia="Arial" w:hAnsi="Arial"/>
          <w:b/>
          <w:bCs/>
          <w:color w:val="1A3A5C"/>
          <w:sz w:val="28"/>
          <w:szCs w:val="28"/>
        </w:rPr>
        <w:t xml:space="preserve">1. Purpose</w:t>
      </w:r>
    </w:p>
    <w:p>
      <w:pPr>
        <w:spacing w:after="60" w:before="60"/>
      </w:pPr>
      <w:r>
        <w:rPr>
          <w:rFonts w:ascii="Arial" w:cs="Arial" w:eastAsia="Arial" w:hAnsi="Arial"/>
          <w:color w:val="1C1C1C"/>
          <w:sz w:val="20"/>
          <w:szCs w:val="20"/>
        </w:rPr>
        <w:t xml:space="preserve">This BYOD Policy governs the use of personally-owned devices to access SecureFinX information systems, applications, and data. As a fintech company handling sensitive customer financial and identity data, SecureFinX must ensure that personal devices used for work meet minimum security standards and operate within acceptable boundaries.</w:t>
      </w:r>
    </w:p>
    <w:p>
      <w:pPr>
        <w:pStyle w:val="Heading1"/>
      </w:pPr>
      <w:r>
        <w:rPr>
          <w:rFonts w:ascii="Arial" w:cs="Arial" w:eastAsia="Arial" w:hAnsi="Arial"/>
          <w:b/>
          <w:bCs/>
          <w:color w:val="1A3A5C"/>
          <w:sz w:val="28"/>
          <w:szCs w:val="28"/>
        </w:rPr>
        <w:t xml:space="preserve">2. Scope &amp; Eligibility</w:t>
      </w:r>
    </w:p>
    <w:p>
      <w:pPr>
        <w:spacing w:after="60" w:before="60"/>
      </w:pPr>
      <w:r>
        <w:rPr>
          <w:rFonts w:ascii="Arial" w:cs="Arial" w:eastAsia="Arial" w:hAnsi="Arial"/>
          <w:color w:val="1C1C1C"/>
          <w:sz w:val="20"/>
          <w:szCs w:val="20"/>
        </w:rPr>
        <w:t xml:space="preserve">This policy applies to all employees, contractors, and approved third parties who use personal smartphones, tablets, or laptops to access SecureFinX systems. Participation in the BYOD programme is conditional on acceptance of this policy and enrolment in the MDM system.</w:t>
      </w:r>
    </w:p>
    <w:p>
      <w:pPr>
        <w:spacing w:after="60" w:before="60"/>
      </w:pPr>
      <w:r>
        <w:rPr>
          <w:rFonts w:ascii="Arial" w:cs="Arial" w:eastAsia="Arial" w:hAnsi="Arial"/>
          <w:color w:val="1C1C1C"/>
          <w:sz w:val="20"/>
          <w:szCs w:val="20"/>
        </w:rPr>
        <w:t xml:space="preserve">The following roles are NOT permitted to use BYOD for work — company-issued devices are mandatory:</w:t>
      </w:r>
    </w:p>
    <w:p>
      <w:pPr>
        <w:pStyle w:val="ListParagraph"/>
        <w:numPr>
          <w:ilvl w:val="0"/>
          <w:numId w:val="2"/>
        </w:numPr>
        <w:spacing w:after="40" w:before="40"/>
      </w:pPr>
      <w:r>
        <w:rPr>
          <w:rFonts w:ascii="Arial" w:cs="Arial" w:eastAsia="Arial" w:hAnsi="Arial"/>
          <w:color w:val="1C1C1C"/>
          <w:sz w:val="20"/>
          <w:szCs w:val="20"/>
        </w:rPr>
        <w:t xml:space="preserve">Engineers with production system access</w:t>
      </w:r>
    </w:p>
    <w:p>
      <w:pPr>
        <w:pStyle w:val="ListParagraph"/>
        <w:numPr>
          <w:ilvl w:val="0"/>
          <w:numId w:val="2"/>
        </w:numPr>
        <w:spacing w:after="40" w:before="40"/>
      </w:pPr>
      <w:r>
        <w:rPr>
          <w:rFonts w:ascii="Arial" w:cs="Arial" w:eastAsia="Arial" w:hAnsi="Arial"/>
          <w:color w:val="1C1C1C"/>
          <w:sz w:val="20"/>
          <w:szCs w:val="20"/>
        </w:rPr>
        <w:t xml:space="preserve">Finance team members with access to banking systems</w:t>
      </w:r>
    </w:p>
    <w:p>
      <w:pPr>
        <w:pStyle w:val="ListParagraph"/>
        <w:numPr>
          <w:ilvl w:val="0"/>
          <w:numId w:val="2"/>
        </w:numPr>
        <w:spacing w:after="40" w:before="40"/>
      </w:pPr>
      <w:r>
        <w:rPr>
          <w:rFonts w:ascii="Arial" w:cs="Arial" w:eastAsia="Arial" w:hAnsi="Arial"/>
          <w:color w:val="1C1C1C"/>
          <w:sz w:val="20"/>
          <w:szCs w:val="20"/>
        </w:rPr>
        <w:t xml:space="preserve">Any role with access to Restricted-tier data</w:t>
      </w:r>
    </w:p>
    <w:p>
      <w:pPr>
        <w:pStyle w:val="Heading1"/>
      </w:pPr>
      <w:r>
        <w:rPr>
          <w:rFonts w:ascii="Arial" w:cs="Arial" w:eastAsia="Arial" w:hAnsi="Arial"/>
          <w:b/>
          <w:bCs/>
          <w:color w:val="1A3A5C"/>
          <w:sz w:val="28"/>
          <w:szCs w:val="28"/>
        </w:rPr>
        <w:t xml:space="preserve">3. Enrolment Requirements</w:t>
      </w:r>
    </w:p>
    <w:p>
      <w:pPr>
        <w:spacing w:after="60" w:before="60"/>
      </w:pPr>
      <w:r>
        <w:rPr>
          <w:rFonts w:ascii="Arial" w:cs="Arial" w:eastAsia="Arial" w:hAnsi="Arial"/>
          <w:color w:val="1C1C1C"/>
          <w:sz w:val="20"/>
          <w:szCs w:val="20"/>
        </w:rPr>
        <w:t xml:space="preserve">Before a personal device may access SecureFinX systems, the employee must:</w:t>
      </w:r>
    </w:p>
    <w:p>
      <w:pPr>
        <w:pStyle w:val="ListParagraph"/>
        <w:numPr>
          <w:ilvl w:val="0"/>
          <w:numId w:val="3"/>
        </w:numPr>
        <w:spacing w:after="40" w:before="40"/>
      </w:pPr>
      <w:r>
        <w:rPr>
          <w:rFonts w:ascii="Arial" w:cs="Arial" w:eastAsia="Arial" w:hAnsi="Arial"/>
          <w:color w:val="1C1C1C"/>
          <w:sz w:val="20"/>
          <w:szCs w:val="20"/>
        </w:rPr>
        <w:t xml:space="preserve">Submit a BYOD Enrolment Request to the IT department</w:t>
      </w:r>
    </w:p>
    <w:p>
      <w:pPr>
        <w:pStyle w:val="ListParagraph"/>
        <w:numPr>
          <w:ilvl w:val="0"/>
          <w:numId w:val="3"/>
        </w:numPr>
        <w:spacing w:after="40" w:before="40"/>
      </w:pPr>
      <w:r>
        <w:rPr>
          <w:rFonts w:ascii="Arial" w:cs="Arial" w:eastAsia="Arial" w:hAnsi="Arial"/>
          <w:color w:val="1C1C1C"/>
          <w:sz w:val="20"/>
          <w:szCs w:val="20"/>
        </w:rPr>
        <w:t xml:space="preserve">Enrol the device in the SecureFinX MDM system</w:t>
      </w:r>
    </w:p>
    <w:p>
      <w:pPr>
        <w:pStyle w:val="ListParagraph"/>
        <w:numPr>
          <w:ilvl w:val="0"/>
          <w:numId w:val="3"/>
        </w:numPr>
        <w:spacing w:after="40" w:before="40"/>
      </w:pPr>
      <w:r>
        <w:rPr>
          <w:rFonts w:ascii="Arial" w:cs="Arial" w:eastAsia="Arial" w:hAnsi="Arial"/>
          <w:color w:val="1C1C1C"/>
          <w:sz w:val="20"/>
          <w:szCs w:val="20"/>
        </w:rPr>
        <w:t xml:space="preserve">Ensure the device runs a supported OS version (iOS 16+ or Android 12+, Windows 11 for laptops)</w:t>
      </w:r>
    </w:p>
    <w:p>
      <w:pPr>
        <w:pStyle w:val="ListParagraph"/>
        <w:numPr>
          <w:ilvl w:val="0"/>
          <w:numId w:val="3"/>
        </w:numPr>
        <w:spacing w:after="40" w:before="40"/>
      </w:pPr>
      <w:r>
        <w:rPr>
          <w:rFonts w:ascii="Arial" w:cs="Arial" w:eastAsia="Arial" w:hAnsi="Arial"/>
          <w:color w:val="1C1C1C"/>
          <w:sz w:val="20"/>
          <w:szCs w:val="20"/>
        </w:rPr>
        <w:t xml:space="preserve">Enable full-disk encryption on the device</w:t>
      </w:r>
    </w:p>
    <w:p>
      <w:pPr>
        <w:pStyle w:val="ListParagraph"/>
        <w:numPr>
          <w:ilvl w:val="0"/>
          <w:numId w:val="3"/>
        </w:numPr>
        <w:spacing w:after="40" w:before="40"/>
      </w:pPr>
      <w:r>
        <w:rPr>
          <w:rFonts w:ascii="Arial" w:cs="Arial" w:eastAsia="Arial" w:hAnsi="Arial"/>
          <w:color w:val="1C1C1C"/>
          <w:sz w:val="20"/>
          <w:szCs w:val="20"/>
        </w:rPr>
        <w:t xml:space="preserve">Set a strong PIN/password (minimum 6 digits or alphanumeric)</w:t>
      </w:r>
    </w:p>
    <w:p>
      <w:pPr>
        <w:pStyle w:val="ListParagraph"/>
        <w:numPr>
          <w:ilvl w:val="0"/>
          <w:numId w:val="3"/>
        </w:numPr>
        <w:spacing w:after="40" w:before="40"/>
      </w:pPr>
      <w:r>
        <w:rPr>
          <w:rFonts w:ascii="Arial" w:cs="Arial" w:eastAsia="Arial" w:hAnsi="Arial"/>
          <w:color w:val="1C1C1C"/>
          <w:sz w:val="20"/>
          <w:szCs w:val="20"/>
        </w:rPr>
        <w:t xml:space="preserve">Enable automatic OS and app updates</w:t>
      </w:r>
    </w:p>
    <w:p>
      <w:pPr>
        <w:pStyle w:val="ListParagraph"/>
        <w:numPr>
          <w:ilvl w:val="0"/>
          <w:numId w:val="3"/>
        </w:numPr>
        <w:spacing w:after="40" w:before="40"/>
      </w:pPr>
      <w:r>
        <w:rPr>
          <w:rFonts w:ascii="Arial" w:cs="Arial" w:eastAsia="Arial" w:hAnsi="Arial"/>
          <w:color w:val="1C1C1C"/>
          <w:sz w:val="20"/>
          <w:szCs w:val="20"/>
        </w:rPr>
        <w:t xml:space="preserve">Sign and return the BYOD Consent Form acknowledging remote wipe rights</w:t>
      </w:r>
    </w:p>
    <w:p>
      <w:pPr>
        <w:pStyle w:val="Heading1"/>
      </w:pPr>
      <w:r>
        <w:rPr>
          <w:rFonts w:ascii="Arial" w:cs="Arial" w:eastAsia="Arial" w:hAnsi="Arial"/>
          <w:b/>
          <w:bCs/>
          <w:color w:val="1A3A5C"/>
          <w:sz w:val="28"/>
          <w:szCs w:val="28"/>
        </w:rPr>
        <w:t xml:space="preserve">4. Security Requirements</w:t>
      </w:r>
    </w:p>
    <w:p>
      <w:pPr>
        <w:pStyle w:val="Heading2"/>
      </w:pPr>
      <w:r>
        <w:rPr>
          <w:rFonts w:ascii="Arial" w:cs="Arial" w:eastAsia="Arial" w:hAnsi="Arial"/>
          <w:b/>
          <w:bCs/>
          <w:color w:val="1A3A5C"/>
          <w:sz w:val="22"/>
          <w:szCs w:val="22"/>
        </w:rPr>
        <w:t xml:space="preserve">4.1 Device Requirements</w:t>
      </w:r>
    </w:p>
    <w:p>
      <w:pPr>
        <w:pStyle w:val="ListParagraph"/>
        <w:numPr>
          <w:ilvl w:val="0"/>
          <w:numId w:val="2"/>
        </w:numPr>
        <w:spacing w:after="40" w:before="40"/>
      </w:pPr>
      <w:r>
        <w:rPr>
          <w:rFonts w:ascii="Arial" w:cs="Arial" w:eastAsia="Arial" w:hAnsi="Arial"/>
          <w:color w:val="1C1C1C"/>
          <w:sz w:val="20"/>
          <w:szCs w:val="20"/>
        </w:rPr>
        <w:t xml:space="preserve">Screen lock: Auto-lock after maximum 5 minutes of inactivity</w:t>
      </w:r>
    </w:p>
    <w:p>
      <w:pPr>
        <w:pStyle w:val="ListParagraph"/>
        <w:numPr>
          <w:ilvl w:val="0"/>
          <w:numId w:val="2"/>
        </w:numPr>
        <w:spacing w:after="40" w:before="40"/>
      </w:pPr>
      <w:r>
        <w:rPr>
          <w:rFonts w:ascii="Arial" w:cs="Arial" w:eastAsia="Arial" w:hAnsi="Arial"/>
          <w:color w:val="1C1C1C"/>
          <w:sz w:val="20"/>
          <w:szCs w:val="20"/>
        </w:rPr>
        <w:t xml:space="preserve">Encryption: Full device encryption enabled at all times</w:t>
      </w:r>
    </w:p>
    <w:p>
      <w:pPr>
        <w:pStyle w:val="ListParagraph"/>
        <w:numPr>
          <w:ilvl w:val="0"/>
          <w:numId w:val="2"/>
        </w:numPr>
        <w:spacing w:after="40" w:before="40"/>
      </w:pPr>
      <w:r>
        <w:rPr>
          <w:rFonts w:ascii="Arial" w:cs="Arial" w:eastAsia="Arial" w:hAnsi="Arial"/>
          <w:color w:val="1C1C1C"/>
          <w:sz w:val="20"/>
          <w:szCs w:val="20"/>
        </w:rPr>
        <w:t xml:space="preserve">OS: Device must not be rooted or jailbroken — this immediately disqualifies the device</w:t>
      </w:r>
    </w:p>
    <w:p>
      <w:pPr>
        <w:pStyle w:val="ListParagraph"/>
        <w:numPr>
          <w:ilvl w:val="0"/>
          <w:numId w:val="2"/>
        </w:numPr>
        <w:spacing w:after="40" w:before="40"/>
      </w:pPr>
      <w:r>
        <w:rPr>
          <w:rFonts w:ascii="Arial" w:cs="Arial" w:eastAsia="Arial" w:hAnsi="Arial"/>
          <w:color w:val="1C1C1C"/>
          <w:sz w:val="20"/>
          <w:szCs w:val="20"/>
        </w:rPr>
        <w:t xml:space="preserve">Antivirus: Approved mobile security app must be installed and kept current</w:t>
      </w:r>
    </w:p>
    <w:p>
      <w:pPr>
        <w:pStyle w:val="ListParagraph"/>
        <w:numPr>
          <w:ilvl w:val="0"/>
          <w:numId w:val="2"/>
        </w:numPr>
        <w:spacing w:after="40" w:before="40"/>
      </w:pPr>
      <w:r>
        <w:rPr>
          <w:rFonts w:ascii="Arial" w:cs="Arial" w:eastAsia="Arial" w:hAnsi="Arial"/>
          <w:color w:val="1C1C1C"/>
          <w:sz w:val="20"/>
          <w:szCs w:val="20"/>
        </w:rPr>
        <w:t xml:space="preserve">Updates: OS and security patches applied within 7 days of release</w:t>
      </w:r>
    </w:p>
    <w:p>
      <w:pPr>
        <w:pStyle w:val="Heading2"/>
      </w:pPr>
      <w:r>
        <w:rPr>
          <w:rFonts w:ascii="Arial" w:cs="Arial" w:eastAsia="Arial" w:hAnsi="Arial"/>
          <w:b/>
          <w:bCs/>
          <w:color w:val="1A3A5C"/>
          <w:sz w:val="22"/>
          <w:szCs w:val="22"/>
        </w:rPr>
        <w:t xml:space="preserve">4.2 Access Requirements</w:t>
      </w:r>
    </w:p>
    <w:p>
      <w:pPr>
        <w:pStyle w:val="ListParagraph"/>
        <w:numPr>
          <w:ilvl w:val="0"/>
          <w:numId w:val="2"/>
        </w:numPr>
        <w:spacing w:after="40" w:before="40"/>
      </w:pPr>
      <w:r>
        <w:rPr>
          <w:rFonts w:ascii="Arial" w:cs="Arial" w:eastAsia="Arial" w:hAnsi="Arial"/>
          <w:color w:val="1C1C1C"/>
          <w:sz w:val="20"/>
          <w:szCs w:val="20"/>
        </w:rPr>
        <w:t xml:space="preserve">All SecureFinX system access from BYOD requires MFA — no exceptions</w:t>
      </w:r>
    </w:p>
    <w:p>
      <w:pPr>
        <w:pStyle w:val="ListParagraph"/>
        <w:numPr>
          <w:ilvl w:val="0"/>
          <w:numId w:val="2"/>
        </w:numPr>
        <w:spacing w:after="40" w:before="40"/>
      </w:pPr>
      <w:r>
        <w:rPr>
          <w:rFonts w:ascii="Arial" w:cs="Arial" w:eastAsia="Arial" w:hAnsi="Arial"/>
          <w:color w:val="1C1C1C"/>
          <w:sz w:val="20"/>
          <w:szCs w:val="20"/>
        </w:rPr>
        <w:t xml:space="preserve">VPN must be active when accessing any internal SecureFinX resource remotely</w:t>
      </w:r>
    </w:p>
    <w:p>
      <w:pPr>
        <w:pStyle w:val="ListParagraph"/>
        <w:numPr>
          <w:ilvl w:val="0"/>
          <w:numId w:val="2"/>
        </w:numPr>
        <w:spacing w:after="40" w:before="40"/>
      </w:pPr>
      <w:r>
        <w:rPr>
          <w:rFonts w:ascii="Arial" w:cs="Arial" w:eastAsia="Arial" w:hAnsi="Arial"/>
          <w:color w:val="1C1C1C"/>
          <w:sz w:val="20"/>
          <w:szCs w:val="20"/>
        </w:rPr>
        <w:t xml:space="preserve">Corporate applications must use the approved SecureFinX app container — data cannot be shared to personal apps</w:t>
      </w:r>
    </w:p>
    <w:p>
      <w:pPr>
        <w:pStyle w:val="ListParagraph"/>
        <w:numPr>
          <w:ilvl w:val="0"/>
          <w:numId w:val="2"/>
        </w:numPr>
        <w:spacing w:after="40" w:before="40"/>
      </w:pPr>
      <w:r>
        <w:rPr>
          <w:rFonts w:ascii="Arial" w:cs="Arial" w:eastAsia="Arial" w:hAnsi="Arial"/>
          <w:color w:val="1C1C1C"/>
          <w:sz w:val="20"/>
          <w:szCs w:val="20"/>
        </w:rPr>
        <w:t xml:space="preserve">Corporate email accessed via approved app (not native mail app) to enforce DLP controls</w:t>
      </w:r>
    </w:p>
    <w:p>
      <w:pPr>
        <w:pStyle w:val="Heading2"/>
      </w:pPr>
      <w:r>
        <w:rPr>
          <w:rFonts w:ascii="Arial" w:cs="Arial" w:eastAsia="Arial" w:hAnsi="Arial"/>
          <w:b/>
          <w:bCs/>
          <w:color w:val="1A3A5C"/>
          <w:sz w:val="22"/>
          <w:szCs w:val="22"/>
        </w:rPr>
        <w:t xml:space="preserve">4.3 Prohibited Activities on BYOD</w:t>
      </w:r>
    </w:p>
    <w:p>
      <w:pPr>
        <w:pStyle w:val="ListParagraph"/>
        <w:numPr>
          <w:ilvl w:val="0"/>
          <w:numId w:val="2"/>
        </w:numPr>
        <w:spacing w:after="40" w:before="40"/>
      </w:pPr>
      <w:r>
        <w:rPr>
          <w:rFonts w:ascii="Arial" w:cs="Arial" w:eastAsia="Arial" w:hAnsi="Arial"/>
          <w:color w:val="1C1C1C"/>
          <w:sz w:val="20"/>
          <w:szCs w:val="20"/>
        </w:rPr>
        <w:t xml:space="preserve">Storing SecureFinX Confidential or Restricted data outside the approved app container</w:t>
      </w:r>
    </w:p>
    <w:p>
      <w:pPr>
        <w:pStyle w:val="ListParagraph"/>
        <w:numPr>
          <w:ilvl w:val="0"/>
          <w:numId w:val="2"/>
        </w:numPr>
        <w:spacing w:after="40" w:before="40"/>
      </w:pPr>
      <w:r>
        <w:rPr>
          <w:rFonts w:ascii="Arial" w:cs="Arial" w:eastAsia="Arial" w:hAnsi="Arial"/>
          <w:color w:val="1C1C1C"/>
          <w:sz w:val="20"/>
          <w:szCs w:val="20"/>
        </w:rPr>
        <w:t xml:space="preserve">Sharing work files to personal apps (WhatsApp, personal Google Drive, iCloud)</w:t>
      </w:r>
    </w:p>
    <w:p>
      <w:pPr>
        <w:pStyle w:val="ListParagraph"/>
        <w:numPr>
          <w:ilvl w:val="0"/>
          <w:numId w:val="2"/>
        </w:numPr>
        <w:spacing w:after="40" w:before="40"/>
      </w:pPr>
      <w:r>
        <w:rPr>
          <w:rFonts w:ascii="Arial" w:cs="Arial" w:eastAsia="Arial" w:hAnsi="Arial"/>
          <w:color w:val="1C1C1C"/>
          <w:sz w:val="20"/>
          <w:szCs w:val="20"/>
        </w:rPr>
        <w:t xml:space="preserve">Using the device on public Wi-Fi for work without VPN active</w:t>
      </w:r>
    </w:p>
    <w:p>
      <w:pPr>
        <w:pStyle w:val="ListParagraph"/>
        <w:numPr>
          <w:ilvl w:val="0"/>
          <w:numId w:val="2"/>
        </w:numPr>
        <w:spacing w:after="40" w:before="40"/>
      </w:pPr>
      <w:r>
        <w:rPr>
          <w:rFonts w:ascii="Arial" w:cs="Arial" w:eastAsia="Arial" w:hAnsi="Arial"/>
          <w:color w:val="1C1C1C"/>
          <w:sz w:val="20"/>
          <w:szCs w:val="20"/>
        </w:rPr>
        <w:t xml:space="preserve">Removing the MDM profile or disabling security controls</w:t>
      </w:r>
    </w:p>
    <w:p>
      <w:pPr>
        <w:pStyle w:val="ListParagraph"/>
        <w:numPr>
          <w:ilvl w:val="0"/>
          <w:numId w:val="2"/>
        </w:numPr>
        <w:spacing w:after="40" w:before="40"/>
      </w:pPr>
      <w:r>
        <w:rPr>
          <w:rFonts w:ascii="Arial" w:cs="Arial" w:eastAsia="Arial" w:hAnsi="Arial"/>
          <w:color w:val="1C1C1C"/>
          <w:sz w:val="20"/>
          <w:szCs w:val="20"/>
        </w:rPr>
        <w:t xml:space="preserve">Allowing family members or others to use the device while logged into SecureFinX systems</w:t>
      </w:r>
    </w:p>
    <w:p>
      <w:pPr>
        <w:pStyle w:val="Heading1"/>
      </w:pPr>
      <w:r>
        <w:rPr>
          <w:rFonts w:ascii="Arial" w:cs="Arial" w:eastAsia="Arial" w:hAnsi="Arial"/>
          <w:b/>
          <w:bCs/>
          <w:color w:val="1A3A5C"/>
          <w:sz w:val="28"/>
          <w:szCs w:val="28"/>
        </w:rPr>
        <w:t xml:space="preserve">5. Privacy &amp; Monitoring</w:t>
      </w:r>
    </w:p>
    <w:p>
      <w:pPr>
        <w:spacing w:after="60" w:before="60"/>
      </w:pPr>
      <w:r>
        <w:rPr>
          <w:rFonts w:ascii="Arial" w:cs="Arial" w:eastAsia="Arial" w:hAnsi="Arial"/>
          <w:color w:val="1C1C1C"/>
          <w:sz w:val="20"/>
          <w:szCs w:val="20"/>
        </w:rPr>
        <w:t xml:space="preserve">SecureFinX respects employee privacy. The MDM system monitors ONLY the corporate app container and security posture — not personal applications, photos, messages, or browsing history.</w:t>
      </w:r>
    </w:p>
    <w:p>
      <w:pPr>
        <w:spacing w:after="60" w:before="60"/>
      </w:pPr>
      <w:r>
        <w:rPr>
          <w:rFonts w:ascii="Arial" w:cs="Arial" w:eastAsia="Arial" w:hAnsi="Arial"/>
          <w:color w:val="1C1C1C"/>
          <w:sz w:val="20"/>
          <w:szCs w:val="20"/>
        </w:rPr>
        <w:t xml:space="preserve">SecureFinX reserves the right to:</w:t>
      </w:r>
    </w:p>
    <w:p>
      <w:pPr>
        <w:pStyle w:val="ListParagraph"/>
        <w:numPr>
          <w:ilvl w:val="0"/>
          <w:numId w:val="2"/>
        </w:numPr>
        <w:spacing w:after="40" w:before="40"/>
      </w:pPr>
      <w:r>
        <w:rPr>
          <w:rFonts w:ascii="Arial" w:cs="Arial" w:eastAsia="Arial" w:hAnsi="Arial"/>
          <w:color w:val="1C1C1C"/>
          <w:sz w:val="20"/>
          <w:szCs w:val="20"/>
        </w:rPr>
        <w:t xml:space="preserve">Remotely wipe the corporate app container if the device is lost, stolen, or the employee leaves</w:t>
      </w:r>
    </w:p>
    <w:p>
      <w:pPr>
        <w:pStyle w:val="ListParagraph"/>
        <w:numPr>
          <w:ilvl w:val="0"/>
          <w:numId w:val="2"/>
        </w:numPr>
        <w:spacing w:after="40" w:before="40"/>
      </w:pPr>
      <w:r>
        <w:rPr>
          <w:rFonts w:ascii="Arial" w:cs="Arial" w:eastAsia="Arial" w:hAnsi="Arial"/>
          <w:color w:val="1C1C1C"/>
          <w:sz w:val="20"/>
          <w:szCs w:val="20"/>
        </w:rPr>
        <w:t xml:space="preserve">Monitor compliance with this policy via the MDM system</w:t>
      </w:r>
    </w:p>
    <w:p>
      <w:pPr>
        <w:pStyle w:val="ListParagraph"/>
        <w:numPr>
          <w:ilvl w:val="0"/>
          <w:numId w:val="2"/>
        </w:numPr>
        <w:spacing w:after="40" w:before="40"/>
      </w:pPr>
      <w:r>
        <w:rPr>
          <w:rFonts w:ascii="Arial" w:cs="Arial" w:eastAsia="Arial" w:hAnsi="Arial"/>
          <w:color w:val="1C1C1C"/>
          <w:sz w:val="20"/>
          <w:szCs w:val="20"/>
        </w:rPr>
        <w:t xml:space="preserve">Revoke corporate access from any device that fails to meet policy requirements</w:t>
      </w:r>
    </w:p>
    <w:p>
      <w:pPr>
        <w:spacing w:after="60" w:before="60"/>
      </w:pPr>
      <w:r>
        <w:rPr>
          <w:rFonts w:ascii="Arial" w:cs="Arial" w:eastAsia="Arial" w:hAnsi="Arial"/>
          <w:color w:val="1C1C1C"/>
          <w:sz w:val="20"/>
          <w:szCs w:val="20"/>
        </w:rPr>
        <w:t xml:space="preserve">SecureFinX will provide advance notice before any remote wipe, except in cases of theft, security incident, or immediate risk to company data.</w:t>
      </w:r>
    </w:p>
    <w:p>
      <w:pPr>
        <w:pStyle w:val="Heading1"/>
      </w:pPr>
      <w:r>
        <w:rPr>
          <w:rFonts w:ascii="Arial" w:cs="Arial" w:eastAsia="Arial" w:hAnsi="Arial"/>
          <w:b/>
          <w:bCs/>
          <w:color w:val="1A3A5C"/>
          <w:sz w:val="28"/>
          <w:szCs w:val="28"/>
        </w:rPr>
        <w:t xml:space="preserve">6. Lost or Stolen Devices</w:t>
      </w:r>
    </w:p>
    <w:p>
      <w:pPr>
        <w:pStyle w:val="ListParagraph"/>
        <w:numPr>
          <w:ilvl w:val="0"/>
          <w:numId w:val="3"/>
        </w:numPr>
        <w:spacing w:after="40" w:before="40"/>
      </w:pPr>
      <w:r>
        <w:rPr>
          <w:rFonts w:ascii="Arial" w:cs="Arial" w:eastAsia="Arial" w:hAnsi="Arial"/>
          <w:color w:val="1C1C1C"/>
          <w:sz w:val="20"/>
          <w:szCs w:val="20"/>
        </w:rPr>
        <w:t xml:space="preserve">Report immediately — within 2 hours of discovery — to IT (ext. 200) and CISO</w:t>
      </w:r>
    </w:p>
    <w:p>
      <w:pPr>
        <w:pStyle w:val="ListParagraph"/>
        <w:numPr>
          <w:ilvl w:val="0"/>
          <w:numId w:val="3"/>
        </w:numPr>
        <w:spacing w:after="40" w:before="40"/>
      </w:pPr>
      <w:r>
        <w:rPr>
          <w:rFonts w:ascii="Arial" w:cs="Arial" w:eastAsia="Arial" w:hAnsi="Arial"/>
          <w:color w:val="1C1C1C"/>
          <w:sz w:val="20"/>
          <w:szCs w:val="20"/>
        </w:rPr>
        <w:t xml:space="preserve">IT will remotely wipe the corporate container immediately upon report</w:t>
      </w:r>
    </w:p>
    <w:p>
      <w:pPr>
        <w:pStyle w:val="ListParagraph"/>
        <w:numPr>
          <w:ilvl w:val="0"/>
          <w:numId w:val="3"/>
        </w:numPr>
        <w:spacing w:after="40" w:before="40"/>
      </w:pPr>
      <w:r>
        <w:rPr>
          <w:rFonts w:ascii="Arial" w:cs="Arial" w:eastAsia="Arial" w:hAnsi="Arial"/>
          <w:color w:val="1C1C1C"/>
          <w:sz w:val="20"/>
          <w:szCs w:val="20"/>
        </w:rPr>
        <w:t xml:space="preserve">Employee must file a police report if theft is suspected</w:t>
      </w:r>
    </w:p>
    <w:p>
      <w:pPr>
        <w:pStyle w:val="ListParagraph"/>
        <w:numPr>
          <w:ilvl w:val="0"/>
          <w:numId w:val="3"/>
        </w:numPr>
        <w:spacing w:after="40" w:before="40"/>
      </w:pPr>
      <w:r>
        <w:rPr>
          <w:rFonts w:ascii="Arial" w:cs="Arial" w:eastAsia="Arial" w:hAnsi="Arial"/>
          <w:color w:val="1C1C1C"/>
          <w:sz w:val="20"/>
          <w:szCs w:val="20"/>
        </w:rPr>
        <w:t xml:space="preserve">Incident is logged as a potential security incident and investigated per the Incident Response Policy</w:t>
      </w:r>
    </w:p>
    <w:p>
      <w:pPr>
        <w:pStyle w:val="ListParagraph"/>
        <w:numPr>
          <w:ilvl w:val="0"/>
          <w:numId w:val="3"/>
        </w:numPr>
        <w:spacing w:after="40" w:before="40"/>
      </w:pPr>
      <w:r>
        <w:rPr>
          <w:rFonts w:ascii="Arial" w:cs="Arial" w:eastAsia="Arial" w:hAnsi="Arial"/>
          <w:color w:val="1C1C1C"/>
          <w:sz w:val="20"/>
          <w:szCs w:val="20"/>
        </w:rPr>
        <w:t xml:space="preserve">A new device enrolment request must be submitted before corporate access is restored</w:t>
      </w:r>
    </w:p>
    <w:p>
      <w:pPr>
        <w:pStyle w:val="Heading1"/>
      </w:pPr>
      <w:r>
        <w:rPr>
          <w:rFonts w:ascii="Arial" w:cs="Arial" w:eastAsia="Arial" w:hAnsi="Arial"/>
          <w:b/>
          <w:bCs/>
          <w:color w:val="1A3A5C"/>
          <w:sz w:val="28"/>
          <w:szCs w:val="28"/>
        </w:rPr>
        <w:t xml:space="preserve">7. Employee Departure</w:t>
      </w:r>
    </w:p>
    <w:p>
      <w:pPr>
        <w:spacing w:after="60" w:before="60"/>
      </w:pPr>
      <w:r>
        <w:rPr>
          <w:rFonts w:ascii="Arial" w:cs="Arial" w:eastAsia="Arial" w:hAnsi="Arial"/>
          <w:color w:val="1C1C1C"/>
          <w:sz w:val="20"/>
          <w:szCs w:val="20"/>
        </w:rPr>
        <w:t xml:space="preserve">Upon resignation, termination, or end of contract:</w:t>
      </w:r>
    </w:p>
    <w:p>
      <w:pPr>
        <w:pStyle w:val="ListParagraph"/>
        <w:numPr>
          <w:ilvl w:val="0"/>
          <w:numId w:val="2"/>
        </w:numPr>
        <w:spacing w:after="40" w:before="40"/>
      </w:pPr>
      <w:r>
        <w:rPr>
          <w:rFonts w:ascii="Arial" w:cs="Arial" w:eastAsia="Arial" w:hAnsi="Arial"/>
          <w:color w:val="1C1C1C"/>
          <w:sz w:val="20"/>
          <w:szCs w:val="20"/>
        </w:rPr>
        <w:t xml:space="preserve">The corporate app container is remotely wiped on the last day of employment</w:t>
      </w:r>
    </w:p>
    <w:p>
      <w:pPr>
        <w:pStyle w:val="ListParagraph"/>
        <w:numPr>
          <w:ilvl w:val="0"/>
          <w:numId w:val="2"/>
        </w:numPr>
        <w:spacing w:after="40" w:before="40"/>
      </w:pPr>
      <w:r>
        <w:rPr>
          <w:rFonts w:ascii="Arial" w:cs="Arial" w:eastAsia="Arial" w:hAnsi="Arial"/>
          <w:color w:val="1C1C1C"/>
          <w:sz w:val="20"/>
          <w:szCs w:val="20"/>
        </w:rPr>
        <w:t xml:space="preserve">All corporate credentials are revoked</w:t>
      </w:r>
    </w:p>
    <w:p>
      <w:pPr>
        <w:pStyle w:val="ListParagraph"/>
        <w:numPr>
          <w:ilvl w:val="0"/>
          <w:numId w:val="2"/>
        </w:numPr>
        <w:spacing w:after="40" w:before="40"/>
      </w:pPr>
      <w:r>
        <w:rPr>
          <w:rFonts w:ascii="Arial" w:cs="Arial" w:eastAsia="Arial" w:hAnsi="Arial"/>
          <w:color w:val="1C1C1C"/>
          <w:sz w:val="20"/>
          <w:szCs w:val="20"/>
        </w:rPr>
        <w:t xml:space="preserve">The employee confirms in writing that no corporate data remains on personal devices</w:t>
      </w:r>
    </w:p>
    <w:p>
      <w:pPr>
        <w:pStyle w:val="ListParagraph"/>
        <w:numPr>
          <w:ilvl w:val="0"/>
          <w:numId w:val="2"/>
        </w:numPr>
        <w:spacing w:after="40" w:before="40"/>
      </w:pPr>
      <w:r>
        <w:rPr>
          <w:rFonts w:ascii="Arial" w:cs="Arial" w:eastAsia="Arial" w:hAnsi="Arial"/>
          <w:color w:val="1C1C1C"/>
          <w:sz w:val="20"/>
          <w:szCs w:val="20"/>
        </w:rPr>
        <w:t xml:space="preserve">The MDM profile is removed within 24 hours — personal data is unaffected by this process</w:t>
      </w:r>
    </w:p>
    <w:p>
      <w:pPr>
        <w:pStyle w:val="Heading1"/>
      </w:pPr>
      <w:r>
        <w:rPr>
          <w:rFonts w:ascii="Arial" w:cs="Arial" w:eastAsia="Arial" w:hAnsi="Arial"/>
          <w:b/>
          <w:bCs/>
          <w:color w:val="1A3A5C"/>
          <w:sz w:val="28"/>
          <w:szCs w:val="28"/>
        </w:rPr>
        <w:t xml:space="preserve">8. Company Liability</w:t>
      </w:r>
    </w:p>
    <w:p>
      <w:pPr>
        <w:spacing w:after="60" w:before="60"/>
      </w:pPr>
      <w:r>
        <w:rPr>
          <w:rFonts w:ascii="Arial" w:cs="Arial" w:eastAsia="Arial" w:hAnsi="Arial"/>
          <w:color w:val="1C1C1C"/>
          <w:sz w:val="20"/>
          <w:szCs w:val="20"/>
        </w:rPr>
        <w:t xml:space="preserve">SecureFinX is not responsible for personal data loss, device damage, or costs (mobile data, repairs) resulting from participation in the BYOD programme. Employees participate voluntarily and accept these terms by signing the BYOD Consent Form.</w:t>
      </w:r>
    </w:p>
    <w:p>
      <w:pPr>
        <w:pStyle w:val="Heading1"/>
      </w:pPr>
      <w:r>
        <w:rPr>
          <w:rFonts w:ascii="Arial" w:cs="Arial" w:eastAsia="Arial" w:hAnsi="Arial"/>
          <w:b/>
          <w:bCs/>
          <w:color w:val="1A3A5C"/>
          <w:sz w:val="28"/>
          <w:szCs w:val="28"/>
        </w:rPr>
        <w:t xml:space="preserve">9. Non-Compliance</w:t>
      </w:r>
    </w:p>
    <w:p>
      <w:pPr>
        <w:spacing w:after="60" w:before="60"/>
      </w:pPr>
      <w:r>
        <w:rPr>
          <w:rFonts w:ascii="Arial" w:cs="Arial" w:eastAsia="Arial" w:hAnsi="Arial"/>
          <w:color w:val="1C1C1C"/>
          <w:sz w:val="20"/>
          <w:szCs w:val="20"/>
        </w:rPr>
        <w:t xml:space="preserve">Failure to comply with this policy may result in immediate revocation of BYOD access and disciplinary action as outlined in the Acceptable Use Policy (SEC-POL-001). Serious violations involving data loss or breach may result in termination and legal action.</w:t>
      </w:r>
    </w:p>
    <w:p>
      <w:pPr>
        <w:pBdr>
          <w:bottom w:val="single" w:color="1A3A5C" w:sz="6" w:space="1"/>
        </w:pBdr>
        <w:spacing w:after="80" w:before="160"/>
      </w:pPr>
    </w:p>
    <w:p>
      <w:pPr>
        <w:spacing w:after="60" w:before="60"/>
      </w:pPr>
      <w:r>
        <w:rPr>
          <w:rFonts w:ascii="Arial" w:cs="Arial" w:eastAsia="Arial" w:hAnsi="Arial"/>
          <w:i/>
          <w:iCs/>
          <w:color w:val="555555"/>
          <w:sz w:val="20"/>
          <w:szCs w:val="20"/>
        </w:rPr>
        <w:t xml:space="preserve">Document Owner: Chief Information Security Officer  |  SecureFinX Pvt. Ltd.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2026-05-09T10:08:29.611Z</dcterms:created>
  <dcterms:modified xsi:type="dcterms:W3CDTF">2026-05-09T10:08:29.611Z</dcterms:modified>
</cp:coreProperties>
</file>

<file path=docProps/custom.xml><?xml version="1.0" encoding="utf-8"?>
<Properties xmlns="http://schemas.openxmlformats.org/officeDocument/2006/custom-properties" xmlns:vt="http://schemas.openxmlformats.org/officeDocument/2006/docPropsVTypes"/>
</file>