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91" w:rsidRDefault="00E268E1" w:rsidP="00AA76D4">
      <w:pPr>
        <w:pStyle w:val="Jmeno"/>
        <w:jc w:val="left"/>
        <w:rPr>
          <w:rStyle w:val="markedcontent"/>
          <w:rFonts w:ascii="Arial" w:hAnsi="Arial" w:cs="Arial"/>
          <w:sz w:val="50"/>
          <w:szCs w:val="50"/>
        </w:rPr>
      </w:pPr>
      <w:r>
        <w:rPr>
          <w:rStyle w:val="markedcontent"/>
          <w:rFonts w:ascii="Arial" w:hAnsi="Arial" w:cs="Arial"/>
          <w:sz w:val="50"/>
          <w:szCs w:val="50"/>
        </w:rPr>
        <w:t>&lt;h1&gt;</w:t>
      </w:r>
      <w:r w:rsidR="00046F91">
        <w:rPr>
          <w:rStyle w:val="markedcontent"/>
          <w:rFonts w:ascii="Arial" w:hAnsi="Arial" w:cs="Arial"/>
          <w:sz w:val="50"/>
          <w:szCs w:val="50"/>
        </w:rPr>
        <w:t>HODNOCENÍ RIZIKA</w:t>
      </w:r>
      <w:r w:rsidR="003658C1">
        <w:t xml:space="preserve"> </w:t>
      </w:r>
      <w:r w:rsidR="00046F91">
        <w:rPr>
          <w:rStyle w:val="markedcontent"/>
          <w:rFonts w:ascii="Arial" w:hAnsi="Arial" w:cs="Arial"/>
          <w:sz w:val="50"/>
          <w:szCs w:val="50"/>
        </w:rPr>
        <w:t>PÁDU POMOCÍ SARC-</w:t>
      </w:r>
      <w:r w:rsidR="003F1DCB">
        <w:rPr>
          <w:rStyle w:val="markedcontent"/>
          <w:rFonts w:ascii="Arial" w:hAnsi="Arial" w:cs="Arial"/>
          <w:sz w:val="50"/>
          <w:szCs w:val="50"/>
        </w:rPr>
        <w:t xml:space="preserve">F </w:t>
      </w:r>
      <w:r w:rsidR="00046F91">
        <w:rPr>
          <w:rStyle w:val="markedcontent"/>
          <w:rFonts w:ascii="Arial" w:hAnsi="Arial" w:cs="Arial"/>
          <w:sz w:val="50"/>
          <w:szCs w:val="50"/>
        </w:rPr>
        <w:t>U PACIENTŮ 60 +</w:t>
      </w:r>
      <w:r w:rsidR="0045302E">
        <w:rPr>
          <w:rStyle w:val="markedcontent"/>
          <w:rFonts w:ascii="Arial" w:hAnsi="Arial" w:cs="Arial"/>
          <w:sz w:val="50"/>
          <w:szCs w:val="50"/>
        </w:rPr>
        <w:t>&lt;/h1&gt;</w:t>
      </w:r>
    </w:p>
    <w:p w:rsidR="00046F91" w:rsidRDefault="003019E7" w:rsidP="00AA76D4">
      <w:pPr>
        <w:pStyle w:val="Pracovit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&lt;</w:t>
      </w:r>
      <w:r w:rsidR="0052516B">
        <w:rPr>
          <w:rStyle w:val="markedcontent"/>
          <w:rFonts w:ascii="Arial" w:hAnsi="Arial" w:cs="Arial"/>
          <w:sz w:val="35"/>
          <w:szCs w:val="35"/>
        </w:rPr>
        <w:t>div</w:t>
      </w:r>
      <w:r w:rsidR="00A54FF3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4F7442">
        <w:rPr>
          <w:rStyle w:val="markedcontent"/>
          <w:rFonts w:ascii="Arial" w:hAnsi="Arial" w:cs="Arial"/>
          <w:sz w:val="35"/>
          <w:szCs w:val="35"/>
        </w:rPr>
        <w:t>id</w:t>
      </w:r>
      <w:r w:rsidR="00A54FF3">
        <w:rPr>
          <w:rStyle w:val="markedcontent"/>
          <w:rFonts w:ascii="Arial" w:hAnsi="Arial" w:cs="Arial"/>
          <w:sz w:val="35"/>
          <w:szCs w:val="35"/>
        </w:rPr>
        <w:t>=</w:t>
      </w:r>
      <w:proofErr w:type="spellStart"/>
      <w:r w:rsidR="00052DF0">
        <w:rPr>
          <w:rStyle w:val="markedcontent"/>
          <w:rFonts w:ascii="Arial" w:hAnsi="Arial" w:cs="Arial"/>
          <w:sz w:val="35"/>
          <w:szCs w:val="35"/>
        </w:rPr>
        <w:t>autor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&gt;</w:t>
      </w:r>
      <w:r w:rsidR="00046F91">
        <w:rPr>
          <w:rStyle w:val="markedcontent"/>
          <w:rFonts w:ascii="Arial" w:hAnsi="Arial" w:cs="Arial"/>
          <w:sz w:val="35"/>
          <w:szCs w:val="35"/>
        </w:rPr>
        <w:t>JITKA DOLEŽALOVÁ</w:t>
      </w:r>
      <w:r w:rsidR="00046F91">
        <w:br/>
      </w:r>
      <w:r w:rsidR="00046F91">
        <w:rPr>
          <w:rStyle w:val="markedcontent"/>
          <w:rFonts w:ascii="Arial" w:hAnsi="Arial" w:cs="Arial"/>
          <w:sz w:val="35"/>
          <w:szCs w:val="35"/>
        </w:rPr>
        <w:t>JAN NEUGEBAUER</w:t>
      </w:r>
      <w:r w:rsidR="00046F91">
        <w:br/>
      </w:r>
      <w:r w:rsidR="00046F91">
        <w:rPr>
          <w:rStyle w:val="markedcontent"/>
          <w:rFonts w:ascii="Arial" w:hAnsi="Arial" w:cs="Arial"/>
          <w:sz w:val="35"/>
          <w:szCs w:val="35"/>
        </w:rPr>
        <w:t>VALÉRIE TÓTHOVÁ</w:t>
      </w:r>
    </w:p>
    <w:p w:rsidR="00AA1EE8" w:rsidRPr="00AA76D4" w:rsidRDefault="00B60B63" w:rsidP="00AA76D4">
      <w:pPr>
        <w:pStyle w:val="Pracovit"/>
      </w:pPr>
      <w:r>
        <w:rPr>
          <w:rStyle w:val="markedcontent"/>
          <w:rFonts w:ascii="Arial" w:hAnsi="Arial" w:cs="Arial"/>
          <w:sz w:val="32"/>
          <w:szCs w:val="32"/>
        </w:rPr>
        <w:t>JIHOČESKÁ UNIVERZITA</w:t>
      </w:r>
      <w:r>
        <w:br/>
      </w:r>
      <w:r>
        <w:rPr>
          <w:rStyle w:val="markedcontent"/>
          <w:rFonts w:ascii="Arial" w:hAnsi="Arial" w:cs="Arial"/>
          <w:sz w:val="32"/>
          <w:szCs w:val="32"/>
        </w:rPr>
        <w:t>V ČESKÝCH BUDĚJOVICÍCH</w:t>
      </w:r>
      <w:r w:rsidR="009A5EBD">
        <w:rPr>
          <w:rStyle w:val="markedcontent"/>
          <w:rFonts w:ascii="Arial" w:hAnsi="Arial" w:cs="Arial"/>
          <w:sz w:val="32"/>
          <w:szCs w:val="32"/>
        </w:rPr>
        <w:t>&lt;/</w:t>
      </w:r>
      <w:r w:rsidR="0052516B">
        <w:rPr>
          <w:rStyle w:val="markedcontent"/>
          <w:rFonts w:ascii="Arial" w:hAnsi="Arial" w:cs="Arial"/>
          <w:sz w:val="32"/>
          <w:szCs w:val="32"/>
        </w:rPr>
        <w:t>div</w:t>
      </w:r>
      <w:r w:rsidR="009A5EBD">
        <w:rPr>
          <w:rStyle w:val="markedcontent"/>
          <w:rFonts w:ascii="Arial" w:hAnsi="Arial" w:cs="Arial"/>
          <w:sz w:val="32"/>
          <w:szCs w:val="32"/>
        </w:rPr>
        <w:t>&gt;</w:t>
      </w:r>
    </w:p>
    <w:p w:rsidR="00AB47A6" w:rsidRPr="00E56C4E" w:rsidRDefault="00AB47A6" w:rsidP="009E66FF">
      <w:pPr>
        <w:pStyle w:val="BodyText"/>
      </w:pPr>
    </w:p>
    <w:p w:rsidR="009848A2" w:rsidRDefault="00592296" w:rsidP="007C5F92">
      <w:pPr>
        <w:pStyle w:val="Body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&lt;div id=</w:t>
      </w:r>
      <w:proofErr w:type="spellStart"/>
      <w:r>
        <w:rPr>
          <w:b/>
          <w:bCs/>
          <w:i/>
          <w:iCs/>
          <w:sz w:val="24"/>
        </w:rPr>
        <w:t>obsah</w:t>
      </w:r>
      <w:proofErr w:type="spellEnd"/>
      <w:r>
        <w:rPr>
          <w:b/>
          <w:bCs/>
          <w:i/>
          <w:iCs/>
          <w:sz w:val="24"/>
        </w:rPr>
        <w:t>&gt;</w:t>
      </w:r>
      <w:r w:rsidR="00A64DF1">
        <w:rPr>
          <w:b/>
          <w:bCs/>
          <w:i/>
          <w:iCs/>
          <w:sz w:val="24"/>
        </w:rPr>
        <w:t>&lt;h2&gt;</w:t>
      </w:r>
      <w:proofErr w:type="spellStart"/>
      <w:r w:rsidR="00AA1EE8" w:rsidRPr="00EB18D7">
        <w:rPr>
          <w:b/>
          <w:bCs/>
          <w:i/>
          <w:iCs/>
          <w:sz w:val="24"/>
        </w:rPr>
        <w:t>Abstrakt</w:t>
      </w:r>
      <w:proofErr w:type="spellEnd"/>
      <w:r w:rsidR="00A64DF1">
        <w:rPr>
          <w:b/>
          <w:bCs/>
          <w:i/>
          <w:iCs/>
          <w:sz w:val="24"/>
        </w:rPr>
        <w:t>&lt;/h2&gt;</w:t>
      </w:r>
    </w:p>
    <w:p w:rsidR="00B76B2D" w:rsidRPr="007C5F92" w:rsidRDefault="00B76B2D" w:rsidP="00DC2147">
      <w:pPr>
        <w:pStyle w:val="BodyText"/>
        <w:spacing w:before="240"/>
        <w:jc w:val="left"/>
        <w:rPr>
          <w:rStyle w:val="markedcontent"/>
          <w:b/>
          <w:bCs/>
          <w:i/>
          <w:iCs/>
          <w:sz w:val="24"/>
        </w:rPr>
      </w:pPr>
      <w:proofErr w:type="spellStart"/>
      <w:r>
        <w:rPr>
          <w:rStyle w:val="markedcontent"/>
          <w:rFonts w:ascii="Arial" w:hAnsi="Arial" w:cs="Arial"/>
          <w:sz w:val="29"/>
          <w:szCs w:val="29"/>
        </w:rPr>
        <w:t>Pacienti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 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jsou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podle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klasifikačních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systémů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používaných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ošetřovatelství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jako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rizikoví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oblasti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prevence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pádů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Mezi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evidované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patří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rovnováhy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užívání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než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čtyř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léčivých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přípravků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poruchy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kognitivních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funkcí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používání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kompenzačních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pomůcek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Vhodným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nástrojem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pro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základních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je SARC-F,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který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</w:t>
      </w:r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zaměřuje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důležité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domény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Naše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studie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má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charakter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průřezového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kvantitativního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výzkumu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použití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techniky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nestandardizovaného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standardizovaného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dotazníku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Výzkumný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soubor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obsahoval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500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pacientů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 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vybíraných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podle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předem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stanovených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kritérií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Celá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studie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včetně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úvodní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pilotáže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byla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zpracovávána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programech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SASD a SPSS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statisticky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vyhodnocena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SARC-F je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vhodně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nastavený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nástroj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pro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efektivní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faktorů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podílející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na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riziku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pádu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. Pro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pacienty</w:t>
      </w:r>
      <w:proofErr w:type="spellEnd"/>
      <w:r w:rsidR="00DC2147"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věkové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skupině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60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let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je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nejvíce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náročné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vystoupání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deseti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schodů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či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jednoho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patra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zátěží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oblasti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hodnocení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chůze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přes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místnost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29"/>
          <w:szCs w:val="29"/>
        </w:rPr>
        <w:t xml:space="preserve">a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postavení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židle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nebývají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přítomné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obtíže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nebo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pouze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menší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Style w:val="markedcontent"/>
          <w:rFonts w:ascii="Arial" w:hAnsi="Arial" w:cs="Arial"/>
          <w:sz w:val="29"/>
          <w:szCs w:val="29"/>
        </w:rPr>
        <w:t>míře</w:t>
      </w:r>
      <w:proofErr w:type="spellEnd"/>
      <w:r>
        <w:rPr>
          <w:rStyle w:val="markedcontent"/>
          <w:rFonts w:ascii="Arial" w:hAnsi="Arial" w:cs="Arial"/>
          <w:sz w:val="29"/>
          <w:szCs w:val="29"/>
        </w:rPr>
        <w:t>.</w:t>
      </w:r>
    </w:p>
    <w:p w:rsidR="007C5F92" w:rsidRDefault="002237A3" w:rsidP="00DC2147">
      <w:pPr>
        <w:pStyle w:val="BodyText"/>
        <w:spacing w:before="240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&lt;h2&gt;</w:t>
      </w:r>
      <w:proofErr w:type="spellStart"/>
      <w:r w:rsidR="00AA1EE8" w:rsidRPr="009E66FF">
        <w:rPr>
          <w:b/>
          <w:bCs/>
          <w:i/>
          <w:iCs/>
          <w:sz w:val="24"/>
          <w:szCs w:val="24"/>
        </w:rPr>
        <w:t>Klíčová</w:t>
      </w:r>
      <w:proofErr w:type="spellEnd"/>
      <w:r w:rsidR="00AA1EE8" w:rsidRPr="009E66F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A1EE8" w:rsidRPr="009E66FF">
        <w:rPr>
          <w:b/>
          <w:bCs/>
          <w:i/>
          <w:iCs/>
          <w:sz w:val="24"/>
          <w:szCs w:val="24"/>
        </w:rPr>
        <w:t>slova</w:t>
      </w:r>
      <w:proofErr w:type="spellEnd"/>
      <w:r>
        <w:rPr>
          <w:b/>
          <w:bCs/>
          <w:i/>
          <w:iCs/>
          <w:sz w:val="24"/>
          <w:szCs w:val="24"/>
        </w:rPr>
        <w:t>&lt;/h2&gt;</w:t>
      </w:r>
    </w:p>
    <w:p w:rsidR="00AA1EE8" w:rsidRPr="007C5F92" w:rsidRDefault="00B76B2D" w:rsidP="00DC2147">
      <w:pPr>
        <w:pStyle w:val="BodyText"/>
        <w:spacing w:before="240"/>
        <w:jc w:val="left"/>
        <w:rPr>
          <w:b/>
          <w:bCs/>
          <w:i/>
          <w:iCs/>
          <w:sz w:val="24"/>
          <w:szCs w:val="24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pacienti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starší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60 let,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SARC-F,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nemocniční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zařízení</w:t>
      </w:r>
      <w:proofErr w:type="spellEnd"/>
    </w:p>
    <w:p w:rsidR="002237A3" w:rsidRDefault="0009029B" w:rsidP="001E4A2B">
      <w:pPr>
        <w:pStyle w:val="Heading1"/>
      </w:pPr>
      <w:r>
        <w:lastRenderedPageBreak/>
        <w:br/>
      </w:r>
      <w:r w:rsidR="00244E56">
        <w:rPr>
          <w:b w:val="0"/>
          <w:bCs w:val="0"/>
          <w:i/>
          <w:iCs w:val="0"/>
          <w:sz w:val="24"/>
          <w:szCs w:val="24"/>
        </w:rPr>
        <w:t>&lt;h2&gt;</w:t>
      </w:r>
      <w:r>
        <w:rPr>
          <w:rStyle w:val="markedcontent"/>
          <w:rFonts w:ascii="Arial" w:hAnsi="Arial" w:cs="Arial"/>
          <w:sz w:val="32"/>
          <w:szCs w:val="32"/>
        </w:rPr>
        <w:t>ÚVOD</w:t>
      </w:r>
      <w:r w:rsidR="00244E56">
        <w:rPr>
          <w:b w:val="0"/>
          <w:bCs w:val="0"/>
          <w:i/>
          <w:iCs w:val="0"/>
          <w:sz w:val="24"/>
          <w:szCs w:val="24"/>
        </w:rPr>
        <w:t>&lt;/h2&gt;</w:t>
      </w:r>
    </w:p>
    <w:p w:rsidR="006F4D42" w:rsidRDefault="00244E56" w:rsidP="001E4A2B">
      <w:pPr>
        <w:pStyle w:val="Heading1"/>
        <w:rPr>
          <w:rStyle w:val="markedcontent"/>
          <w:rFonts w:ascii="Arial" w:hAnsi="Arial" w:cs="Arial"/>
          <w:sz w:val="30"/>
          <w:szCs w:val="30"/>
        </w:rPr>
      </w:pPr>
      <w:r>
        <w:rPr>
          <w:b w:val="0"/>
          <w:bCs w:val="0"/>
          <w:i/>
          <w:iCs w:val="0"/>
          <w:sz w:val="24"/>
          <w:szCs w:val="24"/>
        </w:rPr>
        <w:t>&lt;h2&gt;</w:t>
      </w:r>
      <w:r w:rsidR="0009029B">
        <w:rPr>
          <w:rStyle w:val="markedcontent"/>
          <w:rFonts w:ascii="Arial" w:hAnsi="Arial" w:cs="Arial"/>
          <w:sz w:val="30"/>
          <w:szCs w:val="30"/>
        </w:rPr>
        <w:t>HODNOCENÍ RIZIKA PÁDU</w:t>
      </w:r>
      <w:r>
        <w:rPr>
          <w:b w:val="0"/>
          <w:bCs w:val="0"/>
          <w:i/>
          <w:iCs w:val="0"/>
          <w:sz w:val="24"/>
          <w:szCs w:val="24"/>
        </w:rPr>
        <w:t>&lt;/h2&gt;</w:t>
      </w:r>
      <w:r w:rsidR="0009029B">
        <w:br/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Vošetřovatelské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klinické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praxi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aktuálně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hodnotí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vzniku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jako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standardní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postup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příjmu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pacientů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a u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rizikové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skupiny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tento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proces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opakuje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několikrát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měsíčně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/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týdně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2019;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 xml:space="preserve">Bloomfield et al., 2020).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Prakticky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vždy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by se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mělo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provádět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jakékoliv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změně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vědomí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kognitivních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funkcí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nutrice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mobility</w:t>
      </w:r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aktivity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zlepšení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zhoršení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celkového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zdravotního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stavu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>(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 2019).</w:t>
      </w:r>
      <w:r w:rsidR="00DC2147"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 xml:space="preserve">Incidence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nemocničních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zařízeních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posledních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letech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klesá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z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důvodu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zvýšené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edukace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zdravotnického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personálu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této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oblasti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zainteresování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hodnotících</w:t>
      </w:r>
      <w:proofErr w:type="spellEnd"/>
      <w:r w:rsidR="00DC2147"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do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ošetřovatelské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praxe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09029B">
        <w:rPr>
          <w:rStyle w:val="markedcontent"/>
          <w:rFonts w:ascii="Arial" w:hAnsi="Arial" w:cs="Arial"/>
          <w:sz w:val="30"/>
          <w:szCs w:val="30"/>
        </w:rPr>
        <w:t>Malmstrom</w:t>
      </w:r>
      <w:proofErr w:type="spellEnd"/>
      <w:r w:rsidR="0009029B">
        <w:rPr>
          <w:rStyle w:val="markedcontent"/>
          <w:rFonts w:ascii="Arial" w:hAnsi="Arial" w:cs="Arial"/>
          <w:sz w:val="30"/>
          <w:szCs w:val="30"/>
        </w:rPr>
        <w:t xml:space="preserve"> et al.,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09029B">
        <w:rPr>
          <w:rStyle w:val="markedcontent"/>
          <w:rFonts w:ascii="Arial" w:hAnsi="Arial" w:cs="Arial"/>
          <w:sz w:val="30"/>
          <w:szCs w:val="30"/>
        </w:rPr>
        <w:t>2016).</w:t>
      </w:r>
    </w:p>
    <w:p w:rsidR="006F4D42" w:rsidRDefault="006F4D42" w:rsidP="001E4A2B">
      <w:pPr>
        <w:pStyle w:val="Heading1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Aktuálně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republice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používají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Morse Fall Scale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(MFS), Conley Scale (CS), Tinetti test (TT)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interně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zaměřené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potřeby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jednotlivých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zdravotních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zařízeních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konkrétních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odděleních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tyto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nestandardizované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Neugebauer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et al., 2021).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těchto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zpravidla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vždy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přímo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podílejí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zvyšování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Mezi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nejčastější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patří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snížené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vědomí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porucha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kognitivních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funkcí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porucha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mobility,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kompenzačních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pomůcek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užívání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některých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typů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léčivých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přípravků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(Bloomfield et al.,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2020;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Neugebauer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2019;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Doležalová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2019).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souvislosti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také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klade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důraz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záznam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předchozích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standardizovaných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používaných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zahraniční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klinické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praxi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evidovány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fyzické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psychické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zdraví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ostatní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Aktuálně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velice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oblíbený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MFS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především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sekundární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diagnózu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kompenzační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pomůcky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heparinové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zátky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psychický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stav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Oproti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tomu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Conley scale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obsahuje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více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položek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systematicky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utříděné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do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tří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domén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vyšetření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dotazování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Oblast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DDD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demence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dezorientace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deprese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),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anamnéze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pobyt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prvních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24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hodin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zrakový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sluchový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problém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užívání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léků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Guzzo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et al., 2015). Oblast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vyšetření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mapuje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soběstačnost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schopnost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spolupráce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přímým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dotazem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hodnotíme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přítomnost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závratí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noční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nucení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močení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Pro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české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prostředí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byl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tento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přeložen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roce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2006,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avšak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jeho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je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vzhledem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k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oblastí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stále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aktuální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Posledním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využívaným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hodnotícím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je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Tinetti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test,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který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skládá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dvou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testů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rovnováha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Neugebauer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et al., 2021).</w:t>
      </w:r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Testy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bodovány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od 0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do 2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přičemž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zvyšujícím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počtem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bodů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klesá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riziko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pádu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Samotný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test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zaměřuje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vstávání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stoji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,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zavřenými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oči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při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otočení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Test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hodnotí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samotný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proces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zaměřením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zahájení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délku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výšku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symetrii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plynulost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trajektorii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</w:t>
      </w:r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šířku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kroku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Testy se</w:t>
      </w:r>
      <w:r w:rsidR="00DC2147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vyhodnocují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každý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samostatně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rovnováha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max. 16 b,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max. 12 b)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DC2147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dohromady</w:t>
      </w:r>
      <w:proofErr w:type="spellEnd"/>
      <w:r w:rsidR="00DC2147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(max. 28 b)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Kegelmeyer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et al., 2007; Curcio et al., 2016).</w:t>
      </w:r>
    </w:p>
    <w:p w:rsidR="00AA1EE8" w:rsidRPr="00E56C4E" w:rsidRDefault="00501B17" w:rsidP="00BE3DD4">
      <w:pPr>
        <w:pStyle w:val="Heading1"/>
      </w:pPr>
      <w:r>
        <w:rPr>
          <w:b w:val="0"/>
          <w:bCs w:val="0"/>
          <w:i/>
          <w:iCs w:val="0"/>
          <w:sz w:val="24"/>
          <w:szCs w:val="24"/>
        </w:rPr>
        <w:lastRenderedPageBreak/>
        <w:t>&lt;h2&gt;</w:t>
      </w:r>
      <w:r w:rsidR="006F4D42">
        <w:rPr>
          <w:rStyle w:val="markedcontent"/>
          <w:rFonts w:ascii="Arial" w:hAnsi="Arial" w:cs="Arial"/>
          <w:sz w:val="30"/>
          <w:szCs w:val="30"/>
        </w:rPr>
        <w:t>RIZIKOVÁ POPULACE</w:t>
      </w:r>
      <w:r>
        <w:rPr>
          <w:b w:val="0"/>
          <w:bCs w:val="0"/>
          <w:i/>
          <w:iCs w:val="0"/>
          <w:sz w:val="24"/>
          <w:szCs w:val="24"/>
        </w:rPr>
        <w:t>&lt;/h2&gt;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Podle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Světové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zdravotnické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organizace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jednou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z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nejčastějších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příčin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poranění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mohou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končit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fatálně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Ačkoliv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incidence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globálně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snižuje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každý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zemře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přes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684 000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tedy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zdravotnických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zařízení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podílející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riziku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eliminovány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(WHO, 2021).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Nejrizikovější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skupinou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starší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60 let, u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bývají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spojeny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rozsáhlými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zlomeninami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vykloubením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krevními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ztrátami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nutnostmi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operací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mnoha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případech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smrtí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(Morley, 2012;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2019).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Věk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je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tedy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jedním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základních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neboť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např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Spojených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státech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amerických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(USA) je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každoročně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zaznamenáváno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20–30 %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pádů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osob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starších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60 let,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vede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k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úrazům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jako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zlomeniny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traumata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hlavy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 2021).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skupinou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děti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které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jsou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spontánní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určitých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vývojových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obdobích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velice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zvědavé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mnoha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případech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bývají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děti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hospitalizováni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úrazy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hlavy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komocemi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kontuzemi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Schellenberg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et al., 2019).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Mezi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faktory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patří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např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práce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výškách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požívání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alkoholu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sociodemografické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podmínky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případě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rozvojových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zemí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místo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bydliště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rizikové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lokalitě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mateřství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mladém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věku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špatně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nastavená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medikace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přidružená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onemocnění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neurologické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deficity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kardiologické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obtíže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další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znevýhodňující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stavy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fyzická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neaktivita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poruchy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špatný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zrak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sluch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kognitivní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funkce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nevhodné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či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nebezpečně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zařízené</w:t>
      </w:r>
      <w:proofErr w:type="spellEnd"/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prostředí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zejména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u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lidí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poruchou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chůze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rovnováhy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zraku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) a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pobyt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institucích</w:t>
      </w:r>
      <w:proofErr w:type="spellEnd"/>
      <w:r w:rsidR="00A872A5">
        <w:t xml:space="preserve"> </w:t>
      </w:r>
      <w:r w:rsidR="006F4D42">
        <w:rPr>
          <w:rStyle w:val="markedcontent"/>
          <w:rFonts w:ascii="Arial" w:hAnsi="Arial" w:cs="Arial"/>
          <w:sz w:val="30"/>
          <w:szCs w:val="30"/>
        </w:rPr>
        <w:t xml:space="preserve">s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nízkým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počtem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personálu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zajišťující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přímou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obslužnou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péči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 xml:space="preserve"> (WHO, 2021;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LeLaurin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</w:t>
      </w:r>
      <w:r w:rsidR="00A872A5">
        <w:t xml:space="preserve"> </w:t>
      </w:r>
      <w:proofErr w:type="spellStart"/>
      <w:r w:rsidR="006F4D42">
        <w:rPr>
          <w:rStyle w:val="markedcontent"/>
          <w:rFonts w:ascii="Arial" w:hAnsi="Arial" w:cs="Arial"/>
          <w:sz w:val="30"/>
          <w:szCs w:val="30"/>
        </w:rPr>
        <w:t>Shorr</w:t>
      </w:r>
      <w:proofErr w:type="spellEnd"/>
      <w:r w:rsidR="006F4D42">
        <w:rPr>
          <w:rStyle w:val="markedcontent"/>
          <w:rFonts w:ascii="Arial" w:hAnsi="Arial" w:cs="Arial"/>
          <w:sz w:val="30"/>
          <w:szCs w:val="30"/>
        </w:rPr>
        <w:t>, 2019).</w:t>
      </w:r>
    </w:p>
    <w:p w:rsidR="00A165F1" w:rsidRPr="00E56C4E" w:rsidRDefault="00600794" w:rsidP="001E4A2B">
      <w:pPr>
        <w:pStyle w:val="Heading1"/>
        <w:spacing w:before="480"/>
      </w:pPr>
      <w:r>
        <w:rPr>
          <w:b w:val="0"/>
          <w:bCs w:val="0"/>
          <w:i/>
          <w:iCs w:val="0"/>
          <w:sz w:val="24"/>
          <w:szCs w:val="24"/>
        </w:rPr>
        <w:lastRenderedPageBreak/>
        <w:t>&lt;h2&gt;</w:t>
      </w:r>
      <w:proofErr w:type="spellStart"/>
      <w:r w:rsidR="00DF7765">
        <w:t>Použité</w:t>
      </w:r>
      <w:proofErr w:type="spellEnd"/>
      <w:r w:rsidR="00DF7765">
        <w:t xml:space="preserve"> </w:t>
      </w:r>
      <w:proofErr w:type="spellStart"/>
      <w:r w:rsidR="00DF7765">
        <w:t>zdroje</w:t>
      </w:r>
      <w:proofErr w:type="spellEnd"/>
      <w:r>
        <w:rPr>
          <w:b w:val="0"/>
          <w:bCs w:val="0"/>
          <w:i/>
          <w:iCs w:val="0"/>
          <w:sz w:val="24"/>
          <w:szCs w:val="24"/>
        </w:rPr>
        <w:t>&lt;/h2&gt;</w:t>
      </w:r>
    </w:p>
    <w:p w:rsidR="00CF3876" w:rsidRDefault="000C47E7" w:rsidP="001E4A2B">
      <w:pPr>
        <w:pStyle w:val="Heading1"/>
        <w:spacing w:before="60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lastRenderedPageBreak/>
        <w:t>[1] BLOOMFIELD, K., LAU, M., CONNOLLY, M. J. 2020. Fall risk factor assessment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and secondary prevention in the older old. N Z Med J. 133 (1519): 24–31.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ISSN 0301-6331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[2] BYUN, M., KIM, J., KIM M. 2020. Physical and Psychological Factors Affecting Falls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Older Patients with Arthritis. Int J Environ Res Public Health. 17 (3): 1098.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Doi: 10.3390/ijerph17031098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[3] CURCIO, F. et al. 2016. Tinetti mobility test is related to muscle mass and strength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non-institutionalized elderly people. Age. 38 (5-6): 525 – 533. Doi: 10.1007/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s11357-016-9935-9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[4] DOLEŽALOVÁ, J., TÓTHOVÁ, V. 2019.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Vybrané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pro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hodnocení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geriatrické</w:t>
      </w:r>
      <w:proofErr w:type="spellEnd"/>
      <w:r w:rsidR="00A872A5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křehkosti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Gerontologie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8 (3): 125 – 129. ISSN 1803-6597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[5] GUZZO, A. S. et al. 2015. Conley Scale: assessment of a fall risk prevention tool in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 General Hospital. J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Prev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Med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Hyg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56 (2): 77-87. ISSN 1121-2233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[6] KEGELMEYER, D. A. et al. 2007. Reliability and validity of the Tinetti Mobility Test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for individuals with Parkinson disease. Physical Therapy. 87 (10): 1369 – 1378.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ISSN 0031-9023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[7] KRZYMIŃSKA-SIEMASZKO, R. et al. 2020. Polish</w:t>
      </w:r>
      <w:r w:rsidR="00A872A5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version of SARC-F to assess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sarcopenia in older adults: An examination of reliability and validity.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Plos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One.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15 (12): 0233011. Doi: 10.1371/journal.pone.0233001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[8] LELAURIN, J. H., SHORR, R. I. 2019. Preventing Falls in Hospitalized Patients: State of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the Science. Clin.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Geriatr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Med. 35 (2): 273–283. Doi:</w:t>
      </w:r>
      <w:r w:rsidR="00A872A5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10.1016/j.cger.2019.01.007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[9] MALMSTROM, T. K., et al. 2016. SARC-F: a </w:t>
      </w:r>
      <w:r>
        <w:rPr>
          <w:rStyle w:val="markedcontent"/>
          <w:rFonts w:ascii="Arial" w:hAnsi="Arial" w:cs="Arial"/>
          <w:sz w:val="30"/>
          <w:szCs w:val="30"/>
        </w:rPr>
        <w:lastRenderedPageBreak/>
        <w:t>symptom score to predict persons with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sarcopenia at risk for poor functional outcomes. J Cachexia Sarcopenia Muscle.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7 (1): 28-36. Doi: 10.1002/jcsm.12048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[10] MALMSTROM, T. K., MORLEY, JE. 2013. SARC-F: a simple questionnaire to rapidly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diagnose sarcopenia. J Am Med Dir Assoc. 14 (8): 531-532.</w:t>
      </w:r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Doi: 10.1016/j.jamda.2013.05.018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[11] MORLEY, J. E. 2012. Sarcopenia in the elderly. Fam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Pract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29 (1): 44–48.</w:t>
      </w:r>
      <w:r w:rsidR="00A872A5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Doi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 10.1093/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fampra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/cmr063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[12] NEUGEBAUER, J., TÓTHOVÁ, V. 2019.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Tělesné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znevýhodnění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ošetřovatelské</w:t>
      </w:r>
      <w:proofErr w:type="spellEnd"/>
      <w:r w:rsidR="00A872A5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praxis –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využití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vybraných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nástrojů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k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monitoraci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potřeb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pacientů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s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tělesným</w:t>
      </w:r>
      <w:proofErr w:type="spellEnd"/>
      <w:r w:rsidR="00A872A5"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znevýhodněním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Kontakt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 21 (4): 344-351. Doi: 10.32725/kont.2019.032</w:t>
      </w:r>
    </w:p>
    <w:p w:rsidR="00F540D6" w:rsidRDefault="00A86756" w:rsidP="00F540D6">
      <w:pPr>
        <w:pStyle w:val="BodyText"/>
        <w:spacing w:before="240"/>
        <w:jc w:val="left"/>
        <w:rPr>
          <w:rStyle w:val="markedcontent"/>
          <w:rFonts w:ascii="Arial" w:hAnsi="Arial" w:cs="Arial"/>
          <w:sz w:val="50"/>
          <w:szCs w:val="50"/>
        </w:rPr>
      </w:pPr>
      <w:r>
        <w:rPr>
          <w:b/>
          <w:bCs/>
          <w:i/>
          <w:iCs/>
          <w:sz w:val="24"/>
          <w:szCs w:val="24"/>
        </w:rPr>
        <w:t>&lt;h1&gt;</w:t>
      </w:r>
      <w:r w:rsidR="00F540D6">
        <w:rPr>
          <w:rStyle w:val="markedcontent"/>
          <w:rFonts w:ascii="Arial" w:hAnsi="Arial" w:cs="Arial"/>
          <w:sz w:val="50"/>
          <w:szCs w:val="50"/>
        </w:rPr>
        <w:t>ASSESSMENT OF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THE RISK OF BY SARC-F TOOL IN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PATIENTS IN THE AGE</w:t>
      </w:r>
      <w:r w:rsidR="00E40D6B">
        <w:t xml:space="preserve"> </w:t>
      </w:r>
      <w:r w:rsidR="00F54642">
        <w:t xml:space="preserve"> </w:t>
      </w:r>
      <w:r w:rsidR="00F540D6">
        <w:rPr>
          <w:rStyle w:val="markedcontent"/>
          <w:rFonts w:ascii="Arial" w:hAnsi="Arial" w:cs="Arial"/>
          <w:sz w:val="50"/>
          <w:szCs w:val="50"/>
        </w:rPr>
        <w:t>60 +</w:t>
      </w:r>
      <w:r>
        <w:rPr>
          <w:b/>
          <w:bCs/>
          <w:i/>
          <w:iCs/>
          <w:sz w:val="24"/>
          <w:szCs w:val="24"/>
        </w:rPr>
        <w:t>&lt;/h1&gt;</w:t>
      </w:r>
    </w:p>
    <w:p w:rsidR="00124275" w:rsidRPr="00EB18D7" w:rsidRDefault="00A86756" w:rsidP="00EB18D7">
      <w:pPr>
        <w:pStyle w:val="Body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szCs w:val="24"/>
        </w:rPr>
        <w:t>&lt;h2&gt;</w:t>
      </w:r>
      <w:r w:rsidR="00124275" w:rsidRPr="00EB18D7">
        <w:rPr>
          <w:b/>
          <w:bCs/>
          <w:i/>
          <w:iCs/>
          <w:sz w:val="24"/>
        </w:rPr>
        <w:t>Abstract</w:t>
      </w:r>
      <w:r>
        <w:rPr>
          <w:b/>
          <w:bCs/>
          <w:i/>
          <w:iCs/>
          <w:sz w:val="24"/>
          <w:szCs w:val="24"/>
        </w:rPr>
        <w:t>&lt;/h2&gt;</w:t>
      </w:r>
    </w:p>
    <w:p w:rsidR="00914B5D" w:rsidRDefault="00914B5D" w:rsidP="00914B5D">
      <w:pPr>
        <w:pStyle w:val="BodyText"/>
        <w:spacing w:before="240"/>
        <w:jc w:val="left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Patients aged 60 years and older are assessed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as at risk in the field of fall prevention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according to the classification systems used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in nursing. Factors recorded include age, gait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disturbances, balance disorders, use of more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than four drugs, cognitive impairment, and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use of compensatory aids. A suitable tool for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the assessment of basic factors is SARC-F,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which focuses on important domains.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Our study has the character of cross-sectional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quantitative research using the technique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of non-standardized and standardized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questionnaire. The research group included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500 patients aged 60 years and </w:t>
      </w:r>
      <w:r>
        <w:rPr>
          <w:rStyle w:val="markedcontent"/>
          <w:rFonts w:ascii="Arial" w:hAnsi="Arial" w:cs="Arial"/>
          <w:sz w:val="30"/>
          <w:szCs w:val="30"/>
        </w:rPr>
        <w:lastRenderedPageBreak/>
        <w:t>older selected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according to predetermined criteria.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entire study, including the initial pilot, was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processed in the SASD and SPSS programs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and statistically evaluated.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SARC-F is a well-designed tool for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effective assessment of factors contributing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to the risk of falls. For patients in the age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group of 60 years and more, the most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challenging is climbing ten steps or one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floor and walking with a load. There are no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difficulties or only to a lesser extent in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area of evaluation of walking through the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room and standing from a chair.</w:t>
      </w:r>
      <w:r w:rsidR="00033AA6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From the results of our research, we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recommend implementing a short and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effective SARC-F tool in a standard fall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risk assessment for patients aged 60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years and older.</w:t>
      </w:r>
    </w:p>
    <w:p w:rsidR="00EB18D7" w:rsidRPr="00EB18D7" w:rsidRDefault="00FC408B" w:rsidP="00EB18D7">
      <w:pPr>
        <w:pStyle w:val="BodyText"/>
        <w:spacing w:before="240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  <w:szCs w:val="24"/>
        </w:rPr>
        <w:t>&lt;h2&gt;</w:t>
      </w:r>
      <w:r w:rsidR="00124275" w:rsidRPr="00EB18D7">
        <w:rPr>
          <w:b/>
          <w:bCs/>
          <w:i/>
          <w:iCs/>
          <w:sz w:val="24"/>
        </w:rPr>
        <w:t>Key words</w:t>
      </w:r>
      <w:r>
        <w:rPr>
          <w:b/>
          <w:bCs/>
          <w:i/>
          <w:iCs/>
          <w:sz w:val="24"/>
          <w:szCs w:val="24"/>
        </w:rPr>
        <w:t>&lt;/h2&gt;</w:t>
      </w:r>
      <w:r w:rsidR="001E158D" w:rsidRPr="00EB18D7">
        <w:rPr>
          <w:b/>
          <w:bCs/>
          <w:i/>
          <w:iCs/>
          <w:sz w:val="24"/>
        </w:rPr>
        <w:t xml:space="preserve"> </w:t>
      </w:r>
    </w:p>
    <w:p w:rsidR="00CC23A0" w:rsidRDefault="00701DC0" w:rsidP="00701DC0">
      <w:pPr>
        <w:pStyle w:val="BodyText"/>
        <w:jc w:val="left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Patinent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aged 60 years and older, risk of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fall, Assessment tools, hospital, home</w:t>
      </w:r>
      <w:r w:rsidR="00033AA6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care</w:t>
      </w:r>
    </w:p>
    <w:p w:rsidR="005F09DE" w:rsidRPr="00754B15" w:rsidRDefault="005F09DE" w:rsidP="00701DC0">
      <w:pPr>
        <w:pStyle w:val="BodyText"/>
        <w:jc w:val="left"/>
        <w:rPr>
          <w:i/>
          <w:iCs/>
          <w:color w:val="808080"/>
        </w:rPr>
      </w:pPr>
      <w:r>
        <w:rPr>
          <w:i/>
          <w:iCs/>
          <w:color w:val="808080"/>
        </w:rPr>
        <w:t>&lt;/div&gt;</w:t>
      </w:r>
    </w:p>
    <w:p w:rsidR="00AA1EE8" w:rsidRPr="00E56C4E" w:rsidRDefault="003133BF" w:rsidP="001E4A2B">
      <w:pPr>
        <w:pStyle w:val="Heading1"/>
      </w:pPr>
      <w:r>
        <w:rPr>
          <w:rStyle w:val="markedcontent"/>
          <w:rFonts w:ascii="Arial" w:hAnsi="Arial" w:cs="Arial"/>
          <w:sz w:val="35"/>
          <w:szCs w:val="35"/>
        </w:rPr>
        <w:t>&lt;div id=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kontakt</w:t>
      </w:r>
      <w:proofErr w:type="spellEnd"/>
      <w:r w:rsidR="000A4D64">
        <w:rPr>
          <w:rStyle w:val="markedcontent"/>
          <w:rFonts w:ascii="Arial" w:hAnsi="Arial" w:cs="Arial"/>
          <w:sz w:val="35"/>
          <w:szCs w:val="35"/>
        </w:rPr>
        <w:t>&gt;</w:t>
      </w:r>
      <w:r w:rsidR="00F436FC">
        <w:rPr>
          <w:b w:val="0"/>
          <w:bCs w:val="0"/>
          <w:i/>
          <w:iCs w:val="0"/>
          <w:sz w:val="24"/>
          <w:szCs w:val="24"/>
        </w:rPr>
        <w:t>&lt;h2&gt;</w:t>
      </w:r>
      <w:proofErr w:type="spellStart"/>
      <w:r w:rsidR="00AA1EE8" w:rsidRPr="00E56C4E">
        <w:t>K</w:t>
      </w:r>
      <w:r w:rsidR="002B2929">
        <w:t>ontaktní</w:t>
      </w:r>
      <w:proofErr w:type="spellEnd"/>
      <w:r w:rsidR="002B2929">
        <w:t xml:space="preserve"> </w:t>
      </w:r>
      <w:proofErr w:type="spellStart"/>
      <w:r w:rsidR="002B2929">
        <w:t>údaje</w:t>
      </w:r>
      <w:proofErr w:type="spellEnd"/>
      <w:r w:rsidR="00F436FC">
        <w:rPr>
          <w:b w:val="0"/>
          <w:bCs w:val="0"/>
          <w:i/>
          <w:iCs w:val="0"/>
          <w:sz w:val="24"/>
          <w:szCs w:val="24"/>
        </w:rPr>
        <w:t>&lt;/h2&gt;</w:t>
      </w:r>
    </w:p>
    <w:p w:rsidR="00EE3EA7" w:rsidRPr="00AE2DC4" w:rsidRDefault="00C46AB9" w:rsidP="00EE3EA7">
      <w:pPr>
        <w:pStyle w:val="BodyText"/>
        <w:spacing w:after="0"/>
        <w:jc w:val="left"/>
      </w:pPr>
      <w:r>
        <w:rPr>
          <w:rStyle w:val="markedcontent"/>
          <w:rFonts w:ascii="Arial" w:hAnsi="Arial" w:cs="Arial"/>
          <w:sz w:val="35"/>
          <w:szCs w:val="35"/>
        </w:rPr>
        <w:br/>
      </w:r>
      <w:proofErr w:type="gramStart"/>
      <w:r w:rsidR="00701DC0">
        <w:rPr>
          <w:rStyle w:val="markedcontent"/>
          <w:rFonts w:ascii="Arial" w:hAnsi="Arial" w:cs="Arial"/>
          <w:sz w:val="30"/>
          <w:szCs w:val="30"/>
        </w:rPr>
        <w:t xml:space="preserve">Mgr.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Jitka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Doležalová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AE2DC4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e-mail: </w:t>
      </w:r>
      <w:hyperlink r:id="rId8" w:history="1">
        <w:r w:rsidR="00AE2DC4" w:rsidRPr="000758E6">
          <w:rPr>
            <w:rStyle w:val="Hyperlink"/>
            <w:rFonts w:ascii="Arial" w:hAnsi="Arial" w:cs="Arial"/>
            <w:sz w:val="30"/>
            <w:szCs w:val="30"/>
          </w:rPr>
          <w:t>dolezj08@zsf.jcu.cz</w:t>
        </w:r>
      </w:hyperlink>
      <w:r w:rsidR="00881DE8">
        <w:br/>
      </w:r>
      <w:r w:rsidR="00881DE8">
        <w:br/>
      </w:r>
      <w:bookmarkStart w:id="0" w:name="_GoBack"/>
      <w:bookmarkEnd w:id="0"/>
      <w:r w:rsidR="00701DC0">
        <w:rPr>
          <w:rStyle w:val="markedcontent"/>
          <w:rFonts w:ascii="Arial" w:hAnsi="Arial" w:cs="Arial"/>
          <w:sz w:val="30"/>
          <w:szCs w:val="30"/>
        </w:rPr>
        <w:t xml:space="preserve">Mgr. Jan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Neugebauer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lastRenderedPageBreak/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e-mail: </w:t>
      </w:r>
      <w:hyperlink r:id="rId9" w:history="1">
        <w:r w:rsidR="00AE2DC4" w:rsidRPr="000758E6">
          <w:rPr>
            <w:rStyle w:val="Hyperlink"/>
            <w:rFonts w:ascii="Arial" w:hAnsi="Arial" w:cs="Arial"/>
            <w:sz w:val="30"/>
            <w:szCs w:val="30"/>
          </w:rPr>
          <w:t>Neugebauer@zsf.jcu.cz</w:t>
        </w:r>
      </w:hyperlink>
      <w:r w:rsidR="00881DE8">
        <w:br/>
      </w:r>
      <w:r w:rsidR="00881DE8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prof.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PhDr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.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Valérie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Tóthová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>, Ph.D.</w:t>
      </w:r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Jihočeská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univerzita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v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Českých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Budějovicích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Zdravotně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sociální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fakulta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Ústav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ošetřovatelství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,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porodní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asistence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a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neodkladné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péče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U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Výstaviště</w:t>
      </w:r>
      <w:proofErr w:type="spellEnd"/>
      <w:r w:rsidR="00701DC0">
        <w:rPr>
          <w:rStyle w:val="markedcontent"/>
          <w:rFonts w:ascii="Arial" w:hAnsi="Arial" w:cs="Arial"/>
          <w:sz w:val="30"/>
          <w:szCs w:val="30"/>
        </w:rPr>
        <w:t xml:space="preserve"> 26, 370 11 </w:t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České</w:t>
      </w:r>
      <w:proofErr w:type="spellEnd"/>
      <w:r w:rsidR="00701DC0">
        <w:br/>
      </w:r>
      <w:proofErr w:type="spellStart"/>
      <w:r w:rsidR="00701DC0">
        <w:rPr>
          <w:rStyle w:val="markedcontent"/>
          <w:rFonts w:ascii="Arial" w:hAnsi="Arial" w:cs="Arial"/>
          <w:sz w:val="30"/>
          <w:szCs w:val="30"/>
        </w:rPr>
        <w:t>Budějovice</w:t>
      </w:r>
      <w:proofErr w:type="spellEnd"/>
      <w:r w:rsidR="00701DC0">
        <w:br/>
      </w:r>
      <w:r w:rsidR="00701DC0">
        <w:rPr>
          <w:rStyle w:val="markedcontent"/>
          <w:rFonts w:ascii="Arial" w:hAnsi="Arial" w:cs="Arial"/>
          <w:sz w:val="30"/>
          <w:szCs w:val="30"/>
        </w:rPr>
        <w:t xml:space="preserve">e-mail: </w:t>
      </w:r>
      <w:hyperlink r:id="rId10" w:history="1">
        <w:r w:rsidRPr="00550160">
          <w:rPr>
            <w:rStyle w:val="Hyperlink"/>
            <w:rFonts w:ascii="Arial" w:hAnsi="Arial" w:cs="Arial"/>
            <w:sz w:val="30"/>
            <w:szCs w:val="30"/>
          </w:rPr>
          <w:t>Tothova@zsf.jcu.cz</w:t>
        </w:r>
      </w:hyperlink>
      <w:r>
        <w:rPr>
          <w:rStyle w:val="markedcontent"/>
          <w:rFonts w:ascii="Arial" w:hAnsi="Arial" w:cs="Arial"/>
          <w:sz w:val="30"/>
          <w:szCs w:val="30"/>
        </w:rPr>
        <w:br/>
        <w:t>&lt;/</w:t>
      </w:r>
      <w:r w:rsidR="000A7FC9">
        <w:rPr>
          <w:rStyle w:val="markedcontent"/>
          <w:rFonts w:ascii="Arial" w:hAnsi="Arial" w:cs="Arial"/>
          <w:sz w:val="30"/>
          <w:szCs w:val="30"/>
        </w:rPr>
        <w:t>div</w:t>
      </w:r>
      <w:r>
        <w:rPr>
          <w:rStyle w:val="markedcontent"/>
          <w:rFonts w:ascii="Arial" w:hAnsi="Arial" w:cs="Arial"/>
          <w:sz w:val="30"/>
          <w:szCs w:val="30"/>
        </w:rPr>
        <w:t>&gt;</w:t>
      </w:r>
      <w:proofErr w:type="gramEnd"/>
    </w:p>
    <w:p w:rsidR="00EE3EA7" w:rsidRPr="00754B15" w:rsidRDefault="00EE3EA7" w:rsidP="00EE3EA7">
      <w:pPr>
        <w:pStyle w:val="BodyText"/>
        <w:spacing w:after="0"/>
        <w:jc w:val="left"/>
        <w:rPr>
          <w:color w:val="808080"/>
        </w:rPr>
      </w:pPr>
    </w:p>
    <w:sectPr w:rsidR="00EE3EA7" w:rsidRPr="00754B15" w:rsidSect="002B2929">
      <w:headerReference w:type="even" r:id="rId11"/>
      <w:headerReference w:type="default" r:id="rId12"/>
      <w:pgSz w:w="9979" w:h="14181" w:code="34"/>
      <w:pgMar w:top="1531" w:right="851" w:bottom="851" w:left="1418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E1" w:rsidRDefault="00FC1BE1">
      <w:r>
        <w:separator/>
      </w:r>
    </w:p>
  </w:endnote>
  <w:endnote w:type="continuationSeparator" w:id="0">
    <w:p w:rsidR="00FC1BE1" w:rsidRDefault="00FC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E1" w:rsidRDefault="00FC1BE1">
      <w:r>
        <w:separator/>
      </w:r>
    </w:p>
  </w:footnote>
  <w:footnote w:type="continuationSeparator" w:id="0">
    <w:p w:rsidR="00FC1BE1" w:rsidRDefault="00FC1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9F" w:rsidRPr="002B2929" w:rsidRDefault="0068159F" w:rsidP="002B2929">
    <w:pPr>
      <w:pStyle w:val="Header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9F" w:rsidRPr="002B2929" w:rsidRDefault="0068159F" w:rsidP="002B2929">
    <w:pPr>
      <w:pStyle w:val="Header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1E1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465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D6B51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C83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346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2F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084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F64B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D87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2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5C9"/>
    <w:multiLevelType w:val="hybridMultilevel"/>
    <w:tmpl w:val="3F6C703A"/>
    <w:lvl w:ilvl="0" w:tplc="D28CC56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337D85"/>
    <w:multiLevelType w:val="hybridMultilevel"/>
    <w:tmpl w:val="ED80CADA"/>
    <w:lvl w:ilvl="0" w:tplc="916E8C3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C762D1"/>
    <w:multiLevelType w:val="multilevel"/>
    <w:tmpl w:val="CFA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24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171E00CE"/>
    <w:multiLevelType w:val="hybridMultilevel"/>
    <w:tmpl w:val="3E6C2FEC"/>
    <w:lvl w:ilvl="0" w:tplc="C668115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4671E4"/>
    <w:multiLevelType w:val="hybridMultilevel"/>
    <w:tmpl w:val="C41AB586"/>
    <w:lvl w:ilvl="0" w:tplc="68BC4F3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50CDE"/>
    <w:multiLevelType w:val="hybridMultilevel"/>
    <w:tmpl w:val="AF70E410"/>
    <w:lvl w:ilvl="0" w:tplc="CED42018">
      <w:numFmt w:val="bullet"/>
      <w:lvlText w:val="-"/>
      <w:lvlJc w:val="left"/>
      <w:pPr>
        <w:ind w:left="4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6" w15:restartNumberingAfterBreak="0">
    <w:nsid w:val="30D926C9"/>
    <w:multiLevelType w:val="hybridMultilevel"/>
    <w:tmpl w:val="34C85BCC"/>
    <w:lvl w:ilvl="0" w:tplc="2FA41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176E1F"/>
    <w:multiLevelType w:val="singleLevel"/>
    <w:tmpl w:val="292029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00F7E"/>
    <w:multiLevelType w:val="hybridMultilevel"/>
    <w:tmpl w:val="F4D2E348"/>
    <w:lvl w:ilvl="0" w:tplc="D5C22A5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41C31CEA"/>
    <w:multiLevelType w:val="hybridMultilevel"/>
    <w:tmpl w:val="DA2444DE"/>
    <w:lvl w:ilvl="0" w:tplc="ED76564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507022"/>
    <w:multiLevelType w:val="multilevel"/>
    <w:tmpl w:val="46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339B"/>
    <w:multiLevelType w:val="hybridMultilevel"/>
    <w:tmpl w:val="1D022BF8"/>
    <w:lvl w:ilvl="0" w:tplc="F4BC8920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2" w15:restartNumberingAfterBreak="0">
    <w:nsid w:val="4B776C1C"/>
    <w:multiLevelType w:val="hybridMultilevel"/>
    <w:tmpl w:val="89367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171A"/>
    <w:multiLevelType w:val="hybridMultilevel"/>
    <w:tmpl w:val="C492ABC2"/>
    <w:lvl w:ilvl="0" w:tplc="B2D4F73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BC62B6"/>
    <w:multiLevelType w:val="hybridMultilevel"/>
    <w:tmpl w:val="74CC399E"/>
    <w:lvl w:ilvl="0" w:tplc="CB1ED8B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E0775"/>
    <w:multiLevelType w:val="hybridMultilevel"/>
    <w:tmpl w:val="49F0ECEE"/>
    <w:lvl w:ilvl="0" w:tplc="FF924EF2">
      <w:start w:val="1"/>
      <w:numFmt w:val="decimal"/>
      <w:pStyle w:val="Seznamliteratury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83994"/>
    <w:multiLevelType w:val="hybridMultilevel"/>
    <w:tmpl w:val="4D14639A"/>
    <w:lvl w:ilvl="0" w:tplc="9CE8DEF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6A74B5"/>
    <w:multiLevelType w:val="multilevel"/>
    <w:tmpl w:val="BE9AD2CC"/>
    <w:styleLink w:val="Styl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A01D0"/>
    <w:multiLevelType w:val="hybridMultilevel"/>
    <w:tmpl w:val="C82E3E8A"/>
    <w:lvl w:ilvl="0" w:tplc="A49CA48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8F393F"/>
    <w:multiLevelType w:val="hybridMultilevel"/>
    <w:tmpl w:val="C2245ECC"/>
    <w:lvl w:ilvl="0" w:tplc="4B4ADAD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335A4"/>
    <w:multiLevelType w:val="hybridMultilevel"/>
    <w:tmpl w:val="0E5894E8"/>
    <w:lvl w:ilvl="0" w:tplc="40F0A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632FA8"/>
    <w:multiLevelType w:val="hybridMultilevel"/>
    <w:tmpl w:val="6EC84BFA"/>
    <w:lvl w:ilvl="0" w:tplc="8E48E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72F48"/>
    <w:multiLevelType w:val="hybridMultilevel"/>
    <w:tmpl w:val="121E6358"/>
    <w:lvl w:ilvl="0" w:tplc="4432B2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C48D1"/>
    <w:multiLevelType w:val="multilevel"/>
    <w:tmpl w:val="4C361B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26"/>
  </w:num>
  <w:num w:numId="4">
    <w:abstractNumId w:val="27"/>
  </w:num>
  <w:num w:numId="5">
    <w:abstractNumId w:val="20"/>
  </w:num>
  <w:num w:numId="6">
    <w:abstractNumId w:val="19"/>
  </w:num>
  <w:num w:numId="7">
    <w:abstractNumId w:val="19"/>
  </w:num>
  <w:num w:numId="8">
    <w:abstractNumId w:val="12"/>
  </w:num>
  <w:num w:numId="9">
    <w:abstractNumId w:val="13"/>
  </w:num>
  <w:num w:numId="10">
    <w:abstractNumId w:val="30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4"/>
  </w:num>
  <w:num w:numId="16">
    <w:abstractNumId w:val="17"/>
  </w:num>
  <w:num w:numId="17">
    <w:abstractNumId w:val="29"/>
  </w:num>
  <w:num w:numId="18">
    <w:abstractNumId w:val="21"/>
  </w:num>
  <w:num w:numId="19">
    <w:abstractNumId w:val="23"/>
  </w:num>
  <w:num w:numId="20">
    <w:abstractNumId w:val="16"/>
  </w:num>
  <w:num w:numId="21">
    <w:abstractNumId w:val="33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26"/>
  </w:num>
  <w:num w:numId="27">
    <w:abstractNumId w:val="15"/>
  </w:num>
  <w:num w:numId="28">
    <w:abstractNumId w:val="31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32"/>
  </w:num>
  <w:num w:numId="40">
    <w:abstractNumId w:val="22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D9"/>
    <w:rsid w:val="00031EB7"/>
    <w:rsid w:val="00033AA6"/>
    <w:rsid w:val="00046F91"/>
    <w:rsid w:val="00052DF0"/>
    <w:rsid w:val="000740BE"/>
    <w:rsid w:val="00074A17"/>
    <w:rsid w:val="00076D6E"/>
    <w:rsid w:val="00087016"/>
    <w:rsid w:val="0009029B"/>
    <w:rsid w:val="000A4D64"/>
    <w:rsid w:val="000A71CE"/>
    <w:rsid w:val="000A7FC9"/>
    <w:rsid w:val="000C47E7"/>
    <w:rsid w:val="000D01DD"/>
    <w:rsid w:val="000E7494"/>
    <w:rsid w:val="001233BE"/>
    <w:rsid w:val="00124275"/>
    <w:rsid w:val="00137887"/>
    <w:rsid w:val="00144BC2"/>
    <w:rsid w:val="001741F0"/>
    <w:rsid w:val="00177757"/>
    <w:rsid w:val="001800C7"/>
    <w:rsid w:val="00182032"/>
    <w:rsid w:val="00186A85"/>
    <w:rsid w:val="001A2179"/>
    <w:rsid w:val="001C7DB4"/>
    <w:rsid w:val="001E158D"/>
    <w:rsid w:val="001E4A2B"/>
    <w:rsid w:val="002237A3"/>
    <w:rsid w:val="00244E56"/>
    <w:rsid w:val="00250D4E"/>
    <w:rsid w:val="00251E1A"/>
    <w:rsid w:val="00253966"/>
    <w:rsid w:val="002659BD"/>
    <w:rsid w:val="00267F31"/>
    <w:rsid w:val="00271606"/>
    <w:rsid w:val="00277B55"/>
    <w:rsid w:val="00292D4E"/>
    <w:rsid w:val="002A7CC1"/>
    <w:rsid w:val="002B2929"/>
    <w:rsid w:val="002B7F47"/>
    <w:rsid w:val="003019E7"/>
    <w:rsid w:val="00307748"/>
    <w:rsid w:val="00310FAD"/>
    <w:rsid w:val="003133BF"/>
    <w:rsid w:val="00314424"/>
    <w:rsid w:val="00350DA1"/>
    <w:rsid w:val="00351A5D"/>
    <w:rsid w:val="003658C1"/>
    <w:rsid w:val="00375DB8"/>
    <w:rsid w:val="003931F7"/>
    <w:rsid w:val="003C267B"/>
    <w:rsid w:val="003D3F72"/>
    <w:rsid w:val="003F1DCB"/>
    <w:rsid w:val="00405D0D"/>
    <w:rsid w:val="00426AD3"/>
    <w:rsid w:val="0045302E"/>
    <w:rsid w:val="00461F6B"/>
    <w:rsid w:val="00463673"/>
    <w:rsid w:val="00486FF3"/>
    <w:rsid w:val="00492E58"/>
    <w:rsid w:val="00493033"/>
    <w:rsid w:val="004A2AC4"/>
    <w:rsid w:val="004B6E4B"/>
    <w:rsid w:val="004C5FA1"/>
    <w:rsid w:val="004C6635"/>
    <w:rsid w:val="004E50B1"/>
    <w:rsid w:val="004F7442"/>
    <w:rsid w:val="00501B17"/>
    <w:rsid w:val="00502289"/>
    <w:rsid w:val="00505531"/>
    <w:rsid w:val="0052516B"/>
    <w:rsid w:val="00536990"/>
    <w:rsid w:val="00592296"/>
    <w:rsid w:val="005C0DED"/>
    <w:rsid w:val="005D7AA9"/>
    <w:rsid w:val="005F09DE"/>
    <w:rsid w:val="00600794"/>
    <w:rsid w:val="00615378"/>
    <w:rsid w:val="0062261C"/>
    <w:rsid w:val="0064727A"/>
    <w:rsid w:val="00653FF9"/>
    <w:rsid w:val="006645C0"/>
    <w:rsid w:val="006704D3"/>
    <w:rsid w:val="0068159F"/>
    <w:rsid w:val="006851B5"/>
    <w:rsid w:val="00694675"/>
    <w:rsid w:val="006A5CB5"/>
    <w:rsid w:val="006B21DB"/>
    <w:rsid w:val="006D6DF5"/>
    <w:rsid w:val="006D72A7"/>
    <w:rsid w:val="006F4D42"/>
    <w:rsid w:val="00701DC0"/>
    <w:rsid w:val="007462AF"/>
    <w:rsid w:val="00754B15"/>
    <w:rsid w:val="0078188B"/>
    <w:rsid w:val="0079336C"/>
    <w:rsid w:val="007B09C7"/>
    <w:rsid w:val="007B3177"/>
    <w:rsid w:val="007C5F92"/>
    <w:rsid w:val="007D7FAC"/>
    <w:rsid w:val="0080761D"/>
    <w:rsid w:val="008377A0"/>
    <w:rsid w:val="008448DA"/>
    <w:rsid w:val="008551A6"/>
    <w:rsid w:val="00881DE8"/>
    <w:rsid w:val="00883F38"/>
    <w:rsid w:val="00884805"/>
    <w:rsid w:val="008A16F8"/>
    <w:rsid w:val="008C1DD7"/>
    <w:rsid w:val="008D50B5"/>
    <w:rsid w:val="008E52D1"/>
    <w:rsid w:val="008E7ABF"/>
    <w:rsid w:val="00914B5D"/>
    <w:rsid w:val="00946321"/>
    <w:rsid w:val="009778B3"/>
    <w:rsid w:val="009848A2"/>
    <w:rsid w:val="009A5EBD"/>
    <w:rsid w:val="009D78AA"/>
    <w:rsid w:val="009E4D60"/>
    <w:rsid w:val="009E66FF"/>
    <w:rsid w:val="009F478C"/>
    <w:rsid w:val="00A165F1"/>
    <w:rsid w:val="00A318B4"/>
    <w:rsid w:val="00A37311"/>
    <w:rsid w:val="00A54FF3"/>
    <w:rsid w:val="00A64DF1"/>
    <w:rsid w:val="00A86756"/>
    <w:rsid w:val="00A872A5"/>
    <w:rsid w:val="00AA1EE8"/>
    <w:rsid w:val="00AA76D4"/>
    <w:rsid w:val="00AA7B93"/>
    <w:rsid w:val="00AB47A6"/>
    <w:rsid w:val="00AB7523"/>
    <w:rsid w:val="00AE2DC4"/>
    <w:rsid w:val="00B01285"/>
    <w:rsid w:val="00B12157"/>
    <w:rsid w:val="00B20B3E"/>
    <w:rsid w:val="00B318AC"/>
    <w:rsid w:val="00B60B63"/>
    <w:rsid w:val="00B76B2D"/>
    <w:rsid w:val="00B809A4"/>
    <w:rsid w:val="00BC6E21"/>
    <w:rsid w:val="00BD6F26"/>
    <w:rsid w:val="00BE3DD4"/>
    <w:rsid w:val="00C102BC"/>
    <w:rsid w:val="00C46AB9"/>
    <w:rsid w:val="00C576C5"/>
    <w:rsid w:val="00C94DFC"/>
    <w:rsid w:val="00C977AE"/>
    <w:rsid w:val="00CC23A0"/>
    <w:rsid w:val="00CD08F7"/>
    <w:rsid w:val="00CF1F64"/>
    <w:rsid w:val="00CF3403"/>
    <w:rsid w:val="00CF3876"/>
    <w:rsid w:val="00D00989"/>
    <w:rsid w:val="00D22390"/>
    <w:rsid w:val="00D6769D"/>
    <w:rsid w:val="00D91712"/>
    <w:rsid w:val="00DB3D30"/>
    <w:rsid w:val="00DC2147"/>
    <w:rsid w:val="00DE7771"/>
    <w:rsid w:val="00DF34D9"/>
    <w:rsid w:val="00DF7765"/>
    <w:rsid w:val="00E0030B"/>
    <w:rsid w:val="00E268E1"/>
    <w:rsid w:val="00E2699E"/>
    <w:rsid w:val="00E40D6B"/>
    <w:rsid w:val="00E42F23"/>
    <w:rsid w:val="00E56C4E"/>
    <w:rsid w:val="00E647A1"/>
    <w:rsid w:val="00E72FFC"/>
    <w:rsid w:val="00E82720"/>
    <w:rsid w:val="00EB18D7"/>
    <w:rsid w:val="00EB435A"/>
    <w:rsid w:val="00EB5E4D"/>
    <w:rsid w:val="00EE3EA7"/>
    <w:rsid w:val="00EF02E4"/>
    <w:rsid w:val="00F436FC"/>
    <w:rsid w:val="00F540D6"/>
    <w:rsid w:val="00F54642"/>
    <w:rsid w:val="00F65125"/>
    <w:rsid w:val="00FA4304"/>
    <w:rsid w:val="00FC1BE1"/>
    <w:rsid w:val="00FC408B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5FF37"/>
  <w15:docId w15:val="{B7DA0B18-119E-4858-8B67-6B35489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62AF"/>
    <w:pPr>
      <w:spacing w:after="120"/>
    </w:pPr>
    <w:rPr>
      <w:sz w:val="24"/>
      <w:szCs w:val="24"/>
    </w:rPr>
  </w:style>
  <w:style w:type="paragraph" w:styleId="Heading1">
    <w:name w:val="heading 1"/>
    <w:basedOn w:val="Heading2"/>
    <w:next w:val="BodyText"/>
    <w:link w:val="Heading1Char"/>
    <w:autoRedefine/>
    <w:rsid w:val="001E4A2B"/>
    <w:pPr>
      <w:spacing w:before="360"/>
      <w:outlineLvl w:val="0"/>
    </w:pPr>
    <w:rPr>
      <w:rFonts w:ascii="Times New Roman" w:hAnsi="Times New Roman" w:cs="Times New Roman"/>
      <w:sz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8E7ABF"/>
    <w:pPr>
      <w:keepNext/>
      <w:keepLines/>
      <w:spacing w:before="240"/>
      <w:outlineLvl w:val="1"/>
    </w:pPr>
    <w:rPr>
      <w:rFonts w:ascii="Times" w:hAnsi="Times" w:cs="Times"/>
      <w:b/>
      <w:bCs/>
      <w:iCs/>
      <w:szCs w:val="26"/>
      <w:lang w:val="en-GB" w:eastAsia="en-US"/>
    </w:rPr>
  </w:style>
  <w:style w:type="paragraph" w:styleId="Heading4">
    <w:name w:val="heading 4"/>
    <w:basedOn w:val="Normal"/>
    <w:next w:val="Normal"/>
    <w:link w:val="Heading4Char"/>
    <w:autoRedefine/>
    <w:rsid w:val="00D91712"/>
    <w:pPr>
      <w:keepNext/>
      <w:outlineLvl w:val="3"/>
    </w:pPr>
    <w:rPr>
      <w:b/>
      <w:caps/>
      <w:sz w:val="28"/>
    </w:rPr>
  </w:style>
  <w:style w:type="paragraph" w:styleId="Heading5">
    <w:name w:val="heading 5"/>
    <w:basedOn w:val="Normal"/>
    <w:next w:val="Normal"/>
    <w:link w:val="Heading5Char"/>
    <w:autoRedefine/>
    <w:rsid w:val="009778B3"/>
    <w:pPr>
      <w:keepNext/>
      <w:framePr w:hSpace="141" w:wrap="around" w:vAnchor="text" w:hAnchor="margin" w:xAlign="center" w:y="299"/>
      <w:widowControl w:val="0"/>
      <w:autoSpaceDE w:val="0"/>
      <w:autoSpaceDN w:val="0"/>
      <w:adjustRightInd w:val="0"/>
      <w:outlineLvl w:val="4"/>
    </w:pPr>
    <w:rPr>
      <w:b/>
      <w:iCs/>
      <w:color w:val="000000"/>
      <w:spacing w:val="-5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80761D"/>
    <w:pPr>
      <w:numPr>
        <w:numId w:val="34"/>
      </w:numPr>
      <w:contextualSpacing/>
    </w:pPr>
  </w:style>
  <w:style w:type="paragraph" w:styleId="FootnoteText">
    <w:name w:val="footnote text"/>
    <w:basedOn w:val="Normal"/>
    <w:link w:val="FootnoteTextChar"/>
    <w:rsid w:val="007462A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2AF"/>
  </w:style>
  <w:style w:type="numbering" w:customStyle="1" w:styleId="Styl4">
    <w:name w:val="Styl4"/>
    <w:basedOn w:val="NoList"/>
    <w:rsid w:val="00BD6F26"/>
    <w:pPr>
      <w:numPr>
        <w:numId w:val="4"/>
      </w:numPr>
    </w:pPr>
  </w:style>
  <w:style w:type="character" w:styleId="FootnoteReference">
    <w:name w:val="footnote reference"/>
    <w:rsid w:val="007462AF"/>
    <w:rPr>
      <w:vertAlign w:val="superscript"/>
    </w:rPr>
  </w:style>
  <w:style w:type="character" w:customStyle="1" w:styleId="Heading1Char">
    <w:name w:val="Heading 1 Char"/>
    <w:link w:val="Heading1"/>
    <w:rsid w:val="001E4A2B"/>
    <w:rPr>
      <w:b/>
      <w:bCs/>
      <w:iCs/>
      <w:sz w:val="26"/>
      <w:szCs w:val="26"/>
      <w:lang w:val="en-GB" w:eastAsia="en-US"/>
    </w:rPr>
  </w:style>
  <w:style w:type="paragraph" w:styleId="ListNumber3">
    <w:name w:val="List Number 3"/>
    <w:basedOn w:val="Normal"/>
    <w:qFormat/>
    <w:rsid w:val="00A37311"/>
    <w:pPr>
      <w:numPr>
        <w:numId w:val="31"/>
      </w:numPr>
      <w:contextualSpacing/>
    </w:pPr>
  </w:style>
  <w:style w:type="character" w:customStyle="1" w:styleId="Heading2Char">
    <w:name w:val="Heading 2 Char"/>
    <w:link w:val="Heading2"/>
    <w:rsid w:val="008E7ABF"/>
    <w:rPr>
      <w:rFonts w:ascii="Times" w:hAnsi="Times" w:cs="Times"/>
      <w:b/>
      <w:bCs/>
      <w:iCs/>
      <w:sz w:val="24"/>
      <w:szCs w:val="26"/>
      <w:lang w:val="en-GB" w:eastAsia="en-US"/>
    </w:rPr>
  </w:style>
  <w:style w:type="paragraph" w:styleId="TOC1">
    <w:name w:val="toc 1"/>
    <w:basedOn w:val="Heading1"/>
    <w:next w:val="Normal"/>
    <w:autoRedefine/>
    <w:semiHidden/>
    <w:rsid w:val="00D91712"/>
    <w:rPr>
      <w:sz w:val="24"/>
    </w:rPr>
  </w:style>
  <w:style w:type="character" w:customStyle="1" w:styleId="Heading4Char">
    <w:name w:val="Heading 4 Char"/>
    <w:link w:val="Heading4"/>
    <w:rsid w:val="00177757"/>
    <w:rPr>
      <w:b/>
      <w:caps/>
      <w:sz w:val="28"/>
      <w:szCs w:val="24"/>
    </w:rPr>
  </w:style>
  <w:style w:type="paragraph" w:styleId="Caption">
    <w:name w:val="caption"/>
    <w:basedOn w:val="Normal"/>
    <w:next w:val="Normal"/>
    <w:unhideWhenUsed/>
    <w:qFormat/>
    <w:rsid w:val="0080761D"/>
    <w:pPr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35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meno">
    <w:name w:val="Jmeno"/>
    <w:basedOn w:val="Normal"/>
    <w:rsid w:val="009E66FF"/>
    <w:pPr>
      <w:jc w:val="both"/>
    </w:pPr>
    <w:rPr>
      <w:rFonts w:ascii="Times" w:eastAsia="Calibri" w:hAnsi="Times" w:cs="Times"/>
      <w:b/>
      <w:sz w:val="32"/>
      <w:szCs w:val="32"/>
      <w:lang w:eastAsia="en-US"/>
    </w:rPr>
  </w:style>
  <w:style w:type="paragraph" w:customStyle="1" w:styleId="Pracovit">
    <w:name w:val="Pracoviště"/>
    <w:basedOn w:val="Normal"/>
    <w:rsid w:val="00250D4E"/>
    <w:rPr>
      <w:snapToGrid w:val="0"/>
      <w:sz w:val="28"/>
      <w:szCs w:val="28"/>
      <w:lang w:val="en-GB" w:eastAsia="ru-RU"/>
    </w:rPr>
  </w:style>
  <w:style w:type="paragraph" w:customStyle="1" w:styleId="Seznamliteratury">
    <w:name w:val="Seznam literatury"/>
    <w:basedOn w:val="BodyText"/>
    <w:rsid w:val="00310FAD"/>
    <w:pPr>
      <w:numPr>
        <w:numId w:val="41"/>
      </w:numPr>
      <w:ind w:left="426"/>
      <w:jc w:val="left"/>
    </w:pPr>
  </w:style>
  <w:style w:type="character" w:customStyle="1" w:styleId="Heading5Char">
    <w:name w:val="Heading 5 Char"/>
    <w:link w:val="Heading5"/>
    <w:rsid w:val="00177757"/>
    <w:rPr>
      <w:b/>
      <w:iCs/>
      <w:color w:val="000000"/>
      <w:spacing w:val="-5"/>
      <w:sz w:val="28"/>
    </w:rPr>
  </w:style>
  <w:style w:type="paragraph" w:styleId="Title">
    <w:name w:val="Title"/>
    <w:basedOn w:val="Normal"/>
    <w:next w:val="Normal"/>
    <w:link w:val="TitleChar"/>
    <w:rsid w:val="00536990"/>
    <w:pPr>
      <w:spacing w:after="240"/>
      <w:contextualSpacing/>
    </w:pPr>
    <w:rPr>
      <w:b/>
      <w:spacing w:val="5"/>
      <w:kern w:val="28"/>
      <w:sz w:val="36"/>
      <w:szCs w:val="36"/>
      <w:lang w:val="en-GB" w:eastAsia="ar-SA"/>
    </w:rPr>
  </w:style>
  <w:style w:type="character" w:customStyle="1" w:styleId="TitleChar">
    <w:name w:val="Title Char"/>
    <w:link w:val="Title"/>
    <w:rsid w:val="00536990"/>
    <w:rPr>
      <w:rFonts w:eastAsia="Times New Roman" w:cs="Times New Roman"/>
      <w:b/>
      <w:spacing w:val="5"/>
      <w:kern w:val="28"/>
      <w:sz w:val="36"/>
      <w:szCs w:val="36"/>
      <w:lang w:val="en-GB" w:eastAsia="ar-SA"/>
    </w:rPr>
  </w:style>
  <w:style w:type="paragraph" w:styleId="BodyText">
    <w:name w:val="Body Text"/>
    <w:basedOn w:val="Normal"/>
    <w:link w:val="BodyTextChar"/>
    <w:rsid w:val="009E66FF"/>
    <w:pPr>
      <w:jc w:val="both"/>
    </w:pPr>
    <w:rPr>
      <w:sz w:val="22"/>
      <w:szCs w:val="22"/>
      <w:lang w:val="en-GB" w:eastAsia="sk-SK"/>
    </w:rPr>
  </w:style>
  <w:style w:type="character" w:customStyle="1" w:styleId="BodyTextChar">
    <w:name w:val="Body Text Char"/>
    <w:link w:val="BodyText"/>
    <w:rsid w:val="009E66FF"/>
    <w:rPr>
      <w:sz w:val="22"/>
      <w:szCs w:val="22"/>
      <w:lang w:val="en-GB" w:eastAsia="sk-SK"/>
    </w:rPr>
  </w:style>
  <w:style w:type="paragraph" w:styleId="Header">
    <w:name w:val="header"/>
    <w:basedOn w:val="Normal"/>
    <w:link w:val="Header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link w:val="Header"/>
    <w:uiPriority w:val="99"/>
    <w:rsid w:val="001E4A2B"/>
    <w:rPr>
      <w:sz w:val="24"/>
      <w:szCs w:val="24"/>
    </w:rPr>
  </w:style>
  <w:style w:type="paragraph" w:styleId="Footer">
    <w:name w:val="footer"/>
    <w:basedOn w:val="Normal"/>
    <w:link w:val="Footer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link w:val="Footer"/>
    <w:rsid w:val="001E4A2B"/>
    <w:rPr>
      <w:sz w:val="24"/>
      <w:szCs w:val="24"/>
    </w:rPr>
  </w:style>
  <w:style w:type="character" w:customStyle="1" w:styleId="markedcontent">
    <w:name w:val="markedcontent"/>
    <w:rsid w:val="00046F91"/>
  </w:style>
  <w:style w:type="character" w:styleId="Hyperlink">
    <w:name w:val="Hyperlink"/>
    <w:basedOn w:val="DefaultParagraphFont"/>
    <w:unhideWhenUsed/>
    <w:rsid w:val="00C46A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ezj08@zsf.jcu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othova@zsf.jcu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ugebauer@zsf.jcu.c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tkov\Desktop\&#352;ablona%20Logos%20Polytechnikos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BBB60B7-0FDF-404A-A131-0327DD41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Logos Polytechnikos</Template>
  <TotalTime>186</TotalTime>
  <Pages>11</Pages>
  <Words>1551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článku</vt:lpstr>
    </vt:vector>
  </TitlesOfParts>
  <Company>VSTECB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článku</dc:title>
  <dc:creator>Mgr.Bc. Alena Šetková</dc:creator>
  <cp:lastModifiedBy>Luke</cp:lastModifiedBy>
  <cp:revision>48</cp:revision>
  <cp:lastPrinted>1900-12-31T22:00:00Z</cp:lastPrinted>
  <dcterms:created xsi:type="dcterms:W3CDTF">2022-10-26T07:48:00Z</dcterms:created>
  <dcterms:modified xsi:type="dcterms:W3CDTF">2022-10-26T19:33:00Z</dcterms:modified>
</cp:coreProperties>
</file>