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sr7cu38n0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Bộ sản phẩm nên nộp và trình bày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7.6038338658145"/>
        <w:gridCol w:w="5432.58785942492"/>
        <w:gridCol w:w="1619.808306709265"/>
        <w:tblGridChange w:id="0">
          <w:tblGrid>
            <w:gridCol w:w="2307.6038338658145"/>
            <w:gridCol w:w="5432.58785942492"/>
            <w:gridCol w:w="1619.808306709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Mức độ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Báo cáo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Lý thuyết, kiến trúc, giao thức, mật mã, so sánh, thực nghiệm và kết luận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Cốt lõi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Slide PPTX/PDF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Tóm tắt vấn đề, cơ chế và kết quả nghiên cứu trong 10–12 slide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Rất nên có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 PKI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Tạo CA, cấp chứng thư, xác minh và mô phỏng chứng thư không hợp lệ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Rất nên có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 code, script OpenSSL, cấu hình và README hướng dẫn tái lập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Điểm cộng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Bảng/biểu đồ thực nghiệm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Kết quả test cases, so sánh RSA/ECDSA hoặc chi phí xác minh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Điểm cộng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nhỏ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Hiển thị thông tin chứng thư và kết quả kiểm 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Sáng tạo, tùy chọn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