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3847" w14:textId="7CB2CFFE" w:rsidR="00B8518E" w:rsidRDefault="00B8518E" w:rsidP="00B8518E">
      <w:pPr>
        <w:jc w:val="both"/>
      </w:pPr>
      <w:r>
        <w:t>Title: Bridging the Implementation Gap: An Agentic AI Clinical Decision Support System for TB/HIV Co-management in Nigeria</w:t>
      </w:r>
    </w:p>
    <w:p w14:paraId="6627DE66" w14:textId="77777777" w:rsidR="00B8518E" w:rsidRDefault="00B8518E" w:rsidP="00B8518E">
      <w:pPr>
        <w:jc w:val="both"/>
      </w:pPr>
    </w:p>
    <w:p w14:paraId="228BCA65" w14:textId="6DBA542A" w:rsidR="00B8518E" w:rsidRDefault="00B8518E" w:rsidP="00B8518E">
      <w:pPr>
        <w:jc w:val="both"/>
      </w:pPr>
      <w:r>
        <w:t>Background: The translation of national clinical guidelines into consistent practice at the point of care remains a critical barrier in global health, particularly for complex co-epidemics like Tuberculosis (TB) and HIV in resource-limited settings. Gaps in adherence contribute to diagnostic delays, medication errors, and drug resistance. We developed an agentic AI system to dynamically operationalize Nigeria's national TB/HIV guidelines, providing immediate, standardized decision support to frontline healthcare workers.</w:t>
      </w:r>
    </w:p>
    <w:p w14:paraId="67E04846" w14:textId="77777777" w:rsidR="00B8518E" w:rsidRDefault="00B8518E" w:rsidP="00B8518E">
      <w:pPr>
        <w:jc w:val="both"/>
      </w:pPr>
    </w:p>
    <w:p w14:paraId="22419F7D" w14:textId="46C37508" w:rsidR="00B8518E" w:rsidRDefault="00B8518E" w:rsidP="00B8518E">
      <w:pPr>
        <w:jc w:val="both"/>
      </w:pPr>
      <w:r>
        <w:t>Methods: The "NG TB-HIV Clinical AI Agent" is an automated workflow that processes unstructured clinical queries from healthcare workers via a Google Form. The system employs a multi-stage pipeline: (1) Automated Triage, using rule-based natural language processing to classify queries by type, patient group, and urgency; (2) Structured Retrieval-Augmented Generation (RAG), which dynamically retrieves context from a pre-vectorized knowledge base of the 2021 Nigerian National Guidelines. This knowledge base is structured into discrete, clinically relevant segments (e.g., diagnosis, treatment regimens, drug interactions, preventive therapy). The RAG pipeline uses query classification to select and inject the most relevant guideline segments into the LLM prompt; (3) Constrained Response Generation, leveraging a large language model (DeepSeek-chat) governed by a rigorous system prompt that mandates responses be grounded exclusively in the retrieved context, explicitly prohibiting external knowledge or speculation. The system autonomously executes public health functions, including comprehensive activity logging and automated email escalation for high-urgency cases.</w:t>
      </w:r>
    </w:p>
    <w:p w14:paraId="4A905421" w14:textId="77777777" w:rsidR="00B8518E" w:rsidRDefault="00B8518E" w:rsidP="00B8518E">
      <w:pPr>
        <w:jc w:val="both"/>
      </w:pPr>
    </w:p>
    <w:p w14:paraId="1DF8480A" w14:textId="32A8C559" w:rsidR="00B8518E" w:rsidRDefault="00B8518E" w:rsidP="00B8518E">
      <w:pPr>
        <w:jc w:val="both"/>
      </w:pPr>
      <w:r>
        <w:t>Results: The agent successfully automates the entire clinical support process, generating structured, actionable guidance. The RAG architecture ensures high-fidelity, evidence-based responses by tethering the LLM to the authoritative guideline source. The integrated data logging provides a novel real-time dataset on clinical uncertainties, offering unprecedented insights for program monitoring and iterative guideline refinement.</w:t>
      </w:r>
    </w:p>
    <w:p w14:paraId="58F05723" w14:textId="77777777" w:rsidR="00B8518E" w:rsidRDefault="00B8518E" w:rsidP="00B8518E">
      <w:pPr>
        <w:jc w:val="both"/>
      </w:pPr>
    </w:p>
    <w:p w14:paraId="174BB9B3" w14:textId="0EC2B402" w:rsidR="00B8518E" w:rsidRDefault="00B8518E" w:rsidP="00B8518E">
      <w:pPr>
        <w:jc w:val="both"/>
      </w:pPr>
      <w:r>
        <w:t xml:space="preserve">Conclusion: This agentic AI model, built on a structured RAG framework, demonstrates a transformative approach to public health implementation. It functions as an active, intelligent partner for healthcare workers, directly embedding complex guidelines into routine clinical workflow. The system offers a scalable, adaptable framework for </w:t>
      </w:r>
      <w:r>
        <w:lastRenderedPageBreak/>
        <w:t>enhancing care quality and consistency, with significant potential for application to other disease priorities in global health.</w:t>
      </w:r>
    </w:p>
    <w:p w14:paraId="4F1FD5A7" w14:textId="77777777" w:rsidR="00B8518E" w:rsidRDefault="00B8518E" w:rsidP="00B8518E">
      <w:pPr>
        <w:jc w:val="both"/>
      </w:pPr>
    </w:p>
    <w:p w14:paraId="55F99804" w14:textId="07EB9178" w:rsidR="005F4474" w:rsidRPr="00B8518E" w:rsidRDefault="00B8518E" w:rsidP="00B8518E">
      <w:pPr>
        <w:jc w:val="both"/>
      </w:pPr>
      <w:r>
        <w:t>Keywords: Agentic AI, Retrieval-Augmented Generation (RAG), Clinical Decision Support, TB/HIV, Implementation Science, Digital Health, Nigeria.</w:t>
      </w:r>
    </w:p>
    <w:sectPr w:rsidR="005F4474" w:rsidRPr="00B85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474"/>
    <w:rsid w:val="005F4474"/>
    <w:rsid w:val="00B8518E"/>
    <w:rsid w:val="00C3758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3DF2"/>
  <w15:chartTrackingRefBased/>
  <w15:docId w15:val="{152EF460-FE9E-40FB-BE6A-E49ACDBD4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74"/>
    <w:rPr>
      <w:rFonts w:eastAsiaTheme="majorEastAsia" w:cstheme="majorBidi"/>
      <w:color w:val="272727" w:themeColor="text1" w:themeTint="D8"/>
    </w:rPr>
  </w:style>
  <w:style w:type="paragraph" w:styleId="Title">
    <w:name w:val="Title"/>
    <w:basedOn w:val="Normal"/>
    <w:next w:val="Normal"/>
    <w:link w:val="TitleChar"/>
    <w:uiPriority w:val="10"/>
    <w:qFormat/>
    <w:rsid w:val="005F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74"/>
    <w:pPr>
      <w:spacing w:before="160"/>
      <w:jc w:val="center"/>
    </w:pPr>
    <w:rPr>
      <w:i/>
      <w:iCs/>
      <w:color w:val="404040" w:themeColor="text1" w:themeTint="BF"/>
    </w:rPr>
  </w:style>
  <w:style w:type="character" w:customStyle="1" w:styleId="QuoteChar">
    <w:name w:val="Quote Char"/>
    <w:basedOn w:val="DefaultParagraphFont"/>
    <w:link w:val="Quote"/>
    <w:uiPriority w:val="29"/>
    <w:rsid w:val="005F4474"/>
    <w:rPr>
      <w:i/>
      <w:iCs/>
      <w:color w:val="404040" w:themeColor="text1" w:themeTint="BF"/>
    </w:rPr>
  </w:style>
  <w:style w:type="paragraph" w:styleId="ListParagraph">
    <w:name w:val="List Paragraph"/>
    <w:basedOn w:val="Normal"/>
    <w:uiPriority w:val="34"/>
    <w:qFormat/>
    <w:rsid w:val="005F4474"/>
    <w:pPr>
      <w:ind w:left="720"/>
      <w:contextualSpacing/>
    </w:pPr>
  </w:style>
  <w:style w:type="character" w:styleId="IntenseEmphasis">
    <w:name w:val="Intense Emphasis"/>
    <w:basedOn w:val="DefaultParagraphFont"/>
    <w:uiPriority w:val="21"/>
    <w:qFormat/>
    <w:rsid w:val="005F4474"/>
    <w:rPr>
      <w:i/>
      <w:iCs/>
      <w:color w:val="0F4761" w:themeColor="accent1" w:themeShade="BF"/>
    </w:rPr>
  </w:style>
  <w:style w:type="paragraph" w:styleId="IntenseQuote">
    <w:name w:val="Intense Quote"/>
    <w:basedOn w:val="Normal"/>
    <w:next w:val="Normal"/>
    <w:link w:val="IntenseQuoteChar"/>
    <w:uiPriority w:val="30"/>
    <w:qFormat/>
    <w:rsid w:val="005F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74"/>
    <w:rPr>
      <w:i/>
      <w:iCs/>
      <w:color w:val="0F4761" w:themeColor="accent1" w:themeShade="BF"/>
    </w:rPr>
  </w:style>
  <w:style w:type="character" w:styleId="IntenseReference">
    <w:name w:val="Intense Reference"/>
    <w:basedOn w:val="DefaultParagraphFont"/>
    <w:uiPriority w:val="32"/>
    <w:qFormat/>
    <w:rsid w:val="005F44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dc6489-e816-4d5f-a964-770eaacd0870}" enabled="1" method="Standard" siteId="{995c8049-bfb4-4df7-a971-0330afa808c9}"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383</Words>
  <Characters>2496</Characters>
  <Application>Microsoft Office Word</Application>
  <DocSecurity>0</DocSecurity>
  <Lines>48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Akosu</dc:creator>
  <cp:keywords/>
  <dc:description/>
  <cp:lastModifiedBy>Raphael Akosu</cp:lastModifiedBy>
  <cp:revision>1</cp:revision>
  <dcterms:created xsi:type="dcterms:W3CDTF">2025-11-22T09:56:00Z</dcterms:created>
  <dcterms:modified xsi:type="dcterms:W3CDTF">2025-11-22T10:16:00Z</dcterms:modified>
</cp:coreProperties>
</file>