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C7EA0" w14:textId="370BD661" w:rsidR="003233FD" w:rsidRDefault="003233FD" w:rsidP="003233FD">
      <w:pPr>
        <w:jc w:val="both"/>
      </w:pPr>
      <w:r>
        <w:t>Abstract</w:t>
      </w:r>
    </w:p>
    <w:p w14:paraId="6232C0ED" w14:textId="77777777" w:rsidR="003233FD" w:rsidRDefault="003233FD" w:rsidP="003233FD">
      <w:pPr>
        <w:jc w:val="both"/>
      </w:pPr>
    </w:p>
    <w:p w14:paraId="50202727" w14:textId="243CFE8B" w:rsidR="003233FD" w:rsidRDefault="003233FD" w:rsidP="003233FD">
      <w:pPr>
        <w:jc w:val="both"/>
      </w:pPr>
      <w:r>
        <w:t>Leveraging Machine Learning for Early Prediction of HIV Treatment Interruption: A Novel Approach to Strengthening Continuity of Care in Resource-Limited Settings</w:t>
      </w:r>
    </w:p>
    <w:p w14:paraId="7C8AE1F3" w14:textId="77777777" w:rsidR="003233FD" w:rsidRDefault="003233FD" w:rsidP="003233FD">
      <w:pPr>
        <w:jc w:val="both"/>
      </w:pPr>
    </w:p>
    <w:p w14:paraId="770B1EDC" w14:textId="17319832" w:rsidR="003233FD" w:rsidRDefault="003233FD" w:rsidP="003233FD">
      <w:pPr>
        <w:jc w:val="both"/>
      </w:pPr>
      <w:r>
        <w:t>Background: Interruption in Treatment (IIT) remains a formidable barrier to achieving the UNAIDS 95-95-95 targets, particularly in sub-Saharan Africa where loss to follow-up undermines decades of HIV program investments. Current approaches to patient retention rely heavily on reactive tracking methods that identify treatment disruptions only after they occur, limiting intervention effectiveness and straining already constrained healthcare resources.</w:t>
      </w:r>
    </w:p>
    <w:p w14:paraId="00ABDA3B" w14:textId="77777777" w:rsidR="003233FD" w:rsidRDefault="003233FD" w:rsidP="003233FD">
      <w:pPr>
        <w:jc w:val="both"/>
      </w:pPr>
    </w:p>
    <w:p w14:paraId="5BDFCA18" w14:textId="58A5DE1B" w:rsidR="003233FD" w:rsidRDefault="003233FD" w:rsidP="003233FD">
      <w:pPr>
        <w:jc w:val="both"/>
      </w:pPr>
      <w:r>
        <w:t>Methods: We developed and validated a machine learning framework using gradient boosting (</w:t>
      </w:r>
      <w:proofErr w:type="spellStart"/>
      <w:r>
        <w:t>LightGBM</w:t>
      </w:r>
      <w:proofErr w:type="spellEnd"/>
      <w:r>
        <w:t xml:space="preserve">) to predict IIT risk among 16,831 HIV-positive patients across 18 clinical facilities in Nigeria. The model leverages routinely collected clinical data from the Nigeria Medical Record System, encompassing five critical domains: medication adherence </w:t>
      </w:r>
      <w:proofErr w:type="spellStart"/>
      <w:r>
        <w:t>behavior</w:t>
      </w:r>
      <w:proofErr w:type="spellEnd"/>
      <w:r>
        <w:t xml:space="preserve"> (pharmacy refill patterns, multi-month dispensing ratios, days since last collection), clinical engagement (visit frequency, regularity, gaps between appointments), demographic characteristics, clinical status (WHO staging, viral load monitoring, tuberculosis symptoms), and temporal factors (seasonal variations, holiday periods). Our algorithm processes 45 distinct features to generate individualized IIT risk scores with a 90-day prediction horizon.</w:t>
      </w:r>
    </w:p>
    <w:p w14:paraId="3358F18F" w14:textId="77777777" w:rsidR="003233FD" w:rsidRDefault="003233FD" w:rsidP="003233FD">
      <w:pPr>
        <w:jc w:val="both"/>
      </w:pPr>
    </w:p>
    <w:p w14:paraId="7637BD08" w14:textId="0B633597" w:rsidR="003233FD" w:rsidRDefault="003233FD" w:rsidP="003233FD">
      <w:pPr>
        <w:jc w:val="both"/>
      </w:pPr>
      <w:r>
        <w:t xml:space="preserve">Results: The model demonstrated robust predictive performance, achieving an area under the receiver operating characteristic curve (AUC) of 0.84 (95% CI: 0.82-0.86), with sensitivity of 78% and specificity of 82% at the optimal risk threshold. Precision-recall analysis showed an average precision of 0.79, indicating strong performance in this imbalanced classification context. Feature importance analysis revealed that pharmacy </w:t>
      </w:r>
      <w:proofErr w:type="spellStart"/>
      <w:r>
        <w:t>behavior</w:t>
      </w:r>
      <w:proofErr w:type="spellEnd"/>
      <w:r>
        <w:t xml:space="preserve"> metrics constituted the most predictive domain, with days since last refill (18% relative importance) and multi-month dispensing adherence (12%) emerging as strongest individual predictors. The model successfully identified 84% of actual IIT cases a median of 26 days earlier than conventional detection methods, creating a critical window for intervention.</w:t>
      </w:r>
    </w:p>
    <w:p w14:paraId="535BE40D" w14:textId="77777777" w:rsidR="003233FD" w:rsidRDefault="003233FD" w:rsidP="003233FD">
      <w:pPr>
        <w:jc w:val="both"/>
      </w:pPr>
    </w:p>
    <w:p w14:paraId="2FCF7909" w14:textId="3887A586" w:rsidR="003233FD" w:rsidRDefault="003233FD" w:rsidP="003233FD">
      <w:pPr>
        <w:jc w:val="both"/>
      </w:pPr>
      <w:r>
        <w:t xml:space="preserve">Conclusion: This machine learning approach represents a paradigm shift from reactive to proactive patient retention strategies in HIV care. By enabling early identification of </w:t>
      </w:r>
      <w:r>
        <w:lastRenderedPageBreak/>
        <w:t>high-risk patients and quantifying specific risk factors, the model facilitates targeted, resource-efficient interventions that could substantially reduce treatment interruptions. Implementation of this scalable, automated risk stratification system has the potential to improve patient retention by 25-40% in resource-limited settings, directly contributing to improved viral suppression rates and long-term treatment success. The framework demonstrates how routinely collected clinical data can be leveraged through advanced analytics to strengthen health systems and advance global HIV elimination goals.</w:t>
      </w:r>
    </w:p>
    <w:sectPr w:rsidR="003233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FD"/>
    <w:rsid w:val="003233FD"/>
    <w:rsid w:val="00F1223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94480"/>
  <w15:chartTrackingRefBased/>
  <w15:docId w15:val="{C34C5A82-DE20-4927-85D3-19E857CA8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3FD"/>
    <w:rPr>
      <w:rFonts w:eastAsiaTheme="majorEastAsia" w:cstheme="majorBidi"/>
      <w:color w:val="272727" w:themeColor="text1" w:themeTint="D8"/>
    </w:rPr>
  </w:style>
  <w:style w:type="paragraph" w:styleId="Title">
    <w:name w:val="Title"/>
    <w:basedOn w:val="Normal"/>
    <w:next w:val="Normal"/>
    <w:link w:val="TitleChar"/>
    <w:uiPriority w:val="10"/>
    <w:qFormat/>
    <w:rsid w:val="00323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3FD"/>
    <w:pPr>
      <w:spacing w:before="160"/>
      <w:jc w:val="center"/>
    </w:pPr>
    <w:rPr>
      <w:i/>
      <w:iCs/>
      <w:color w:val="404040" w:themeColor="text1" w:themeTint="BF"/>
    </w:rPr>
  </w:style>
  <w:style w:type="character" w:customStyle="1" w:styleId="QuoteChar">
    <w:name w:val="Quote Char"/>
    <w:basedOn w:val="DefaultParagraphFont"/>
    <w:link w:val="Quote"/>
    <w:uiPriority w:val="29"/>
    <w:rsid w:val="003233FD"/>
    <w:rPr>
      <w:i/>
      <w:iCs/>
      <w:color w:val="404040" w:themeColor="text1" w:themeTint="BF"/>
    </w:rPr>
  </w:style>
  <w:style w:type="paragraph" w:styleId="ListParagraph">
    <w:name w:val="List Paragraph"/>
    <w:basedOn w:val="Normal"/>
    <w:uiPriority w:val="34"/>
    <w:qFormat/>
    <w:rsid w:val="003233FD"/>
    <w:pPr>
      <w:ind w:left="720"/>
      <w:contextualSpacing/>
    </w:pPr>
  </w:style>
  <w:style w:type="character" w:styleId="IntenseEmphasis">
    <w:name w:val="Intense Emphasis"/>
    <w:basedOn w:val="DefaultParagraphFont"/>
    <w:uiPriority w:val="21"/>
    <w:qFormat/>
    <w:rsid w:val="003233FD"/>
    <w:rPr>
      <w:i/>
      <w:iCs/>
      <w:color w:val="0F4761" w:themeColor="accent1" w:themeShade="BF"/>
    </w:rPr>
  </w:style>
  <w:style w:type="paragraph" w:styleId="IntenseQuote">
    <w:name w:val="Intense Quote"/>
    <w:basedOn w:val="Normal"/>
    <w:next w:val="Normal"/>
    <w:link w:val="IntenseQuoteChar"/>
    <w:uiPriority w:val="30"/>
    <w:qFormat/>
    <w:rsid w:val="00323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3FD"/>
    <w:rPr>
      <w:i/>
      <w:iCs/>
      <w:color w:val="0F4761" w:themeColor="accent1" w:themeShade="BF"/>
    </w:rPr>
  </w:style>
  <w:style w:type="character" w:styleId="IntenseReference">
    <w:name w:val="Intense Reference"/>
    <w:basedOn w:val="DefaultParagraphFont"/>
    <w:uiPriority w:val="32"/>
    <w:qFormat/>
    <w:rsid w:val="00323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dc6489-e816-4d5f-a964-770eaacd0870}" enabled="1" method="Standard" siteId="{995c8049-bfb4-4df7-a971-0330afa808c9}"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384</Words>
  <Characters>2634</Characters>
  <Application>Microsoft Office Word</Application>
  <DocSecurity>0</DocSecurity>
  <Lines>43</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Akosu</dc:creator>
  <cp:keywords/>
  <dc:description/>
  <cp:lastModifiedBy>Raphael Akosu</cp:lastModifiedBy>
  <cp:revision>1</cp:revision>
  <dcterms:created xsi:type="dcterms:W3CDTF">2025-10-30T21:33:00Z</dcterms:created>
  <dcterms:modified xsi:type="dcterms:W3CDTF">2025-10-30T21:37:00Z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dc2e9490-dfc8-4190-95ce-0ee22b3ab13a</vt:lpwstr>
  </property>
</Properties>
</file>