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eastAsia="黑体" w:hAnsi="Arial"/>
          <w:b/>
          <w:bCs/>
          <w:sz w:val="32"/>
          <w:szCs w:val="32"/>
        </w:rPr>
        <w:t xml:space="preserve">数据中心任务时间柔性简表</w:t>
      </w:r>
    </w:p>
    <w:p>
      <w:pPr>
        <w:spacing w:after="120"/>
        <w:jc w:val="center"/>
      </w:pPr>
      <w:r>
        <w:rPr>
          <w:color w:val="7F7F7F"/>
          <w:sz w:val="20"/>
          <w:szCs w:val="20"/>
        </w:rPr>
        <w:t xml:space="preserve">2026-10-31</w:t>
      </w:r>
    </w:p>
    <w:p>
      <w:pPr>
        <w:pStyle w:val="Heading1"/>
        <w:spacing w:after="80" w:before="160"/>
      </w:pPr>
      <w:r>
        <w:rPr>
          <w:rFonts w:ascii="Arial" w:eastAsia="黑体" w:hAnsi="Arial"/>
          <w:b/>
          <w:bCs/>
          <w:sz w:val="26"/>
          <w:szCs w:val="26"/>
        </w:rPr>
        <w:t xml:space="preserve">一、情境定义：服务器规格 × 需求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60"/>
        <w:gridCol w:w="2360"/>
        <w:gridCol w:w="2360"/>
        <w:gridCol w:w="2360"/>
        <w:gridCol w:w="2360"/>
      </w:tblGrid>
      <w:tr>
        <w:trPr>
          <w:cantSplit/>
          <w:tblHeader/>
        </w:trPr>
        <w:tc>
          <w:tcPr>
            <w:tcW w:type="dxa" w:w="2800"/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服务器规格 ＼ 需求</w:t>
            </w:r>
          </w:p>
        </w:tc>
        <w:tc>
          <w:tcPr>
            <w:tcW w:type="dxa" w:w="2360"/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科研计算</w:t>
            </w:r>
          </w:p>
        </w:tc>
        <w:tc>
          <w:tcPr>
            <w:tcW w:type="dxa" w:w="2360"/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云通用计算</w:t>
            </w:r>
          </w:p>
        </w:tc>
        <w:tc>
          <w:tcPr>
            <w:tcW w:type="dxa" w:w="2360"/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科研 AI</w:t>
            </w:r>
          </w:p>
        </w:tc>
        <w:tc>
          <w:tcPr>
            <w:tcW w:type="dxa" w:w="2360"/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大模型训练/开发</w:t>
            </w:r>
          </w:p>
        </w:tc>
        <w:tc>
          <w:tcPr>
            <w:tcW w:type="dxa" w:w="2360"/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黑体" w:hAnsi="Arial"/>
                <w:b/>
                <w:bCs/>
                <w:sz w:val="20"/>
                <w:szCs w:val="20"/>
              </w:rPr>
              <w:t xml:space="preserve">推理服务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A 纯 CPU 型（2∶0）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Lisa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Alibaba 2018（待数据）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color w:val="A6A6A6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color w:val="A6A6A6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color w:val="A6A6A6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B CPU 主导型（2∶1）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color w:val="A6A6A6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color w:val="A6A6A6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MIT Supercloud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Acme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ASI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C 均衡型（2∶2）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color w:val="A6A6A6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color w:val="A6A6A6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MIT Supercloud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Acme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ASI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D GPU 主导型（2∶8）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color w:val="A6A6A6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color w:val="A6A6A6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MIT Supercloud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Acme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20"/>
                <w:szCs w:val="20"/>
              </w:rPr>
              <w:t xml:space="preserve">ASI</w:t>
            </w:r>
          </w:p>
        </w:tc>
      </w:tr>
    </w:tbl>
    <w:p>
      <w:pPr>
        <w:spacing w:after="60" w:before="100"/>
      </w:pPr>
      <w:r>
        <w:rPr>
          <w:rFonts w:ascii="Times New Roman" w:eastAsia="宋体" w:hAnsi="Times New Roman"/>
          <w:color w:val="595959"/>
          <w:sz w:val="18"/>
          <w:szCs w:val="18"/>
        </w:rPr>
        <w:t xml:space="preserve">格中为该情境使用的需求数据，— 表示不设该组合。11 个组合各取 1／10／100／500 MW 四档规模，共 44 个情境，命名为“服务器规格·需求·规模”，例如 GPU 主导型·大模型训练/开发·100MW。括号内为每台服务器的 CPU∶GPU。</w:t>
      </w:r>
    </w:p>
    <w:p>
      <w:pPr>
        <w:pStyle w:val="Heading1"/>
        <w:pageBreakBefore/>
        <w:spacing w:after="80" w:before="160"/>
      </w:pPr>
      <w:r>
        <w:rPr>
          <w:rFonts w:ascii="Arial" w:eastAsia="黑体" w:hAnsi="Arial"/>
          <w:b/>
          <w:bCs/>
          <w:sz w:val="26"/>
          <w:szCs w:val="26"/>
        </w:rPr>
        <w:t xml:space="preserve">二、任务类型与时间柔性</w:t>
      </w:r>
    </w:p>
    <w:p>
      <w:pPr>
        <w:spacing w:after="60" w:before="60"/>
      </w:pPr>
      <w:r>
        <w:rPr>
          <w:rFonts w:ascii="Times New Roman" w:eastAsia="宋体" w:hAnsi="Times New Roman"/>
          <w:sz w:val="19"/>
          <w:szCs w:val="19"/>
        </w:rPr>
        <w:t xml:space="preserve">✓ 可以　　◐ 有条件　　✗ 不行　　？ 未知　　（占比为各数据集自身的 GPU 小时，Lisa 为核心小时，不同数据集之间不能相加）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350"/>
        <w:gridCol w:w="1050"/>
        <w:gridCol w:w="2750"/>
        <w:gridCol w:w="1250"/>
        <w:gridCol w:w="3300"/>
        <w:gridCol w:w="2250"/>
      </w:tblGrid>
      <w:tr>
        <w:trPr>
          <w:cantSplit/>
          <w:tblHeader/>
        </w:trPr>
        <w:tc>
          <w:tcPr>
            <w:tcW w:type="dxa" w:w="1650"/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黑体" w:hAnsi="Arial"/>
                <w:b/>
                <w:bCs/>
                <w:sz w:val="18"/>
                <w:szCs w:val="18"/>
              </w:rPr>
              <w:t xml:space="preserve">任务类型</w:t>
            </w:r>
          </w:p>
        </w:tc>
        <w:tc>
          <w:tcPr>
            <w:tcW w:type="dxa" w:w="2350"/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黑体" w:hAnsi="Arial"/>
                <w:b/>
                <w:bCs/>
                <w:sz w:val="18"/>
                <w:szCs w:val="18"/>
              </w:rPr>
              <w:t xml:space="preserve">主要占比</w:t>
            </w:r>
          </w:p>
        </w:tc>
        <w:tc>
          <w:tcPr>
            <w:tcW w:type="dxa" w:w="1050"/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黑体" w:hAnsi="Arial"/>
                <w:b/>
                <w:bCs/>
                <w:sz w:val="18"/>
                <w:szCs w:val="18"/>
              </w:rPr>
              <w:t xml:space="preserve">时间迁移</w:t>
            </w:r>
          </w:p>
        </w:tc>
        <w:tc>
          <w:tcPr>
            <w:tcW w:type="dxa" w:w="2750"/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黑体" w:hAnsi="Arial"/>
                <w:b/>
                <w:bCs/>
                <w:sz w:val="18"/>
                <w:szCs w:val="18"/>
              </w:rPr>
              <w:t xml:space="preserve">迁移代价参考：现状排队 P50／P90</w:t>
            </w:r>
          </w:p>
        </w:tc>
        <w:tc>
          <w:tcPr>
            <w:tcW w:type="dxa" w:w="1250"/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黑体" w:hAnsi="Arial"/>
                <w:b/>
                <w:bCs/>
                <w:sz w:val="18"/>
                <w:szCs w:val="18"/>
              </w:rPr>
              <w:t xml:space="preserve">中途拆分</w:t>
            </w:r>
          </w:p>
        </w:tc>
        <w:tc>
          <w:tcPr>
            <w:tcW w:type="dxa" w:w="3300"/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黑体" w:hAnsi="Arial"/>
                <w:b/>
                <w:bCs/>
                <w:sz w:val="18"/>
                <w:szCs w:val="18"/>
              </w:rPr>
              <w:t xml:space="preserve">拆分代价：每拆一次损失卡时；每段最短时长</w:t>
            </w:r>
          </w:p>
        </w:tc>
        <w:tc>
          <w:tcPr>
            <w:tcW w:type="dxa" w:w="2250"/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黑体" w:hAnsi="Arial"/>
                <w:b/>
                <w:bCs/>
                <w:sz w:val="18"/>
                <w:szCs w:val="18"/>
              </w:rPr>
              <w:t xml:space="preserve">关键约束</w:t>
            </w:r>
          </w:p>
        </w:tc>
      </w:tr>
      <w:tr>
        <w:trPr>
          <w:cantSplit/>
          <w:tblHeader w:val="off"/>
        </w:trPr>
        <w:tc>
          <w:tcPr>
            <w:tcW w:type="dxa" w:w="1650"/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预训练</w:t>
            </w:r>
          </w:p>
        </w:tc>
        <w:tc>
          <w:tcPr>
            <w:tcW w:type="dxa" w:w="23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Acme 95.5%</w:t>
            </w:r>
          </w:p>
        </w:tc>
        <w:tc>
          <w:tcPr>
            <w:tcW w:type="dxa" w:w="10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27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13 秒／1.5 分钟（作业时长 P90 11.8 小时）</w:t>
            </w:r>
          </w:p>
        </w:tc>
        <w:tc>
          <w:tcPr>
            <w:tcW w:type="dxa" w:w="12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E68A00"/>
                <w:sz w:val="18"/>
                <w:szCs w:val="18"/>
              </w:rPr>
              <w:t xml:space="preserve">◐ 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检查点处</w:t>
            </w:r>
          </w:p>
        </w:tc>
        <w:tc>
          <w:tcPr>
            <w:tcW w:type="dxa" w:w="330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512–1024 卡 × H 5–30 分钟 ＝ 43–512 卡时；每段 ≥ 1.6–9.5 小时</w:t>
            </w:r>
          </w:p>
        </w:tc>
        <w:tc>
          <w:tcPr>
            <w:tcW w:type="dxa" w:w="22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整组卡同停同启</w:t>
            </w:r>
          </w:p>
        </w:tc>
      </w:tr>
      <w:tr>
        <w:trPr>
          <w:cantSplit/>
          <w:tblHeader w:val="off"/>
        </w:trPr>
        <w:tc>
          <w:tcPr>
            <w:tcW w:type="dxa" w:w="1650"/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微调 SFT</w:t>
            </w:r>
          </w:p>
        </w:tc>
        <w:tc>
          <w:tcPr>
            <w:tcW w:type="dxa" w:w="23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Acme 0.2%</w:t>
            </w:r>
          </w:p>
        </w:tc>
        <w:tc>
          <w:tcPr>
            <w:tcW w:type="dxa" w:w="10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27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11 秒／13 秒（作业时长 P50 0.9 小时）</w:t>
            </w:r>
          </w:p>
        </w:tc>
        <w:tc>
          <w:tcPr>
            <w:tcW w:type="dxa" w:w="12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E68A00"/>
                <w:sz w:val="18"/>
                <w:szCs w:val="18"/>
              </w:rPr>
              <w:t xml:space="preserve">◐ 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检查点处</w:t>
            </w:r>
          </w:p>
        </w:tc>
        <w:tc>
          <w:tcPr>
            <w:tcW w:type="dxa" w:w="330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48–64 卡 × H 1–10 分钟 ＝ 0.8–11 卡时；每段 ≥ 0.3–3.2 小时</w:t>
            </w:r>
          </w:p>
        </w:tc>
        <w:tc>
          <w:tcPr>
            <w:tcW w:type="dxa" w:w="22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同预训练，规模小</w:t>
            </w:r>
          </w:p>
        </w:tc>
      </w:tr>
      <w:tr>
        <w:trPr>
          <w:cantSplit/>
          <w:tblHeader w:val="off"/>
        </w:trPr>
        <w:tc>
          <w:tcPr>
            <w:tcW w:type="dxa" w:w="1650"/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训练（未细分）</w:t>
            </w:r>
          </w:p>
        </w:tc>
        <w:tc>
          <w:tcPr>
            <w:tcW w:type="dxa" w:w="23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ASI 22.7%</w:t>
            </w:r>
          </w:p>
        </w:tc>
        <w:tc>
          <w:tcPr>
            <w:tcW w:type="dxa" w:w="10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E68A00"/>
                <w:sz w:val="18"/>
                <w:szCs w:val="18"/>
              </w:rPr>
              <w:t xml:space="preserve">◐ 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低优先级部分</w:t>
            </w:r>
          </w:p>
        </w:tc>
        <w:tc>
          <w:tcPr>
            <w:tcW w:type="dxa" w:w="27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调度 1.9 分钟／5.7 分钟</w:t>
            </w:r>
          </w:p>
        </w:tc>
        <w:tc>
          <w:tcPr>
            <w:tcW w:type="dxa" w:w="12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E68A00"/>
                <w:sz w:val="18"/>
                <w:szCs w:val="18"/>
              </w:rPr>
              <w:t xml:space="preserve">◐ 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需支持检查点</w:t>
            </w:r>
          </w:p>
        </w:tc>
        <w:tc>
          <w:tcPr>
            <w:tcW w:type="dxa" w:w="330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1–16 卡 × H 1–10 分钟 ＝ 0.02–2.7 卡时；每段 ≥ 0.3–3.2 小时</w:t>
            </w:r>
          </w:p>
        </w:tc>
        <w:tc>
          <w:tcPr>
            <w:tcW w:type="dxa" w:w="22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分不出预训练与微调</w:t>
            </w:r>
          </w:p>
        </w:tc>
      </w:tr>
      <w:tr>
        <w:trPr>
          <w:cantSplit/>
          <w:tblHeader w:val="off"/>
        </w:trPr>
        <w:tc>
          <w:tcPr>
            <w:tcW w:type="dxa" w:w="1650"/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离线推理</w:t>
            </w:r>
          </w:p>
        </w:tc>
        <w:tc>
          <w:tcPr>
            <w:tcW w:type="dxa" w:w="23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ASI 22.4%</w:t>
            </w:r>
          </w:p>
        </w:tc>
        <w:tc>
          <w:tcPr>
            <w:tcW w:type="dxa" w:w="10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27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调度 0 秒／4.0 分钟</w:t>
            </w:r>
          </w:p>
        </w:tc>
        <w:tc>
          <w:tcPr>
            <w:tcW w:type="dxa" w:w="12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2E7D32"/>
                <w:sz w:val="18"/>
                <w:szCs w:val="18"/>
              </w:rPr>
              <w:t xml:space="preserve">✓ 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按批次</w:t>
            </w:r>
          </w:p>
        </w:tc>
        <w:tc>
          <w:tcPr>
            <w:tcW w:type="dxa" w:w="330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1–4 卡 × 重新加载模型 1–5 分钟 ＝ 0.02–0.3 卡时；每批 ≥ 19–95 分钟</w:t>
            </w:r>
          </w:p>
        </w:tc>
        <w:tc>
          <w:tcPr>
            <w:tcW w:type="dxa" w:w="22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断点续跑、输出不重复</w:t>
            </w:r>
          </w:p>
        </w:tc>
      </w:tr>
      <w:tr>
        <w:trPr>
          <w:cantSplit/>
          <w:tblHeader w:val="off"/>
        </w:trPr>
        <w:tc>
          <w:tcPr>
            <w:tcW w:type="dxa" w:w="1650"/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评估</w:t>
            </w:r>
          </w:p>
        </w:tc>
        <w:tc>
          <w:tcPr>
            <w:tcW w:type="dxa" w:w="23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Acme 0.2%</w:t>
            </w:r>
          </w:p>
        </w:tc>
        <w:tc>
          <w:tcPr>
            <w:tcW w:type="dxa" w:w="10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27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18 秒／4.4 分钟（作业时长 P50 44 秒）</w:t>
            </w:r>
          </w:p>
        </w:tc>
        <w:tc>
          <w:tcPr>
            <w:tcW w:type="dxa" w:w="12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C62828"/>
                <w:sz w:val="18"/>
                <w:szCs w:val="18"/>
              </w:rPr>
              <w:t xml:space="preserve">✗ 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无需拆</w:t>
            </w:r>
          </w:p>
        </w:tc>
        <w:tc>
          <w:tcPr>
            <w:tcW w:type="dxa" w:w="330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color w:val="A6A6A6"/>
                <w:sz w:val="18"/>
                <w:szCs w:val="18"/>
              </w:rPr>
              <w:t xml:space="preserve">—</w:t>
            </w:r>
          </w:p>
        </w:tc>
        <w:tc>
          <w:tcPr>
            <w:tcW w:type="dxa" w:w="22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不能卡住下一轮训练</w:t>
            </w:r>
          </w:p>
        </w:tc>
      </w:tr>
      <w:tr>
        <w:trPr>
          <w:cantSplit/>
          <w:tblHeader w:val="off"/>
        </w:trPr>
        <w:tc>
          <w:tcPr>
            <w:tcW w:type="dxa" w:w="1650"/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科研批处理（含 MapReduce）</w:t>
            </w:r>
          </w:p>
        </w:tc>
        <w:tc>
          <w:tcPr>
            <w:tcW w:type="dxa" w:w="23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MIT 22.2%；Lisa CPU 分区 99.98%、GPU 科研分区 97.9%</w:t>
            </w:r>
          </w:p>
        </w:tc>
        <w:tc>
          <w:tcPr>
            <w:tcW w:type="dxa" w:w="10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2E7D32"/>
                <w:sz w:val="18"/>
                <w:szCs w:val="18"/>
              </w:rPr>
              <w:t xml:space="preserve">✓ 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整体延后</w:t>
            </w:r>
          </w:p>
        </w:tc>
        <w:tc>
          <w:tcPr>
            <w:tcW w:type="dxa" w:w="27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MIT 批处理 9 秒／3.3 小时；MapReduce 1.3／70 小时；Lisa CPU 3.4 分钟／12 小时</w:t>
            </w:r>
          </w:p>
        </w:tc>
        <w:tc>
          <w:tcPr>
            <w:tcW w:type="dxa" w:w="12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C62828"/>
                <w:sz w:val="18"/>
                <w:szCs w:val="18"/>
              </w:rPr>
              <w:t xml:space="preserve">✗ 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启动后连续</w:t>
            </w:r>
          </w:p>
        </w:tc>
        <w:tc>
          <w:tcPr>
            <w:tcW w:type="dxa" w:w="330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没有检查点：中断即从头重算，损失 ＝ 已运行时长 × 卡数</w:t>
            </w:r>
          </w:p>
        </w:tc>
        <w:tc>
          <w:tcPr>
            <w:tcW w:type="dxa" w:w="22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多节点同时分配</w:t>
            </w:r>
          </w:p>
        </w:tc>
      </w:tr>
      <w:tr>
        <w:trPr>
          <w:cantSplit/>
          <w:tblHeader w:val="off"/>
        </w:trPr>
        <w:tc>
          <w:tcPr>
            <w:tcW w:type="dxa" w:w="1650"/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在线推理</w:t>
            </w:r>
          </w:p>
        </w:tc>
        <w:tc>
          <w:tcPr>
            <w:tcW w:type="dxa" w:w="23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ASI 49.5%</w:t>
            </w:r>
          </w:p>
        </w:tc>
        <w:tc>
          <w:tcPr>
            <w:tcW w:type="dxa" w:w="10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C62828"/>
                <w:sz w:val="18"/>
                <w:szCs w:val="18"/>
              </w:rPr>
              <w:t xml:space="preserve">✗</w:t>
            </w:r>
          </w:p>
        </w:tc>
        <w:tc>
          <w:tcPr>
            <w:tcW w:type="dxa" w:w="27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color w:val="A6A6A6"/>
                <w:sz w:val="18"/>
                <w:szCs w:val="18"/>
              </w:rPr>
              <w:t xml:space="preserve">—</w:t>
            </w:r>
          </w:p>
        </w:tc>
        <w:tc>
          <w:tcPr>
            <w:tcW w:type="dxa" w:w="12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C62828"/>
                <w:sz w:val="18"/>
                <w:szCs w:val="18"/>
              </w:rPr>
              <w:t xml:space="preserve">✗</w:t>
            </w:r>
          </w:p>
        </w:tc>
        <w:tc>
          <w:tcPr>
            <w:tcW w:type="dxa" w:w="330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color w:val="A6A6A6"/>
                <w:sz w:val="18"/>
                <w:szCs w:val="18"/>
              </w:rPr>
              <w:t xml:space="preserve">—</w:t>
            </w:r>
          </w:p>
        </w:tc>
        <w:tc>
          <w:tcPr>
            <w:tcW w:type="dxa" w:w="22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时延与可用性，须持续在线</w:t>
            </w:r>
          </w:p>
        </w:tc>
      </w:tr>
      <w:tr>
        <w:trPr>
          <w:cantSplit/>
          <w:tblHeader w:val="off"/>
        </w:trPr>
        <w:tc>
          <w:tcPr>
            <w:tcW w:type="dxa" w:w="1650"/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交互式／开发／调试</w:t>
            </w:r>
          </w:p>
        </w:tc>
        <w:tc>
          <w:tcPr>
            <w:tcW w:type="dxa" w:w="23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MIT 4.2%；ASI 3.7%；Acme 1.4%；Lisa Jupyter</w:t>
            </w:r>
          </w:p>
        </w:tc>
        <w:tc>
          <w:tcPr>
            <w:tcW w:type="dxa" w:w="10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C62828"/>
                <w:sz w:val="18"/>
                <w:szCs w:val="18"/>
              </w:rPr>
              <w:t xml:space="preserve">✗</w:t>
            </w:r>
          </w:p>
        </w:tc>
        <w:tc>
          <w:tcPr>
            <w:tcW w:type="dxa" w:w="27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color w:val="A6A6A6"/>
                <w:sz w:val="18"/>
                <w:szCs w:val="18"/>
              </w:rPr>
              <w:t xml:space="preserve">—</w:t>
            </w:r>
          </w:p>
        </w:tc>
        <w:tc>
          <w:tcPr>
            <w:tcW w:type="dxa" w:w="12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C62828"/>
                <w:sz w:val="18"/>
                <w:szCs w:val="18"/>
              </w:rPr>
              <w:t xml:space="preserve">✗</w:t>
            </w:r>
          </w:p>
        </w:tc>
        <w:tc>
          <w:tcPr>
            <w:tcW w:type="dxa" w:w="330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color w:val="A6A6A6"/>
                <w:sz w:val="18"/>
                <w:szCs w:val="18"/>
              </w:rPr>
              <w:t xml:space="preserve">—</w:t>
            </w:r>
          </w:p>
        </w:tc>
        <w:tc>
          <w:tcPr>
            <w:tcW w:type="dxa" w:w="22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有人在用，需即时响应</w:t>
            </w:r>
          </w:p>
        </w:tc>
      </w:tr>
      <w:tr>
        <w:trPr>
          <w:cantSplit/>
          <w:tblHeader w:val="off"/>
        </w:trPr>
        <w:tc>
          <w:tcPr>
            <w:tcW w:type="dxa" w:w="1650"/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用途未知</w:t>
            </w:r>
          </w:p>
        </w:tc>
        <w:tc>
          <w:tcPr>
            <w:tcW w:type="dxa" w:w="23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MIT OTHER 73.6%（未用 LLsub 提交，用途未标注）；Acme 2.6%；ASI 1.7%；Lisa 课程 1.9%</w:t>
            </w:r>
          </w:p>
        </w:tc>
        <w:tc>
          <w:tcPr>
            <w:tcW w:type="dxa" w:w="10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7F7F7F"/>
                <w:sz w:val="18"/>
                <w:szCs w:val="18"/>
              </w:rPr>
              <w:t xml:space="preserve">？</w:t>
            </w:r>
          </w:p>
        </w:tc>
        <w:tc>
          <w:tcPr>
            <w:tcW w:type="dxa" w:w="27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color w:val="A6A6A6"/>
                <w:sz w:val="18"/>
                <w:szCs w:val="18"/>
              </w:rPr>
              <w:t xml:space="preserve">—</w:t>
            </w:r>
          </w:p>
        </w:tc>
        <w:tc>
          <w:tcPr>
            <w:tcW w:type="dxa" w:w="12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7F7F7F"/>
                <w:sz w:val="18"/>
                <w:szCs w:val="18"/>
              </w:rPr>
              <w:t xml:space="preserve">？</w:t>
            </w:r>
          </w:p>
        </w:tc>
        <w:tc>
          <w:tcPr>
            <w:tcW w:type="dxa" w:w="330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color w:val="A6A6A6"/>
                <w:sz w:val="18"/>
                <w:szCs w:val="18"/>
              </w:rPr>
              <w:t xml:space="preserve">—</w:t>
            </w:r>
          </w:p>
        </w:tc>
        <w:tc>
          <w:tcPr>
            <w:tcW w:type="dxa" w:w="22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暂按不迁移、不拆分</w:t>
            </w:r>
          </w:p>
        </w:tc>
      </w:tr>
    </w:tbl>
    <w:p>
      <w:pPr>
        <w:spacing w:after="60" w:before="100"/>
      </w:pPr>
      <w:r>
        <w:rPr>
          <w:rFonts w:ascii="Times New Roman" w:eastAsia="宋体" w:hAnsi="Times New Roman"/>
          <w:color w:val="595959"/>
          <w:sz w:val="18"/>
          <w:szCs w:val="18"/>
        </w:rPr>
        <w:t xml:space="preserve">迁移代价：同样的工作量换个时段完成，额外耗电很少，主要代价是完成时间推迟。现状排队可作参考：科研集群用户已习惯数小时排队（P90 约 3–70 小时），AI 训练和推理集群几乎不排队（P90 不超过 6 分钟），延后数小时会明显改变服务水平。</w:t>
      </w:r>
    </w:p>
    <w:p>
      <w:pPr>
        <w:spacing w:after="60" w:before="60"/>
      </w:pPr>
      <w:r>
        <w:rPr>
          <w:rFonts w:ascii="Times New Roman" w:eastAsia="宋体" w:hAnsi="Times New Roman"/>
          <w:color w:val="595959"/>
          <w:sz w:val="18"/>
          <w:szCs w:val="18"/>
        </w:rPr>
        <w:t xml:space="preserve">拆分代价：每拆一次损失“卡数 × H”卡时，H ＝ 保存＋释放与重新调度＋加载恢复＋重算。开销控制在 5% 以内要求每段至少 19H。预训练 H 取 5–30 分钟（Google 多级检查点案例：恢复不到 1 分钟至 30 分钟）；其余 H 为假设，数据中均未测到。1 卡时约合 1.3 kWh（DGX H100 整机 10.2 kW ÷ 8 卡），预训练每拆一次约 0.05–0.65 MWh。</w:t>
      </w:r>
    </w:p>
    <w:p>
      <w:pPr>
        <w:spacing w:after="60" w:before="60"/>
      </w:pPr>
      <w:r>
        <w:rPr>
          <w:rFonts w:ascii="Times New Roman" w:eastAsia="宋体" w:hAnsi="Times New Roman"/>
          <w:color w:val="595959"/>
          <w:sz w:val="18"/>
          <w:szCs w:val="18"/>
        </w:rPr>
        <w:t xml:space="preserve">目前最有依据的柔性候选：ASI 低优先级训练＋离线推理，占 GPU 小时 22.7%。这是上限，实际可调比例未知。</w:t>
      </w:r>
    </w:p>
    <w:p>
      <w:pPr>
        <w:pStyle w:val="Heading1"/>
        <w:pageBreakBefore/>
        <w:spacing w:after="80" w:before="160"/>
      </w:pPr>
      <w:r>
        <w:rPr>
          <w:rFonts w:ascii="Arial" w:eastAsia="黑体" w:hAnsi="Arial"/>
          <w:b/>
          <w:bCs/>
          <w:sz w:val="26"/>
          <w:szCs w:val="26"/>
        </w:rPr>
        <w:t xml:space="preserve">三、各数据源概况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250"/>
        <w:gridCol w:w="2150"/>
        <w:gridCol w:w="2650"/>
        <w:gridCol w:w="2350"/>
        <w:gridCol w:w="2850"/>
        <w:gridCol w:w="1600"/>
      </w:tblGrid>
      <w:tr>
        <w:trPr>
          <w:cantSplit/>
          <w:tblHeader/>
        </w:trPr>
        <w:tc>
          <w:tcPr>
            <w:tcW w:type="dxa" w:w="1750"/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黑体" w:hAnsi="Arial"/>
                <w:b/>
                <w:bCs/>
                <w:sz w:val="18"/>
                <w:szCs w:val="18"/>
              </w:rPr>
              <w:t xml:space="preserve">数据源</w:t>
            </w:r>
          </w:p>
        </w:tc>
        <w:tc>
          <w:tcPr>
            <w:tcW w:type="dxa" w:w="1250"/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黑体" w:hAnsi="Arial"/>
                <w:b/>
                <w:bCs/>
                <w:sz w:val="18"/>
                <w:szCs w:val="18"/>
              </w:rPr>
              <w:t xml:space="preserve">对应需求</w:t>
            </w:r>
          </w:p>
        </w:tc>
        <w:tc>
          <w:tcPr>
            <w:tcW w:type="dxa" w:w="2150"/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黑体" w:hAnsi="Arial"/>
                <w:b/>
                <w:bCs/>
                <w:sz w:val="18"/>
                <w:szCs w:val="18"/>
              </w:rPr>
              <w:t xml:space="preserve">时间跨度</w:t>
            </w:r>
          </w:p>
        </w:tc>
        <w:tc>
          <w:tcPr>
            <w:tcW w:type="dxa" w:w="2650"/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黑体" w:hAnsi="Arial"/>
                <w:b/>
                <w:bCs/>
                <w:sz w:val="18"/>
                <w:szCs w:val="18"/>
              </w:rPr>
              <w:t xml:space="preserve">记录方式与规模</w:t>
            </w:r>
          </w:p>
        </w:tc>
        <w:tc>
          <w:tcPr>
            <w:tcW w:type="dxa" w:w="2350"/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黑体" w:hAnsi="Arial"/>
                <w:b/>
                <w:bCs/>
                <w:sz w:val="18"/>
                <w:szCs w:val="18"/>
              </w:rPr>
              <w:t xml:space="preserve">作业时长 P50／P90</w:t>
            </w:r>
          </w:p>
        </w:tc>
        <w:tc>
          <w:tcPr>
            <w:tcW w:type="dxa" w:w="2850"/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黑体" w:hAnsi="Arial"/>
                <w:b/>
                <w:bCs/>
                <w:sz w:val="18"/>
                <w:szCs w:val="18"/>
              </w:rPr>
              <w:t xml:space="preserve">任务分类有多细</w:t>
            </w:r>
          </w:p>
        </w:tc>
        <w:tc>
          <w:tcPr>
            <w:tcW w:type="dxa" w:w="1600"/>
            <w:shd w:fill="D9E2F3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黑体" w:hAnsi="Arial"/>
                <w:b/>
                <w:bCs/>
                <w:sz w:val="18"/>
                <w:szCs w:val="18"/>
              </w:rPr>
              <w:t xml:space="preserve">主要缺口</w:t>
            </w:r>
          </w:p>
        </w:tc>
      </w:tr>
      <w:tr>
        <w:trPr>
          <w:cantSplit/>
          <w:tblHeader w:val="off"/>
        </w:trPr>
        <w:tc>
          <w:tcPr>
            <w:tcW w:type="dxa" w:w="1750"/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Lisa（荷兰 SURF 超算）</w:t>
            </w:r>
          </w:p>
        </w:tc>
        <w:tc>
          <w:tcPr>
            <w:tcW w:type="dxa" w:w="12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科研计算</w:t>
            </w:r>
          </w:p>
        </w:tc>
        <w:tc>
          <w:tcPr>
            <w:tcW w:type="dxa" w:w="21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2021-12 至 2022-11，约 10 个月</w:t>
            </w:r>
          </w:p>
        </w:tc>
        <w:tc>
          <w:tcPr>
            <w:tcW w:type="dxa" w:w="26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逐作业 159.7 万条（CPU 分区 139.6 万、GPU 分区 20.1 万）</w:t>
            </w:r>
          </w:p>
        </w:tc>
        <w:tc>
          <w:tcPr>
            <w:tcW w:type="dxa" w:w="23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CPU 分区 25 秒／55 分钟；GPU 分区 4.6 分钟／5.0 小时</w:t>
            </w:r>
          </w:p>
        </w:tc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粗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：只有 17 个分区（CPU／GPU、Jupyter、课程），无用途和算法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GPU 卡数</w:t>
            </w:r>
          </w:p>
        </w:tc>
      </w:tr>
      <w:tr>
        <w:trPr>
          <w:cantSplit/>
          <w:tblHeader w:val="off"/>
        </w:trPr>
        <w:tc>
          <w:tcPr>
            <w:tcW w:type="dxa" w:w="1750"/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Alibaba 2018</w:t>
            </w:r>
          </w:p>
        </w:tc>
        <w:tc>
          <w:tcPr>
            <w:tcW w:type="dxa" w:w="12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云通用计算</w:t>
            </w:r>
          </w:p>
        </w:tc>
        <w:tc>
          <w:tcPr>
            <w:tcW w:type="dxa" w:w="21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8 天</w:t>
            </w:r>
          </w:p>
        </w:tc>
        <w:tc>
          <w:tcPr>
            <w:tcW w:type="dxa" w:w="26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约 4,000 台机器的 CPU／内存利用率时间序列</w:t>
            </w:r>
          </w:p>
        </w:tc>
        <w:tc>
          <w:tcPr>
            <w:tcW w:type="dxa" w:w="23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color w:val="A6A6A6"/>
                <w:sz w:val="18"/>
                <w:szCs w:val="18"/>
              </w:rPr>
              <w:t xml:space="preserve">待数据</w:t>
            </w:r>
          </w:p>
        </w:tc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粗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：在线服务与离线批处理两类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正在下载整理</w:t>
            </w:r>
          </w:p>
        </w:tc>
      </w:tr>
      <w:tr>
        <w:trPr>
          <w:cantSplit/>
          <w:tblHeader w:val="off"/>
        </w:trPr>
        <w:tc>
          <w:tcPr>
            <w:tcW w:type="dxa" w:w="1750"/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MIT Supercloud</w:t>
            </w:r>
          </w:p>
        </w:tc>
        <w:tc>
          <w:tcPr>
            <w:tcW w:type="dxa" w:w="12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科研 AI</w:t>
            </w:r>
          </w:p>
        </w:tc>
        <w:tc>
          <w:tcPr>
            <w:tcW w:type="dxa" w:w="21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2021-01 至 2021-10，约 9 个月</w:t>
            </w:r>
          </w:p>
        </w:tc>
        <w:tc>
          <w:tcPr>
            <w:tcW w:type="dxa" w:w="26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逐作业 39.6 万条，其中 GPU 作业 9.8 万；另有逐秒 GPU 监测</w:t>
            </w:r>
          </w:p>
        </w:tc>
        <w:tc>
          <w:tcPr>
            <w:tcW w:type="dxa" w:w="23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各类 2.2–3.0 小时／22–37 小时</w:t>
            </w:r>
          </w:p>
        </w:tc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粗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：只有 4 种提交方式，OTHER 占 73.6%；官方标签约 3,425 个 DNN 作业（细分进行中）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用途、算法</w:t>
            </w:r>
          </w:p>
        </w:tc>
      </w:tr>
      <w:tr>
        <w:trPr>
          <w:cantSplit/>
          <w:tblHeader w:val="off"/>
        </w:trPr>
        <w:tc>
          <w:tcPr>
            <w:tcW w:type="dxa" w:w="1750"/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Acme（上海 AI Lab Kalos 集群）</w:t>
            </w:r>
          </w:p>
        </w:tc>
        <w:tc>
          <w:tcPr>
            <w:tcW w:type="dxa" w:w="12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大模型训练/开发</w:t>
            </w:r>
          </w:p>
        </w:tc>
        <w:tc>
          <w:tcPr>
            <w:tcW w:type="dxa" w:w="21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2023-05 至 2023-08，约 3 个月</w:t>
            </w:r>
          </w:p>
        </w:tc>
        <w:tc>
          <w:tcPr>
            <w:tcW w:type="dxa" w:w="26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逐作业 6.2 万条（GPU 1.99 万、CPU 4.25 万）</w:t>
            </w:r>
          </w:p>
        </w:tc>
        <w:tc>
          <w:tcPr>
            <w:tcW w:type="dxa" w:w="23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预训练 11 分钟／11.8 小时；评估 44 秒／14 分钟</w:t>
            </w:r>
          </w:p>
        </w:tc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细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：预训练、SFT、评估、调试、其他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RL 标签、检查点记录</w:t>
            </w:r>
          </w:p>
        </w:tc>
      </w:tr>
      <w:tr>
        <w:trPr>
          <w:cantSplit/>
          <w:tblHeader w:val="off"/>
        </w:trPr>
        <w:tc>
          <w:tcPr>
            <w:tcW w:type="dxa" w:w="1750"/>
            <w:shd w:fill="F2F2F2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ASI（Alibaba GPU 2026）</w:t>
            </w:r>
          </w:p>
        </w:tc>
        <w:tc>
          <w:tcPr>
            <w:tcW w:type="dxa" w:w="12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推理服务</w:t>
            </w:r>
          </w:p>
        </w:tc>
        <w:tc>
          <w:tcPr>
            <w:tcW w:type="dxa" w:w="21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原始 185 天，目前只用 1 天（第 109 天）</w:t>
            </w:r>
          </w:p>
        </w:tc>
        <w:tc>
          <w:tcPr>
            <w:tcW w:type="dxa" w:w="26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按 pod×服务器×小时观测 282 万条，52.5 万个 GPU pod</w:t>
            </w:r>
          </w:p>
        </w:tc>
        <w:tc>
          <w:tcPr>
            <w:tcW w:type="dxa" w:w="23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color w:val="A6A6A6"/>
                <w:sz w:val="18"/>
                <w:szCs w:val="18"/>
              </w:rPr>
              <w:t xml:space="preserve">无法计算（只有小时观测）</w:t>
            </w:r>
          </w:p>
        </w:tc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中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：6 类业务（训练、在线推理、离线推理、开发等）＋高／低优先级＋模型领域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完整作业时长；只有 1 天</w:t>
            </w:r>
          </w:p>
        </w:tc>
      </w:tr>
    </w:tbl>
    <w:p>
      <w:pPr>
        <w:spacing w:after="60" w:before="100"/>
      </w:pPr>
      <w:r>
        <w:rPr>
          <w:rFonts w:ascii="Times New Roman" w:eastAsia="宋体" w:hAnsi="Times New Roman"/>
          <w:color w:val="595959"/>
          <w:sz w:val="18"/>
          <w:szCs w:val="18"/>
        </w:rPr>
        <w:t xml:space="preserve">作业时长为单个作业从开始到结束的时长。Lisa 的 GPU 分区没有卡数字段，只能用宿主 CPU 核心小时计量。</w:t>
      </w:r>
    </w:p>
    <w:sectPr>
      <w:pgSz w:w="16838" w:h="11906" w:orient="landscape"/>
      <w:pgMar w:top="700" w:right="1100" w:bottom="6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2026-10-31T08:39:50.445Z</dcterms:created>
  <dcterms:modified xsi:type="dcterms:W3CDTF">2026-10-31T08:39:50.446Z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